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C6E6C" w14:textId="77777777" w:rsidR="00E574A9" w:rsidRDefault="00025A5C" w:rsidP="00ED4FC9">
      <w:pPr>
        <w:pStyle w:val="Heading1"/>
      </w:pPr>
      <w:r w:rsidRPr="00ED4FC9">
        <w:t>Terms of Reference</w:t>
      </w:r>
    </w:p>
    <w:p w14:paraId="294DA769" w14:textId="0CDECA9A" w:rsidR="00025A5C" w:rsidRPr="00ED4FC9" w:rsidRDefault="00025A5C" w:rsidP="00ED4FC9">
      <w:pPr>
        <w:pStyle w:val="Heading1"/>
      </w:pPr>
      <w:r w:rsidRPr="00ED4FC9">
        <w:t>WASH Needs Assessment in Tongi: Identifying Gaps and Opportunities for Improving WASH in Factories and Worker Communities</w:t>
      </w:r>
    </w:p>
    <w:p w14:paraId="231C2EB4" w14:textId="571999E3" w:rsidR="00025A5C" w:rsidRPr="00A531F0" w:rsidRDefault="00025A5C" w:rsidP="00025A5C">
      <w:r>
        <w:t>[ March 202</w:t>
      </w:r>
      <w:r w:rsidR="00E574A9">
        <w:t>5</w:t>
      </w:r>
      <w:r w:rsidRPr="008C65AC">
        <w:t>]</w:t>
      </w:r>
    </w:p>
    <w:p w14:paraId="0B3874C7" w14:textId="77777777" w:rsidR="00025A5C" w:rsidRDefault="00025A5C" w:rsidP="00E574A9">
      <w:pPr>
        <w:pStyle w:val="Heading2"/>
      </w:pPr>
      <w:r>
        <w:t xml:space="preserve">About WSUP </w:t>
      </w:r>
    </w:p>
    <w:p w14:paraId="0FE4B16A" w14:textId="77777777" w:rsidR="00025A5C" w:rsidRPr="00515F15" w:rsidRDefault="00025A5C" w:rsidP="00E574A9">
      <w:pPr>
        <w:rPr>
          <w:b/>
          <w:color w:val="0070C0"/>
        </w:rPr>
      </w:pPr>
      <w:r w:rsidRPr="00515F15">
        <w:rPr>
          <w:b/>
          <w:bCs/>
        </w:rPr>
        <w:t>About Water and Sanitation for the Urban Poor (WSUP)</w:t>
      </w:r>
    </w:p>
    <w:p w14:paraId="14BD7A66" w14:textId="03ECFC04" w:rsidR="00025A5C" w:rsidRDefault="00E574A9" w:rsidP="00E574A9">
      <w:r w:rsidRPr="00E574A9">
        <w:t xml:space="preserve">Water &amp; Sanitation for Urban Populations (WSUP) is a not-for-profit company that drives inclusive and resilient urban water and sanitation systems and services through pioneering practices, partnerships, and policies. Working in seven countries across sub-Saharan Africa and Asia, with support from a UK-based office, WSUP partners with local providers to develop sustainable solutions that reach low-income communities. Since its inception, WSUP has helped over 42 million people </w:t>
      </w:r>
      <w:r>
        <w:t>access</w:t>
      </w:r>
      <w:r w:rsidRPr="00E574A9">
        <w:t xml:space="preserve"> improved water, sanitation, and hygiene</w:t>
      </w:r>
      <w:r>
        <w:t xml:space="preserve">. For more information, </w:t>
      </w:r>
      <w:r w:rsidR="00025A5C" w:rsidRPr="00515F15">
        <w:t xml:space="preserve"> please visit www.wsup.com.  </w:t>
      </w:r>
    </w:p>
    <w:p w14:paraId="440D6921" w14:textId="77777777" w:rsidR="00025A5C" w:rsidRDefault="00025A5C" w:rsidP="00E574A9">
      <w:pPr>
        <w:spacing w:after="0"/>
      </w:pPr>
    </w:p>
    <w:p w14:paraId="5186FB2B" w14:textId="77777777" w:rsidR="00025A5C" w:rsidRPr="00515F15" w:rsidRDefault="00025A5C" w:rsidP="00E574A9">
      <w:pPr>
        <w:pStyle w:val="Heading2"/>
      </w:pPr>
      <w:r>
        <w:t xml:space="preserve">Purpose of the assignment </w:t>
      </w:r>
    </w:p>
    <w:p w14:paraId="425E74D7" w14:textId="3BBEF987" w:rsidR="00025A5C" w:rsidRDefault="00025A5C" w:rsidP="00E574A9">
      <w:r>
        <w:t xml:space="preserve">Water &amp; Sanitation for the Urban Poor (WSUP) is looking for a consultant/consulting firm to conduct a WASH need assessment in Tongi to identify gaps and opportunities for improving WASH in </w:t>
      </w:r>
      <w:r w:rsidR="00E574A9">
        <w:t xml:space="preserve">the </w:t>
      </w:r>
      <w:r w:rsidR="00903007">
        <w:t xml:space="preserve">factory </w:t>
      </w:r>
      <w:r>
        <w:t xml:space="preserve">and worker communities. </w:t>
      </w:r>
      <w:r w:rsidRPr="00D20429">
        <w:t>The core objective of this needs assessment is to analyse the existing WASH situation in the factory and worker communities, providing actionable insights and evidence-based recommendations</w:t>
      </w:r>
      <w:r>
        <w:t xml:space="preserve"> for the project</w:t>
      </w:r>
      <w:r w:rsidRPr="00D20429">
        <w:t>.</w:t>
      </w:r>
    </w:p>
    <w:p w14:paraId="3CB53C3D" w14:textId="0EED5A06" w:rsidR="00025A5C" w:rsidRDefault="00025A5C" w:rsidP="00E574A9">
      <w:pPr>
        <w:pStyle w:val="Heading2"/>
      </w:pPr>
      <w:r w:rsidRPr="005074CA">
        <w:t xml:space="preserve">Scope of </w:t>
      </w:r>
      <w:r w:rsidR="00E574A9">
        <w:t>w</w:t>
      </w:r>
      <w:r w:rsidRPr="005074CA">
        <w:t>ork</w:t>
      </w:r>
      <w:r>
        <w:t xml:space="preserve"> </w:t>
      </w:r>
    </w:p>
    <w:p w14:paraId="0FD4CBBA" w14:textId="77777777" w:rsidR="00025A5C" w:rsidRPr="00515F15" w:rsidRDefault="00025A5C" w:rsidP="00E574A9">
      <w:pPr>
        <w:rPr>
          <w:b/>
          <w:bCs/>
        </w:rPr>
      </w:pPr>
      <w:r w:rsidRPr="00515F15">
        <w:rPr>
          <w:b/>
          <w:bCs/>
        </w:rPr>
        <w:t>Overview and Background</w:t>
      </w:r>
      <w:r>
        <w:rPr>
          <w:b/>
          <w:bCs/>
        </w:rPr>
        <w:t xml:space="preserve"> </w:t>
      </w:r>
    </w:p>
    <w:p w14:paraId="719850B2" w14:textId="5C9A8B29" w:rsidR="00025A5C" w:rsidRDefault="00025A5C" w:rsidP="00E574A9">
      <w:r>
        <w:t>WSUP is implementing a 2-year project Factories and Worker Communities in Chattogram and Tongi</w:t>
      </w:r>
      <w:r w:rsidR="00A0486D">
        <w:t>.</w:t>
      </w:r>
      <w:r>
        <w:t xml:space="preserve"> This project builds on the</w:t>
      </w:r>
      <w:r w:rsidRPr="005C029B">
        <w:t xml:space="preserve"> successful partnership with </w:t>
      </w:r>
      <w:r w:rsidR="00A0486D">
        <w:t>the funder</w:t>
      </w:r>
      <w:r w:rsidRPr="005C029B">
        <w:t>, which began in 2020 with a focus on improving WASH conditions in communities where Ready-Made Garment (RMG) workers reside.</w:t>
      </w:r>
      <w:r>
        <w:t xml:space="preserve"> In Tongi, the project aims to address significant gaps in water, sanitation, and hygiene (WASH) facilities identified during a reconnaissance visit at </w:t>
      </w:r>
      <w:r w:rsidR="00E574A9">
        <w:t xml:space="preserve">the </w:t>
      </w:r>
      <w:r>
        <w:t>factory and its surrounding community. The assessment revealed critical issues in the worker communities</w:t>
      </w:r>
      <w:r w:rsidR="00E574A9">
        <w:t>,</w:t>
      </w:r>
      <w:r>
        <w:t xml:space="preserve"> including a lack of potable water and poorly maintained facilities that lack essential elements such as proper lighting, secure locks, and adequate hygiene. </w:t>
      </w:r>
    </w:p>
    <w:p w14:paraId="7B5CAA5B" w14:textId="790A318C" w:rsidR="00025A5C" w:rsidRDefault="00025A5C" w:rsidP="00E574A9">
      <w:r>
        <w:t xml:space="preserve">The core objective in Tongi is to upgrade and construct safe and sustainable WASH facilities in the worker communities. </w:t>
      </w:r>
      <w:r w:rsidRPr="00D20429">
        <w:t xml:space="preserve">At the factory level, the project </w:t>
      </w:r>
      <w:r>
        <w:t>aims to</w:t>
      </w:r>
      <w:r w:rsidRPr="00D20429">
        <w:t xml:space="preserve"> establish WASH committees</w:t>
      </w:r>
      <w:r>
        <w:t xml:space="preserve"> and </w:t>
      </w:r>
      <w:r w:rsidRPr="00D20429">
        <w:t>implement workplace WASH guidelines</w:t>
      </w:r>
      <w:r w:rsidR="00E574A9">
        <w:t>,</w:t>
      </w:r>
      <w:r>
        <w:t xml:space="preserve"> which</w:t>
      </w:r>
      <w:r w:rsidRPr="005C0942">
        <w:t xml:space="preserve"> focus on ensuring safe, hygienic and well-maintained WASH and waste disposal facilities to boost worker productivity and well-being</w:t>
      </w:r>
      <w:r>
        <w:t>. In addition, the project organi</w:t>
      </w:r>
      <w:r w:rsidR="00E574A9">
        <w:t>s</w:t>
      </w:r>
      <w:r>
        <w:t xml:space="preserve">es </w:t>
      </w:r>
      <w:r w:rsidRPr="00D20429">
        <w:t>capacity-building initiatives for factory management and workers, fostering sustainable behaviour change within the factory.</w:t>
      </w:r>
    </w:p>
    <w:p w14:paraId="2D006244" w14:textId="0EEBF9C3" w:rsidR="00025A5C" w:rsidRDefault="00025A5C" w:rsidP="00E574A9">
      <w:r>
        <w:lastRenderedPageBreak/>
        <w:t>The project also emphasi</w:t>
      </w:r>
      <w:r w:rsidR="00E574A9">
        <w:t>s</w:t>
      </w:r>
      <w:r>
        <w:t xml:space="preserve">ed community engagement and education. Through tailored hygiene awareness campaigns and training sessions, WSUP aims to empower local residents with the knowledge and skills necessary to </w:t>
      </w:r>
      <w:r w:rsidR="00E574A9">
        <w:t>effectively maintain and utilise the new WASH facilities</w:t>
      </w:r>
      <w:r>
        <w:t xml:space="preserve">. This integrated approach is designed to create a healthier, more productive environment that supports the well-being of factory workers and the broader community, ultimately contributing to improved public health and economic outcomes in Tongi. The project </w:t>
      </w:r>
      <w:r w:rsidR="00E574A9">
        <w:t>currently works</w:t>
      </w:r>
      <w:r>
        <w:t xml:space="preserve"> with communities </w:t>
      </w:r>
      <w:r w:rsidRPr="00510D34">
        <w:t xml:space="preserve">in Ward 55 of </w:t>
      </w:r>
      <w:r>
        <w:t xml:space="preserve">the </w:t>
      </w:r>
      <w:r w:rsidRPr="00510D34">
        <w:t>Gazipur City Corporation, where many worker communities are located.</w:t>
      </w:r>
    </w:p>
    <w:p w14:paraId="02C69244" w14:textId="283A9041" w:rsidR="00025A5C" w:rsidRDefault="00025A5C" w:rsidP="00E574A9">
      <w:pPr>
        <w:spacing w:after="0"/>
      </w:pPr>
      <w:r>
        <w:t>The specific key objectives of this need assessment are</w:t>
      </w:r>
      <w:r w:rsidR="00E574A9">
        <w:t>:</w:t>
      </w:r>
    </w:p>
    <w:p w14:paraId="5F721275" w14:textId="77777777" w:rsidR="001628A9" w:rsidRDefault="00025A5C" w:rsidP="001628A9">
      <w:pPr>
        <w:pStyle w:val="ListParagraph"/>
        <w:numPr>
          <w:ilvl w:val="0"/>
          <w:numId w:val="12"/>
        </w:numPr>
        <w:spacing w:after="0"/>
        <w:contextualSpacing w:val="0"/>
      </w:pPr>
      <w:r>
        <w:t>Understand the socio-demographic and economic characteristics of the worker communities in Tongi.</w:t>
      </w:r>
    </w:p>
    <w:p w14:paraId="17B1374C" w14:textId="263BCE9D" w:rsidR="001628A9" w:rsidRPr="00A0486D" w:rsidRDefault="001628A9" w:rsidP="001628A9">
      <w:pPr>
        <w:pStyle w:val="ListParagraph"/>
        <w:numPr>
          <w:ilvl w:val="0"/>
          <w:numId w:val="12"/>
        </w:numPr>
        <w:spacing w:after="0"/>
        <w:contextualSpacing w:val="0"/>
      </w:pPr>
      <w:r w:rsidRPr="001628A9">
        <w:t xml:space="preserve">Assess the availability, functionality, and safety of water supply, sanitation, and hygiene (WASH) facilities in the community and factory, including gender-segregated toilets and MHM provisions, </w:t>
      </w:r>
      <w:r w:rsidRPr="00A0486D">
        <w:t>while also reviewing water sources, technologies, quality, safety, and tariffs.</w:t>
      </w:r>
    </w:p>
    <w:p w14:paraId="413376E4" w14:textId="1299BE8B" w:rsidR="001628A9" w:rsidRPr="00A0486D" w:rsidRDefault="00F47825" w:rsidP="00E574A9">
      <w:pPr>
        <w:pStyle w:val="ListParagraph"/>
        <w:numPr>
          <w:ilvl w:val="0"/>
          <w:numId w:val="12"/>
        </w:numPr>
        <w:spacing w:after="0"/>
        <w:contextualSpacing w:val="0"/>
      </w:pPr>
      <w:r w:rsidRPr="00A0486D">
        <w:t>Understanding</w:t>
      </w:r>
      <w:r w:rsidR="001628A9" w:rsidRPr="00A0486D">
        <w:t xml:space="preserve"> the current FSM and SWM value chains in the Tongi community, including identifying local WASH service providers and evaluating their capacity.</w:t>
      </w:r>
    </w:p>
    <w:p w14:paraId="126FAFD9" w14:textId="0FBF6303" w:rsidR="00025A5C" w:rsidRPr="00641B7C" w:rsidRDefault="00025A5C" w:rsidP="00E574A9">
      <w:pPr>
        <w:pStyle w:val="ListParagraph"/>
        <w:numPr>
          <w:ilvl w:val="0"/>
          <w:numId w:val="12"/>
        </w:numPr>
        <w:spacing w:after="0"/>
        <w:contextualSpacing w:val="0"/>
      </w:pPr>
      <w:r w:rsidRPr="00641B7C">
        <w:t xml:space="preserve">Identify key gaps in </w:t>
      </w:r>
      <w:r>
        <w:t xml:space="preserve">WASH </w:t>
      </w:r>
      <w:r w:rsidRPr="00641B7C">
        <w:t>infrastructure, maintenance, and environmental sanitation risks</w:t>
      </w:r>
      <w:r w:rsidR="00E574A9">
        <w:t>,</w:t>
      </w:r>
      <w:r w:rsidRPr="00641B7C">
        <w:t xml:space="preserve"> </w:t>
      </w:r>
      <w:r>
        <w:t>including</w:t>
      </w:r>
      <w:r w:rsidRPr="00641B7C">
        <w:t xml:space="preserve"> waste management</w:t>
      </w:r>
      <w:r>
        <w:t xml:space="preserve"> and</w:t>
      </w:r>
      <w:r w:rsidRPr="00641B7C">
        <w:t xml:space="preserve"> desludging practices</w:t>
      </w:r>
      <w:r>
        <w:t>.</w:t>
      </w:r>
    </w:p>
    <w:p w14:paraId="61B9C370" w14:textId="6B6A1881" w:rsidR="00025A5C" w:rsidRPr="00641B7C" w:rsidRDefault="00025A5C" w:rsidP="00E574A9">
      <w:pPr>
        <w:pStyle w:val="ListParagraph"/>
        <w:numPr>
          <w:ilvl w:val="0"/>
          <w:numId w:val="12"/>
        </w:numPr>
        <w:spacing w:after="0"/>
        <w:contextualSpacing w:val="0"/>
      </w:pPr>
      <w:r w:rsidRPr="00515C76">
        <w:t xml:space="preserve">Assess </w:t>
      </w:r>
      <w:r w:rsidR="00E574A9">
        <w:t>community and factory workers' knowledge, attitudes, and practices (KAP)</w:t>
      </w:r>
      <w:r w:rsidRPr="00515C76">
        <w:t xml:space="preserve"> on WASH</w:t>
      </w:r>
      <w:r>
        <w:t xml:space="preserve"> and identify</w:t>
      </w:r>
      <w:r w:rsidRPr="00515C76">
        <w:t xml:space="preserve"> </w:t>
      </w:r>
      <w:r w:rsidRPr="00641B7C">
        <w:t xml:space="preserve">socio-cultural barriers affecting hygiene </w:t>
      </w:r>
      <w:r>
        <w:t xml:space="preserve">practice </w:t>
      </w:r>
      <w:r w:rsidRPr="00641B7C">
        <w:t xml:space="preserve">and </w:t>
      </w:r>
      <w:r>
        <w:t xml:space="preserve">shared </w:t>
      </w:r>
      <w:r w:rsidRPr="00641B7C">
        <w:t>facility</w:t>
      </w:r>
      <w:r>
        <w:t xml:space="preserve"> use</w:t>
      </w:r>
      <w:r w:rsidRPr="00641B7C">
        <w:t>.</w:t>
      </w:r>
    </w:p>
    <w:p w14:paraId="2E8B94F4" w14:textId="5E586158" w:rsidR="00025A5C" w:rsidRPr="00641B7C" w:rsidRDefault="00025A5C" w:rsidP="00E574A9">
      <w:pPr>
        <w:pStyle w:val="ListParagraph"/>
        <w:numPr>
          <w:ilvl w:val="0"/>
          <w:numId w:val="12"/>
        </w:numPr>
        <w:spacing w:after="0"/>
        <w:contextualSpacing w:val="0"/>
      </w:pPr>
      <w:r w:rsidRPr="00641B7C">
        <w:t xml:space="preserve">Assess the </w:t>
      </w:r>
      <w:r w:rsidR="00E574A9">
        <w:t xml:space="preserve">capacity of </w:t>
      </w:r>
      <w:r w:rsidR="00903007">
        <w:t xml:space="preserve">factory </w:t>
      </w:r>
      <w:r w:rsidR="00E574A9">
        <w:t>management to maintain WASH facilities inside the factories and implement workplace WASH guidelines</w:t>
      </w:r>
      <w:r w:rsidRPr="00641B7C">
        <w:t>.</w:t>
      </w:r>
    </w:p>
    <w:p w14:paraId="3BDE1262" w14:textId="04A4A35F" w:rsidR="00025A5C" w:rsidRPr="00641B7C" w:rsidRDefault="00025A5C" w:rsidP="00E574A9">
      <w:pPr>
        <w:pStyle w:val="ListParagraph"/>
        <w:numPr>
          <w:ilvl w:val="0"/>
          <w:numId w:val="12"/>
        </w:numPr>
        <w:spacing w:after="0"/>
        <w:contextualSpacing w:val="0"/>
      </w:pPr>
      <w:r w:rsidRPr="00641B7C">
        <w:t xml:space="preserve">Review coordination among local authorities and </w:t>
      </w:r>
      <w:r>
        <w:t xml:space="preserve">key </w:t>
      </w:r>
      <w:r w:rsidRPr="00641B7C">
        <w:t>stakeholders to improve sustainable WASH services.</w:t>
      </w:r>
    </w:p>
    <w:p w14:paraId="517406DA" w14:textId="59E6C1C6" w:rsidR="00025A5C" w:rsidRPr="00A14B25" w:rsidRDefault="00025A5C" w:rsidP="00E574A9">
      <w:pPr>
        <w:pStyle w:val="ListParagraph"/>
        <w:numPr>
          <w:ilvl w:val="0"/>
          <w:numId w:val="12"/>
        </w:numPr>
        <w:spacing w:after="0"/>
        <w:contextualSpacing w:val="0"/>
      </w:pPr>
      <w:r w:rsidRPr="00641B7C">
        <w:t>Provide actionable recommendations to enhance WASH infrastructure, services, and behavioural adoption at community and factory levels.</w:t>
      </w:r>
    </w:p>
    <w:p w14:paraId="52D8880E" w14:textId="77777777" w:rsidR="00E574A9" w:rsidRDefault="00E574A9" w:rsidP="00E574A9">
      <w:pPr>
        <w:spacing w:after="0"/>
        <w:rPr>
          <w:b/>
          <w:bCs/>
        </w:rPr>
      </w:pPr>
    </w:p>
    <w:p w14:paraId="0D28146A" w14:textId="4E92050C" w:rsidR="00E574A9" w:rsidRPr="00E574A9" w:rsidRDefault="00E574A9" w:rsidP="00E574A9">
      <w:pPr>
        <w:spacing w:after="0"/>
      </w:pPr>
      <w:r w:rsidRPr="00E574A9">
        <w:t>The sco</w:t>
      </w:r>
      <w:r>
        <w:t>pe</w:t>
      </w:r>
      <w:r w:rsidRPr="00E574A9">
        <w:t xml:space="preserve"> of work for this assignment is to:</w:t>
      </w:r>
    </w:p>
    <w:p w14:paraId="546BBFF7" w14:textId="10B777D8" w:rsidR="00025A5C" w:rsidRDefault="00E574A9" w:rsidP="00E574A9">
      <w:pPr>
        <w:pStyle w:val="ListParagraph"/>
        <w:numPr>
          <w:ilvl w:val="0"/>
          <w:numId w:val="12"/>
        </w:numPr>
        <w:spacing w:after="0"/>
        <w:contextualSpacing w:val="0"/>
      </w:pPr>
      <w:r>
        <w:t>P</w:t>
      </w:r>
      <w:r w:rsidR="00025A5C" w:rsidRPr="00B91436">
        <w:t>ropose key assessment questions in the inception report, refined in consultation with the project team to ensure clarity and alignment with the assessment’s objectives.</w:t>
      </w:r>
    </w:p>
    <w:p w14:paraId="44B042D1" w14:textId="697D5B07" w:rsidR="00025A5C" w:rsidRDefault="00025A5C" w:rsidP="00E574A9">
      <w:pPr>
        <w:pStyle w:val="ListParagraph"/>
        <w:numPr>
          <w:ilvl w:val="0"/>
          <w:numId w:val="12"/>
        </w:numPr>
        <w:spacing w:after="0"/>
        <w:contextualSpacing w:val="0"/>
      </w:pPr>
      <w:r w:rsidRPr="00510D34">
        <w:t>Analy</w:t>
      </w:r>
      <w:r w:rsidR="00E574A9">
        <w:t>s</w:t>
      </w:r>
      <w:r w:rsidRPr="00510D34">
        <w:t>e the socio-demographic and economic profiles of the worker communities in Tongi</w:t>
      </w:r>
      <w:r>
        <w:t xml:space="preserve"> through </w:t>
      </w:r>
      <w:r w:rsidR="00E574A9">
        <w:t xml:space="preserve">a </w:t>
      </w:r>
      <w:r>
        <w:t xml:space="preserve">structured household survey. </w:t>
      </w:r>
    </w:p>
    <w:p w14:paraId="5E2289ED" w14:textId="457CF0A8" w:rsidR="001628A9" w:rsidRPr="00A0486D" w:rsidRDefault="001628A9" w:rsidP="00E574A9">
      <w:pPr>
        <w:pStyle w:val="ListParagraph"/>
        <w:numPr>
          <w:ilvl w:val="0"/>
          <w:numId w:val="12"/>
        </w:numPr>
        <w:spacing w:after="0"/>
        <w:contextualSpacing w:val="0"/>
      </w:pPr>
      <w:r>
        <w:t>Assess</w:t>
      </w:r>
      <w:r w:rsidRPr="001628A9">
        <w:t xml:space="preserve"> the availability, functionality, accessibility, and safety of water supply, sanitation, and hygiene (WASH) facilities in both the community and factory settings. This will include an assessment of gender-segregated toilets and MHM (Menstrual Hygiene Management) provisions</w:t>
      </w:r>
      <w:r w:rsidRPr="00A0486D">
        <w:t>, alongside reviewing water sources, technologies, quality, safety, and tariffs.</w:t>
      </w:r>
    </w:p>
    <w:p w14:paraId="7661FAC1" w14:textId="7C50FD13" w:rsidR="001628A9" w:rsidRPr="00A0486D" w:rsidRDefault="001628A9" w:rsidP="00E574A9">
      <w:pPr>
        <w:pStyle w:val="ListParagraph"/>
        <w:numPr>
          <w:ilvl w:val="0"/>
          <w:numId w:val="12"/>
        </w:numPr>
        <w:spacing w:after="0"/>
        <w:contextualSpacing w:val="0"/>
      </w:pPr>
      <w:r w:rsidRPr="00A0486D">
        <w:t>Assess the current status of the Faecal Sludge Management (FSM) and Solid Waste Management (SWM) value chains within the Tongi community, identifying key service providers and evaluating their capacity to manage WASH services effectively.</w:t>
      </w:r>
    </w:p>
    <w:p w14:paraId="5711723A" w14:textId="40BE4324" w:rsidR="00025A5C" w:rsidRDefault="00025A5C" w:rsidP="00E574A9">
      <w:pPr>
        <w:pStyle w:val="ListParagraph"/>
        <w:numPr>
          <w:ilvl w:val="0"/>
          <w:numId w:val="12"/>
        </w:numPr>
        <w:spacing w:after="0"/>
        <w:contextualSpacing w:val="0"/>
      </w:pPr>
      <w:r w:rsidRPr="00A0486D">
        <w:t>Identify gaps in infrastructure, maintenance practices, and environmental sanitation risks</w:t>
      </w:r>
      <w:r w:rsidR="00E574A9">
        <w:t>,</w:t>
      </w:r>
      <w:r w:rsidRPr="00A14B25">
        <w:t xml:space="preserve"> </w:t>
      </w:r>
      <w:r>
        <w:t>including</w:t>
      </w:r>
      <w:r w:rsidRPr="00A14B25">
        <w:t xml:space="preserve"> waste management</w:t>
      </w:r>
      <w:r>
        <w:t xml:space="preserve"> and </w:t>
      </w:r>
      <w:r w:rsidRPr="00A14B25">
        <w:t>desludging</w:t>
      </w:r>
      <w:r>
        <w:t xml:space="preserve"> practices </w:t>
      </w:r>
      <w:r w:rsidRPr="00A14B25">
        <w:t xml:space="preserve">through field observations, KIIs with local authorities </w:t>
      </w:r>
      <w:r w:rsidRPr="00A14B25">
        <w:lastRenderedPageBreak/>
        <w:t>and factory management, and focus group discussions (FGDs) with community members and workers.</w:t>
      </w:r>
    </w:p>
    <w:p w14:paraId="704D00F6" w14:textId="77777777" w:rsidR="00025A5C" w:rsidRPr="00A14B25" w:rsidRDefault="00025A5C" w:rsidP="00E574A9">
      <w:pPr>
        <w:pStyle w:val="ListParagraph"/>
        <w:numPr>
          <w:ilvl w:val="0"/>
          <w:numId w:val="12"/>
        </w:numPr>
        <w:spacing w:after="0"/>
        <w:contextualSpacing w:val="0"/>
      </w:pPr>
      <w:r w:rsidRPr="00A14B25">
        <w:t>Assess WASH knowledge, attitudes, and practices (KAP) and socio-cultural barriers affecting hygiene behaviour and shared facility use through household surveys, FGDs, and KIIs with community members and factory workers.</w:t>
      </w:r>
    </w:p>
    <w:p w14:paraId="552ACB5C" w14:textId="6FB43004" w:rsidR="00025A5C" w:rsidRPr="00A14B25" w:rsidRDefault="00025A5C" w:rsidP="00E574A9">
      <w:pPr>
        <w:pStyle w:val="ListParagraph"/>
        <w:numPr>
          <w:ilvl w:val="0"/>
          <w:numId w:val="12"/>
        </w:numPr>
        <w:spacing w:after="0"/>
        <w:contextualSpacing w:val="0"/>
      </w:pPr>
      <w:r>
        <w:t xml:space="preserve">Assess </w:t>
      </w:r>
      <w:r w:rsidR="00903007">
        <w:t>factory c</w:t>
      </w:r>
      <w:r w:rsidRPr="00A14B25">
        <w:t>apacity to maintain WASH facilities and implement workplace WASH guidelines through KIIs with factory management, staff, and worker representatives, supported by on-site observations.</w:t>
      </w:r>
    </w:p>
    <w:p w14:paraId="65C87B23" w14:textId="74730B87" w:rsidR="00025A5C" w:rsidRDefault="00025A5C" w:rsidP="00E574A9">
      <w:pPr>
        <w:pStyle w:val="ListParagraph"/>
        <w:numPr>
          <w:ilvl w:val="0"/>
          <w:numId w:val="12"/>
        </w:numPr>
        <w:spacing w:after="0"/>
        <w:contextualSpacing w:val="0"/>
      </w:pPr>
      <w:r w:rsidRPr="00A14B25">
        <w:t xml:space="preserve">Review coordination mechanisms between local authorities and stakeholders through KIIs and </w:t>
      </w:r>
      <w:r>
        <w:t xml:space="preserve">secondary documents analysis </w:t>
      </w:r>
      <w:r w:rsidRPr="00A14B25">
        <w:t>to identify challenges and opportunities for strengthening sustainable WASH services</w:t>
      </w:r>
      <w:r>
        <w:t xml:space="preserve"> in Tongi</w:t>
      </w:r>
      <w:r w:rsidRPr="00A14B25">
        <w:t>.</w:t>
      </w:r>
    </w:p>
    <w:p w14:paraId="5E19156B" w14:textId="06CE0297" w:rsidR="001628A9" w:rsidRPr="00A14B25" w:rsidRDefault="001628A9" w:rsidP="001628A9">
      <w:pPr>
        <w:pStyle w:val="ListParagraph"/>
        <w:numPr>
          <w:ilvl w:val="0"/>
          <w:numId w:val="12"/>
        </w:numPr>
        <w:spacing w:after="0"/>
        <w:contextualSpacing w:val="0"/>
      </w:pPr>
      <w:r>
        <w:t>To support assessment findings, capture good-quality consented photos of community and factory WASH infrastructure, maintenance practices, and environmental sanitation condition</w:t>
      </w:r>
      <w:r w:rsidRPr="00B91436">
        <w:t>s.</w:t>
      </w:r>
    </w:p>
    <w:p w14:paraId="5728CB13" w14:textId="77777777" w:rsidR="00025A5C" w:rsidRDefault="00025A5C" w:rsidP="00E574A9">
      <w:pPr>
        <w:pStyle w:val="ListParagraph"/>
        <w:numPr>
          <w:ilvl w:val="0"/>
          <w:numId w:val="12"/>
        </w:numPr>
        <w:spacing w:after="0"/>
        <w:contextualSpacing w:val="0"/>
      </w:pPr>
      <w:r w:rsidRPr="00A14B25">
        <w:t>Provide actionable recommendations based on the findings to improve WASH infrastructure, service delivery, and behaviour change initiatives at both community and factory levels.</w:t>
      </w:r>
    </w:p>
    <w:p w14:paraId="0E734AEB" w14:textId="77777777" w:rsidR="00E574A9" w:rsidRPr="00A14B25" w:rsidRDefault="00E574A9" w:rsidP="00E574A9">
      <w:pPr>
        <w:pStyle w:val="ListParagraph"/>
        <w:spacing w:after="0"/>
        <w:contextualSpacing w:val="0"/>
      </w:pPr>
    </w:p>
    <w:p w14:paraId="53037E2E" w14:textId="77777777" w:rsidR="00025A5C" w:rsidRDefault="00025A5C" w:rsidP="00E574A9">
      <w:pPr>
        <w:pStyle w:val="Heading2"/>
      </w:pPr>
      <w:r>
        <w:t xml:space="preserve">Deliverables </w:t>
      </w:r>
    </w:p>
    <w:p w14:paraId="480C823A" w14:textId="45BF1A66" w:rsidR="00025A5C" w:rsidRDefault="00025A5C" w:rsidP="00E574A9">
      <w:pPr>
        <w:spacing w:after="0"/>
      </w:pPr>
      <w:r>
        <w:t>The following will be the deliverables of the baseline assessment:</w:t>
      </w:r>
    </w:p>
    <w:p w14:paraId="22ECCAE8" w14:textId="4F6488D4" w:rsidR="00025A5C" w:rsidRDefault="00025A5C" w:rsidP="00E574A9">
      <w:pPr>
        <w:pStyle w:val="ListParagraph"/>
        <w:numPr>
          <w:ilvl w:val="0"/>
          <w:numId w:val="12"/>
        </w:numPr>
        <w:spacing w:after="0"/>
        <w:contextualSpacing w:val="0"/>
      </w:pPr>
      <w:r>
        <w:t>Inception report including key assessment questions</w:t>
      </w:r>
      <w:r w:rsidR="00E574A9">
        <w:t>,</w:t>
      </w:r>
      <w:r>
        <w:t xml:space="preserve"> detailed methodology, data collection plan, survey tools, qualitative checklists and timeline </w:t>
      </w:r>
    </w:p>
    <w:p w14:paraId="7130E5F8" w14:textId="5EE21BAF" w:rsidR="00025A5C" w:rsidRDefault="00025A5C" w:rsidP="00E574A9">
      <w:pPr>
        <w:pStyle w:val="ListParagraph"/>
        <w:numPr>
          <w:ilvl w:val="0"/>
          <w:numId w:val="12"/>
        </w:numPr>
        <w:spacing w:after="0"/>
        <w:contextualSpacing w:val="0"/>
      </w:pPr>
      <w:r>
        <w:t>Draft assessment report ( not more than 30 pages excluding annex</w:t>
      </w:r>
      <w:r w:rsidR="00E574A9">
        <w:t>e</w:t>
      </w:r>
      <w:r>
        <w:t>) in soft copies in MS Word and PDF format</w:t>
      </w:r>
    </w:p>
    <w:p w14:paraId="7BF34411" w14:textId="77777777" w:rsidR="00025A5C" w:rsidRDefault="00025A5C" w:rsidP="00E574A9">
      <w:pPr>
        <w:pStyle w:val="ListParagraph"/>
        <w:numPr>
          <w:ilvl w:val="0"/>
          <w:numId w:val="12"/>
        </w:numPr>
        <w:spacing w:after="0"/>
        <w:contextualSpacing w:val="0"/>
      </w:pPr>
      <w:r>
        <w:t>Final assessment report in soft copies in MS Word and PDF format</w:t>
      </w:r>
    </w:p>
    <w:p w14:paraId="3E872C73" w14:textId="59379B6D" w:rsidR="00025A5C" w:rsidRDefault="00025A5C" w:rsidP="00E574A9">
      <w:pPr>
        <w:pStyle w:val="ListParagraph"/>
        <w:numPr>
          <w:ilvl w:val="0"/>
          <w:numId w:val="12"/>
        </w:numPr>
        <w:spacing w:after="0"/>
        <w:contextualSpacing w:val="0"/>
      </w:pPr>
      <w:r>
        <w:t xml:space="preserve">Photos of </w:t>
      </w:r>
      <w:r w:rsidRPr="00B91436">
        <w:t>community and factory WASH infrastructure, maintenance practices, and environmental sanitation conditions support</w:t>
      </w:r>
      <w:r>
        <w:t xml:space="preserve">ing </w:t>
      </w:r>
      <w:r w:rsidRPr="00B91436">
        <w:t>assessment findings</w:t>
      </w:r>
      <w:r w:rsidR="00E574A9">
        <w:t>, with signed consent.</w:t>
      </w:r>
    </w:p>
    <w:p w14:paraId="62C0FD62" w14:textId="77777777" w:rsidR="00025A5C" w:rsidRDefault="00025A5C" w:rsidP="00E574A9">
      <w:pPr>
        <w:pStyle w:val="ListParagraph"/>
        <w:numPr>
          <w:ilvl w:val="0"/>
          <w:numId w:val="12"/>
        </w:numPr>
        <w:spacing w:after="0"/>
        <w:contextualSpacing w:val="0"/>
      </w:pPr>
      <w:r>
        <w:t>RAW and clean dataset in Excel and SPSS format and qualitative transcripts</w:t>
      </w:r>
    </w:p>
    <w:p w14:paraId="48C27949" w14:textId="77777777" w:rsidR="00E574A9" w:rsidRDefault="00E574A9" w:rsidP="00E574A9">
      <w:pPr>
        <w:pStyle w:val="ListParagraph"/>
        <w:spacing w:after="0"/>
        <w:contextualSpacing w:val="0"/>
      </w:pPr>
    </w:p>
    <w:p w14:paraId="6E3176F8" w14:textId="77777777" w:rsidR="00025A5C" w:rsidRDefault="00025A5C" w:rsidP="00E574A9">
      <w:pPr>
        <w:pStyle w:val="Heading2"/>
      </w:pPr>
      <w:r>
        <w:t xml:space="preserve">Expected schedule of the assignment  </w:t>
      </w:r>
    </w:p>
    <w:p w14:paraId="7AAE0020" w14:textId="0DF477B3" w:rsidR="00025A5C" w:rsidRDefault="00025A5C" w:rsidP="00E574A9">
      <w:r>
        <w:t xml:space="preserve">The assignment shall be completed within </w:t>
      </w:r>
      <w:r w:rsidR="00E574A9">
        <w:t>four (</w:t>
      </w:r>
      <w:r>
        <w:t>4</w:t>
      </w:r>
      <w:r w:rsidR="00E574A9">
        <w:t>)</w:t>
      </w:r>
      <w:r>
        <w:t xml:space="preserve"> weeks  </w:t>
      </w:r>
    </w:p>
    <w:tbl>
      <w:tblPr>
        <w:tblStyle w:val="TableGrid"/>
        <w:tblW w:w="5000" w:type="pct"/>
        <w:tblLook w:val="04A0" w:firstRow="1" w:lastRow="0" w:firstColumn="1" w:lastColumn="0" w:noHBand="0" w:noVBand="1"/>
      </w:tblPr>
      <w:tblGrid>
        <w:gridCol w:w="5141"/>
        <w:gridCol w:w="922"/>
        <w:gridCol w:w="922"/>
        <w:gridCol w:w="922"/>
        <w:gridCol w:w="922"/>
        <w:gridCol w:w="918"/>
      </w:tblGrid>
      <w:tr w:rsidR="00025A5C" w14:paraId="0DC452A4" w14:textId="77777777" w:rsidTr="00113DA6">
        <w:tc>
          <w:tcPr>
            <w:tcW w:w="2637" w:type="pct"/>
            <w:vMerge w:val="restart"/>
          </w:tcPr>
          <w:p w14:paraId="0047CB88" w14:textId="77777777" w:rsidR="00025A5C" w:rsidRPr="00E574A9" w:rsidRDefault="00025A5C" w:rsidP="00E574A9">
            <w:pPr>
              <w:pStyle w:val="NoSpacing"/>
              <w:rPr>
                <w:rFonts w:ascii="Manrope" w:eastAsia="Calibri" w:hAnsi="Manrope" w:cs="Arial"/>
                <w:color w:val="0033A0"/>
                <w:lang w:val="en-GB"/>
              </w:rPr>
            </w:pPr>
            <w:r w:rsidRPr="00E574A9">
              <w:rPr>
                <w:rFonts w:ascii="Manrope" w:eastAsia="Calibri" w:hAnsi="Manrope" w:cs="Arial"/>
                <w:color w:val="0033A0"/>
                <w:lang w:val="en-GB"/>
              </w:rPr>
              <w:t xml:space="preserve">Deliverable/tasks </w:t>
            </w:r>
          </w:p>
        </w:tc>
        <w:tc>
          <w:tcPr>
            <w:tcW w:w="2363" w:type="pct"/>
            <w:gridSpan w:val="5"/>
            <w:vAlign w:val="center"/>
          </w:tcPr>
          <w:p w14:paraId="5D57D647" w14:textId="77777777" w:rsidR="00025A5C" w:rsidRPr="00E574A9" w:rsidRDefault="00025A5C" w:rsidP="00E574A9">
            <w:pPr>
              <w:pStyle w:val="NoSpacing"/>
              <w:jc w:val="center"/>
              <w:rPr>
                <w:rFonts w:ascii="Manrope" w:eastAsia="Calibri" w:hAnsi="Manrope" w:cs="Arial"/>
                <w:color w:val="0033A0"/>
                <w:lang w:val="en-GB"/>
              </w:rPr>
            </w:pPr>
            <w:r w:rsidRPr="00E574A9">
              <w:rPr>
                <w:rFonts w:ascii="Manrope" w:eastAsia="Calibri" w:hAnsi="Manrope" w:cs="Arial"/>
                <w:color w:val="0033A0"/>
                <w:lang w:val="en-GB"/>
              </w:rPr>
              <w:t>Weeks</w:t>
            </w:r>
          </w:p>
        </w:tc>
      </w:tr>
      <w:tr w:rsidR="00025A5C" w14:paraId="2318DCF3" w14:textId="77777777" w:rsidTr="00E574A9">
        <w:trPr>
          <w:trHeight w:val="158"/>
        </w:trPr>
        <w:tc>
          <w:tcPr>
            <w:tcW w:w="2637" w:type="pct"/>
            <w:vMerge/>
          </w:tcPr>
          <w:p w14:paraId="3FA30E35" w14:textId="77777777" w:rsidR="00025A5C" w:rsidRPr="00E574A9" w:rsidRDefault="00025A5C" w:rsidP="00E574A9">
            <w:pPr>
              <w:pStyle w:val="NoSpacing"/>
              <w:rPr>
                <w:rFonts w:ascii="Manrope" w:eastAsia="Calibri" w:hAnsi="Manrope" w:cs="Arial"/>
                <w:color w:val="0033A0"/>
                <w:lang w:val="en-GB"/>
              </w:rPr>
            </w:pPr>
          </w:p>
        </w:tc>
        <w:tc>
          <w:tcPr>
            <w:tcW w:w="473" w:type="pct"/>
            <w:vAlign w:val="center"/>
          </w:tcPr>
          <w:p w14:paraId="6D64DCAB" w14:textId="77777777" w:rsidR="00025A5C" w:rsidRPr="00E574A9" w:rsidRDefault="00025A5C" w:rsidP="00E574A9">
            <w:pPr>
              <w:pStyle w:val="NoSpacing"/>
              <w:rPr>
                <w:rFonts w:ascii="Manrope" w:eastAsia="Calibri" w:hAnsi="Manrope" w:cs="Arial"/>
                <w:color w:val="0033A0"/>
                <w:lang w:val="en-GB"/>
              </w:rPr>
            </w:pPr>
            <w:r w:rsidRPr="00E574A9">
              <w:rPr>
                <w:rFonts w:ascii="Manrope" w:eastAsia="Calibri" w:hAnsi="Manrope" w:cs="Arial"/>
                <w:color w:val="0033A0"/>
                <w:lang w:val="en-GB"/>
              </w:rPr>
              <w:t>1</w:t>
            </w:r>
          </w:p>
        </w:tc>
        <w:tc>
          <w:tcPr>
            <w:tcW w:w="473" w:type="pct"/>
            <w:vAlign w:val="center"/>
          </w:tcPr>
          <w:p w14:paraId="51728F05" w14:textId="77777777" w:rsidR="00025A5C" w:rsidRPr="00E574A9" w:rsidRDefault="00025A5C" w:rsidP="00E574A9">
            <w:pPr>
              <w:pStyle w:val="NoSpacing"/>
              <w:rPr>
                <w:rFonts w:ascii="Manrope" w:eastAsia="Calibri" w:hAnsi="Manrope" w:cs="Arial"/>
                <w:color w:val="0033A0"/>
                <w:lang w:val="en-GB"/>
              </w:rPr>
            </w:pPr>
            <w:r w:rsidRPr="00E574A9">
              <w:rPr>
                <w:rFonts w:ascii="Manrope" w:eastAsia="Calibri" w:hAnsi="Manrope" w:cs="Arial"/>
                <w:color w:val="0033A0"/>
                <w:lang w:val="en-GB"/>
              </w:rPr>
              <w:t>2</w:t>
            </w:r>
          </w:p>
        </w:tc>
        <w:tc>
          <w:tcPr>
            <w:tcW w:w="473" w:type="pct"/>
            <w:vAlign w:val="center"/>
          </w:tcPr>
          <w:p w14:paraId="32E5993F" w14:textId="77777777" w:rsidR="00025A5C" w:rsidRPr="00E574A9" w:rsidRDefault="00025A5C" w:rsidP="00E574A9">
            <w:pPr>
              <w:pStyle w:val="NoSpacing"/>
              <w:rPr>
                <w:rFonts w:ascii="Manrope" w:eastAsia="Calibri" w:hAnsi="Manrope" w:cs="Arial"/>
                <w:color w:val="0033A0"/>
                <w:lang w:val="en-GB"/>
              </w:rPr>
            </w:pPr>
            <w:r w:rsidRPr="00E574A9">
              <w:rPr>
                <w:rFonts w:ascii="Manrope" w:eastAsia="Calibri" w:hAnsi="Manrope" w:cs="Arial"/>
                <w:color w:val="0033A0"/>
                <w:lang w:val="en-GB"/>
              </w:rPr>
              <w:t>3</w:t>
            </w:r>
          </w:p>
        </w:tc>
        <w:tc>
          <w:tcPr>
            <w:tcW w:w="473" w:type="pct"/>
            <w:vAlign w:val="center"/>
          </w:tcPr>
          <w:p w14:paraId="2D34C4FA" w14:textId="77777777" w:rsidR="00025A5C" w:rsidRPr="00E574A9" w:rsidRDefault="00025A5C" w:rsidP="00E574A9">
            <w:pPr>
              <w:pStyle w:val="NoSpacing"/>
              <w:rPr>
                <w:rFonts w:ascii="Manrope" w:eastAsia="Calibri" w:hAnsi="Manrope" w:cs="Arial"/>
                <w:color w:val="0033A0"/>
                <w:lang w:val="en-GB"/>
              </w:rPr>
            </w:pPr>
            <w:r w:rsidRPr="00E574A9">
              <w:rPr>
                <w:rFonts w:ascii="Manrope" w:eastAsia="Calibri" w:hAnsi="Manrope" w:cs="Arial"/>
                <w:color w:val="0033A0"/>
                <w:lang w:val="en-GB"/>
              </w:rPr>
              <w:t>4</w:t>
            </w:r>
          </w:p>
        </w:tc>
        <w:tc>
          <w:tcPr>
            <w:tcW w:w="473" w:type="pct"/>
            <w:vAlign w:val="center"/>
          </w:tcPr>
          <w:p w14:paraId="5C758269" w14:textId="77777777" w:rsidR="00025A5C" w:rsidRPr="00E574A9" w:rsidRDefault="00025A5C" w:rsidP="00E574A9">
            <w:pPr>
              <w:pStyle w:val="NoSpacing"/>
              <w:rPr>
                <w:rFonts w:ascii="Manrope" w:eastAsia="Calibri" w:hAnsi="Manrope" w:cs="Arial"/>
                <w:color w:val="0033A0"/>
                <w:lang w:val="en-GB"/>
              </w:rPr>
            </w:pPr>
            <w:r w:rsidRPr="00E574A9">
              <w:rPr>
                <w:rFonts w:ascii="Manrope" w:eastAsia="Calibri" w:hAnsi="Manrope" w:cs="Arial"/>
                <w:color w:val="0033A0"/>
                <w:lang w:val="en-GB"/>
              </w:rPr>
              <w:t>5</w:t>
            </w:r>
          </w:p>
        </w:tc>
      </w:tr>
      <w:tr w:rsidR="00025A5C" w14:paraId="76BFDCC6" w14:textId="77777777" w:rsidTr="00025A5C">
        <w:tc>
          <w:tcPr>
            <w:tcW w:w="2637" w:type="pct"/>
          </w:tcPr>
          <w:p w14:paraId="0BE111D9" w14:textId="77777777" w:rsidR="00025A5C" w:rsidRPr="00E574A9" w:rsidRDefault="00025A5C" w:rsidP="00E574A9">
            <w:pPr>
              <w:pStyle w:val="NoSpacing"/>
              <w:rPr>
                <w:rFonts w:ascii="Manrope" w:eastAsia="Calibri" w:hAnsi="Manrope" w:cs="Arial"/>
                <w:color w:val="0033A0"/>
                <w:lang w:val="en-GB"/>
              </w:rPr>
            </w:pPr>
            <w:r w:rsidRPr="00E574A9">
              <w:rPr>
                <w:rFonts w:ascii="Manrope" w:eastAsia="Calibri" w:hAnsi="Manrope" w:cs="Arial"/>
                <w:color w:val="0033A0"/>
                <w:lang w:val="en-GB"/>
              </w:rPr>
              <w:t>Inception report</w:t>
            </w:r>
          </w:p>
        </w:tc>
        <w:tc>
          <w:tcPr>
            <w:tcW w:w="473" w:type="pct"/>
            <w:shd w:val="clear" w:color="auto" w:fill="B7D4EF"/>
            <w:vAlign w:val="center"/>
          </w:tcPr>
          <w:p w14:paraId="547674D1" w14:textId="77777777" w:rsidR="00025A5C" w:rsidRPr="00E574A9" w:rsidRDefault="00025A5C" w:rsidP="00E574A9">
            <w:pPr>
              <w:pStyle w:val="NoSpacing"/>
              <w:rPr>
                <w:rFonts w:ascii="Manrope" w:eastAsia="Calibri" w:hAnsi="Manrope" w:cs="Arial"/>
                <w:color w:val="0033A0"/>
                <w:lang w:val="en-GB"/>
              </w:rPr>
            </w:pPr>
          </w:p>
        </w:tc>
        <w:tc>
          <w:tcPr>
            <w:tcW w:w="473" w:type="pct"/>
            <w:vAlign w:val="center"/>
          </w:tcPr>
          <w:p w14:paraId="5F6C5E99" w14:textId="77777777" w:rsidR="00025A5C" w:rsidRPr="00E574A9" w:rsidRDefault="00025A5C" w:rsidP="00E574A9">
            <w:pPr>
              <w:pStyle w:val="NoSpacing"/>
              <w:rPr>
                <w:rFonts w:ascii="Manrope" w:eastAsia="Calibri" w:hAnsi="Manrope" w:cs="Arial"/>
                <w:color w:val="0033A0"/>
                <w:lang w:val="en-GB"/>
              </w:rPr>
            </w:pPr>
          </w:p>
        </w:tc>
        <w:tc>
          <w:tcPr>
            <w:tcW w:w="473" w:type="pct"/>
            <w:vAlign w:val="center"/>
          </w:tcPr>
          <w:p w14:paraId="5B760A44" w14:textId="77777777" w:rsidR="00025A5C" w:rsidRPr="00E574A9" w:rsidRDefault="00025A5C" w:rsidP="00E574A9">
            <w:pPr>
              <w:pStyle w:val="NoSpacing"/>
              <w:rPr>
                <w:rFonts w:ascii="Manrope" w:eastAsia="Calibri" w:hAnsi="Manrope" w:cs="Arial"/>
                <w:color w:val="0033A0"/>
                <w:lang w:val="en-GB"/>
              </w:rPr>
            </w:pPr>
          </w:p>
        </w:tc>
        <w:tc>
          <w:tcPr>
            <w:tcW w:w="473" w:type="pct"/>
            <w:vAlign w:val="center"/>
          </w:tcPr>
          <w:p w14:paraId="5A74C81D" w14:textId="77777777" w:rsidR="00025A5C" w:rsidRPr="00E574A9" w:rsidRDefault="00025A5C" w:rsidP="00E574A9">
            <w:pPr>
              <w:pStyle w:val="NoSpacing"/>
              <w:rPr>
                <w:rFonts w:ascii="Manrope" w:eastAsia="Calibri" w:hAnsi="Manrope" w:cs="Arial"/>
                <w:color w:val="0033A0"/>
                <w:lang w:val="en-GB"/>
              </w:rPr>
            </w:pPr>
          </w:p>
        </w:tc>
        <w:tc>
          <w:tcPr>
            <w:tcW w:w="473" w:type="pct"/>
            <w:vAlign w:val="center"/>
          </w:tcPr>
          <w:p w14:paraId="4D2DF293" w14:textId="77777777" w:rsidR="00025A5C" w:rsidRPr="00E574A9" w:rsidRDefault="00025A5C" w:rsidP="00E574A9">
            <w:pPr>
              <w:pStyle w:val="NoSpacing"/>
              <w:rPr>
                <w:rFonts w:ascii="Manrope" w:eastAsia="Calibri" w:hAnsi="Manrope" w:cs="Arial"/>
                <w:color w:val="0033A0"/>
                <w:lang w:val="en-GB"/>
              </w:rPr>
            </w:pPr>
          </w:p>
        </w:tc>
      </w:tr>
      <w:tr w:rsidR="00025A5C" w14:paraId="5EFE7563" w14:textId="77777777" w:rsidTr="00025A5C">
        <w:tc>
          <w:tcPr>
            <w:tcW w:w="2637" w:type="pct"/>
          </w:tcPr>
          <w:p w14:paraId="39857CEF" w14:textId="77777777" w:rsidR="00025A5C" w:rsidRPr="00E574A9" w:rsidRDefault="00025A5C" w:rsidP="00E574A9">
            <w:pPr>
              <w:pStyle w:val="NoSpacing"/>
              <w:rPr>
                <w:rFonts w:ascii="Manrope" w:eastAsia="Calibri" w:hAnsi="Manrope" w:cs="Arial"/>
                <w:color w:val="0033A0"/>
                <w:lang w:val="en-GB"/>
              </w:rPr>
            </w:pPr>
            <w:r w:rsidRPr="00E574A9">
              <w:rPr>
                <w:rFonts w:ascii="Manrope" w:eastAsia="Calibri" w:hAnsi="Manrope" w:cs="Arial"/>
                <w:color w:val="0033A0"/>
                <w:lang w:val="en-GB"/>
              </w:rPr>
              <w:t>Data collection and field visit</w:t>
            </w:r>
          </w:p>
        </w:tc>
        <w:tc>
          <w:tcPr>
            <w:tcW w:w="473" w:type="pct"/>
            <w:vAlign w:val="center"/>
          </w:tcPr>
          <w:p w14:paraId="5116B0F8" w14:textId="77777777" w:rsidR="00025A5C" w:rsidRPr="00E574A9" w:rsidRDefault="00025A5C" w:rsidP="00E574A9">
            <w:pPr>
              <w:pStyle w:val="NoSpacing"/>
              <w:rPr>
                <w:rFonts w:ascii="Manrope" w:eastAsia="Calibri" w:hAnsi="Manrope" w:cs="Arial"/>
                <w:color w:val="0033A0"/>
                <w:lang w:val="en-GB"/>
              </w:rPr>
            </w:pPr>
          </w:p>
        </w:tc>
        <w:tc>
          <w:tcPr>
            <w:tcW w:w="473" w:type="pct"/>
            <w:shd w:val="clear" w:color="auto" w:fill="B7D4EF"/>
            <w:vAlign w:val="center"/>
          </w:tcPr>
          <w:p w14:paraId="6E8FF342" w14:textId="77777777" w:rsidR="00025A5C" w:rsidRPr="00E574A9" w:rsidRDefault="00025A5C" w:rsidP="00E574A9">
            <w:pPr>
              <w:pStyle w:val="NoSpacing"/>
              <w:rPr>
                <w:rFonts w:ascii="Manrope" w:eastAsia="Calibri" w:hAnsi="Manrope" w:cs="Arial"/>
                <w:color w:val="0033A0"/>
                <w:lang w:val="en-GB"/>
              </w:rPr>
            </w:pPr>
          </w:p>
        </w:tc>
        <w:tc>
          <w:tcPr>
            <w:tcW w:w="473" w:type="pct"/>
            <w:shd w:val="clear" w:color="auto" w:fill="B7D4EF"/>
            <w:vAlign w:val="center"/>
          </w:tcPr>
          <w:p w14:paraId="23740AA9" w14:textId="77777777" w:rsidR="00025A5C" w:rsidRPr="00E574A9" w:rsidRDefault="00025A5C" w:rsidP="00E574A9">
            <w:pPr>
              <w:pStyle w:val="NoSpacing"/>
              <w:rPr>
                <w:rFonts w:ascii="Manrope" w:eastAsia="Calibri" w:hAnsi="Manrope" w:cs="Arial"/>
                <w:color w:val="0033A0"/>
                <w:lang w:val="en-GB"/>
              </w:rPr>
            </w:pPr>
          </w:p>
        </w:tc>
        <w:tc>
          <w:tcPr>
            <w:tcW w:w="473" w:type="pct"/>
            <w:vAlign w:val="center"/>
          </w:tcPr>
          <w:p w14:paraId="35C9CD96" w14:textId="77777777" w:rsidR="00025A5C" w:rsidRPr="00E574A9" w:rsidRDefault="00025A5C" w:rsidP="00E574A9">
            <w:pPr>
              <w:pStyle w:val="NoSpacing"/>
              <w:rPr>
                <w:rFonts w:ascii="Manrope" w:eastAsia="Calibri" w:hAnsi="Manrope" w:cs="Arial"/>
                <w:color w:val="0033A0"/>
                <w:lang w:val="en-GB"/>
              </w:rPr>
            </w:pPr>
          </w:p>
        </w:tc>
        <w:tc>
          <w:tcPr>
            <w:tcW w:w="473" w:type="pct"/>
            <w:vAlign w:val="center"/>
          </w:tcPr>
          <w:p w14:paraId="19E0C551" w14:textId="77777777" w:rsidR="00025A5C" w:rsidRPr="00E574A9" w:rsidRDefault="00025A5C" w:rsidP="00E574A9">
            <w:pPr>
              <w:pStyle w:val="NoSpacing"/>
              <w:rPr>
                <w:rFonts w:ascii="Manrope" w:eastAsia="Calibri" w:hAnsi="Manrope" w:cs="Arial"/>
                <w:color w:val="0033A0"/>
                <w:lang w:val="en-GB"/>
              </w:rPr>
            </w:pPr>
          </w:p>
        </w:tc>
      </w:tr>
      <w:tr w:rsidR="00025A5C" w14:paraId="60649283" w14:textId="77777777" w:rsidTr="00025A5C">
        <w:tc>
          <w:tcPr>
            <w:tcW w:w="2637" w:type="pct"/>
          </w:tcPr>
          <w:p w14:paraId="62EA434F" w14:textId="77777777" w:rsidR="00025A5C" w:rsidRPr="00E574A9" w:rsidRDefault="00025A5C" w:rsidP="00E574A9">
            <w:pPr>
              <w:pStyle w:val="NoSpacing"/>
              <w:rPr>
                <w:rFonts w:ascii="Manrope" w:eastAsia="Calibri" w:hAnsi="Manrope" w:cs="Arial"/>
                <w:color w:val="0033A0"/>
                <w:lang w:val="en-GB"/>
              </w:rPr>
            </w:pPr>
            <w:r w:rsidRPr="00E574A9">
              <w:rPr>
                <w:rFonts w:ascii="Manrope" w:eastAsia="Calibri" w:hAnsi="Manrope" w:cs="Arial"/>
                <w:color w:val="0033A0"/>
                <w:lang w:val="en-GB"/>
              </w:rPr>
              <w:t xml:space="preserve">Draft assessment report </w:t>
            </w:r>
          </w:p>
        </w:tc>
        <w:tc>
          <w:tcPr>
            <w:tcW w:w="473" w:type="pct"/>
            <w:vAlign w:val="center"/>
          </w:tcPr>
          <w:p w14:paraId="50252090" w14:textId="77777777" w:rsidR="00025A5C" w:rsidRPr="00E574A9" w:rsidRDefault="00025A5C" w:rsidP="00E574A9">
            <w:pPr>
              <w:pStyle w:val="NoSpacing"/>
              <w:rPr>
                <w:rFonts w:ascii="Manrope" w:eastAsia="Calibri" w:hAnsi="Manrope" w:cs="Arial"/>
                <w:color w:val="0033A0"/>
                <w:lang w:val="en-GB"/>
              </w:rPr>
            </w:pPr>
          </w:p>
        </w:tc>
        <w:tc>
          <w:tcPr>
            <w:tcW w:w="473" w:type="pct"/>
            <w:vAlign w:val="center"/>
          </w:tcPr>
          <w:p w14:paraId="3B5F1F9C" w14:textId="77777777" w:rsidR="00025A5C" w:rsidRPr="00E574A9" w:rsidRDefault="00025A5C" w:rsidP="00E574A9">
            <w:pPr>
              <w:pStyle w:val="NoSpacing"/>
              <w:rPr>
                <w:rFonts w:ascii="Manrope" w:eastAsia="Calibri" w:hAnsi="Manrope" w:cs="Arial"/>
                <w:color w:val="0033A0"/>
                <w:lang w:val="en-GB"/>
              </w:rPr>
            </w:pPr>
          </w:p>
        </w:tc>
        <w:tc>
          <w:tcPr>
            <w:tcW w:w="473" w:type="pct"/>
            <w:vAlign w:val="center"/>
          </w:tcPr>
          <w:p w14:paraId="4B4C81B5" w14:textId="77777777" w:rsidR="00025A5C" w:rsidRPr="00E574A9" w:rsidRDefault="00025A5C" w:rsidP="00E574A9">
            <w:pPr>
              <w:pStyle w:val="NoSpacing"/>
              <w:rPr>
                <w:rFonts w:ascii="Manrope" w:eastAsia="Calibri" w:hAnsi="Manrope" w:cs="Arial"/>
                <w:color w:val="0033A0"/>
                <w:lang w:val="en-GB"/>
              </w:rPr>
            </w:pPr>
          </w:p>
        </w:tc>
        <w:tc>
          <w:tcPr>
            <w:tcW w:w="473" w:type="pct"/>
            <w:shd w:val="clear" w:color="auto" w:fill="B7D4EF"/>
            <w:vAlign w:val="center"/>
          </w:tcPr>
          <w:p w14:paraId="5118D505" w14:textId="77777777" w:rsidR="00025A5C" w:rsidRPr="00E574A9" w:rsidRDefault="00025A5C" w:rsidP="00E574A9">
            <w:pPr>
              <w:pStyle w:val="NoSpacing"/>
              <w:rPr>
                <w:rFonts w:ascii="Manrope" w:eastAsia="Calibri" w:hAnsi="Manrope" w:cs="Arial"/>
                <w:color w:val="0033A0"/>
                <w:lang w:val="en-GB"/>
              </w:rPr>
            </w:pPr>
          </w:p>
        </w:tc>
        <w:tc>
          <w:tcPr>
            <w:tcW w:w="473" w:type="pct"/>
            <w:vAlign w:val="center"/>
          </w:tcPr>
          <w:p w14:paraId="40B0F99B" w14:textId="77777777" w:rsidR="00025A5C" w:rsidRPr="00E574A9" w:rsidRDefault="00025A5C" w:rsidP="00E574A9">
            <w:pPr>
              <w:pStyle w:val="NoSpacing"/>
              <w:rPr>
                <w:rFonts w:ascii="Manrope" w:eastAsia="Calibri" w:hAnsi="Manrope" w:cs="Arial"/>
                <w:color w:val="0033A0"/>
                <w:lang w:val="en-GB"/>
              </w:rPr>
            </w:pPr>
          </w:p>
        </w:tc>
      </w:tr>
      <w:tr w:rsidR="00025A5C" w14:paraId="182996EA" w14:textId="77777777" w:rsidTr="00025A5C">
        <w:tc>
          <w:tcPr>
            <w:tcW w:w="2637" w:type="pct"/>
          </w:tcPr>
          <w:p w14:paraId="0D559850" w14:textId="77777777" w:rsidR="00025A5C" w:rsidRPr="00E574A9" w:rsidRDefault="00025A5C" w:rsidP="00E574A9">
            <w:pPr>
              <w:pStyle w:val="NoSpacing"/>
              <w:rPr>
                <w:rFonts w:ascii="Manrope" w:eastAsia="Calibri" w:hAnsi="Manrope" w:cs="Arial"/>
                <w:color w:val="0033A0"/>
                <w:lang w:val="en-GB"/>
              </w:rPr>
            </w:pPr>
            <w:r w:rsidRPr="00E574A9">
              <w:rPr>
                <w:rFonts w:ascii="Manrope" w:eastAsia="Calibri" w:hAnsi="Manrope" w:cs="Arial"/>
                <w:color w:val="0033A0"/>
                <w:lang w:val="en-GB"/>
              </w:rPr>
              <w:t xml:space="preserve">Final assessment report </w:t>
            </w:r>
          </w:p>
        </w:tc>
        <w:tc>
          <w:tcPr>
            <w:tcW w:w="473" w:type="pct"/>
            <w:vAlign w:val="center"/>
          </w:tcPr>
          <w:p w14:paraId="27C0FE0B" w14:textId="77777777" w:rsidR="00025A5C" w:rsidRPr="00E574A9" w:rsidRDefault="00025A5C" w:rsidP="00E574A9">
            <w:pPr>
              <w:pStyle w:val="NoSpacing"/>
              <w:rPr>
                <w:rFonts w:ascii="Manrope" w:eastAsia="Calibri" w:hAnsi="Manrope" w:cs="Arial"/>
                <w:color w:val="0033A0"/>
                <w:lang w:val="en-GB"/>
              </w:rPr>
            </w:pPr>
          </w:p>
        </w:tc>
        <w:tc>
          <w:tcPr>
            <w:tcW w:w="473" w:type="pct"/>
            <w:vAlign w:val="center"/>
          </w:tcPr>
          <w:p w14:paraId="31DEC2B0" w14:textId="77777777" w:rsidR="00025A5C" w:rsidRPr="00E574A9" w:rsidRDefault="00025A5C" w:rsidP="00E574A9">
            <w:pPr>
              <w:pStyle w:val="NoSpacing"/>
              <w:rPr>
                <w:rFonts w:ascii="Manrope" w:eastAsia="Calibri" w:hAnsi="Manrope" w:cs="Arial"/>
                <w:color w:val="0033A0"/>
                <w:lang w:val="en-GB"/>
              </w:rPr>
            </w:pPr>
          </w:p>
        </w:tc>
        <w:tc>
          <w:tcPr>
            <w:tcW w:w="473" w:type="pct"/>
            <w:vAlign w:val="center"/>
          </w:tcPr>
          <w:p w14:paraId="49DFB9D8" w14:textId="77777777" w:rsidR="00025A5C" w:rsidRPr="00E574A9" w:rsidRDefault="00025A5C" w:rsidP="00E574A9">
            <w:pPr>
              <w:pStyle w:val="NoSpacing"/>
              <w:rPr>
                <w:rFonts w:ascii="Manrope" w:eastAsia="Calibri" w:hAnsi="Manrope" w:cs="Arial"/>
                <w:color w:val="0033A0"/>
                <w:lang w:val="en-GB"/>
              </w:rPr>
            </w:pPr>
          </w:p>
        </w:tc>
        <w:tc>
          <w:tcPr>
            <w:tcW w:w="473" w:type="pct"/>
            <w:vAlign w:val="center"/>
          </w:tcPr>
          <w:p w14:paraId="26E9807E" w14:textId="77777777" w:rsidR="00025A5C" w:rsidRPr="00E574A9" w:rsidRDefault="00025A5C" w:rsidP="00E574A9">
            <w:pPr>
              <w:pStyle w:val="NoSpacing"/>
              <w:rPr>
                <w:rFonts w:ascii="Manrope" w:eastAsia="Calibri" w:hAnsi="Manrope" w:cs="Arial"/>
                <w:color w:val="0033A0"/>
                <w:lang w:val="en-GB"/>
              </w:rPr>
            </w:pPr>
          </w:p>
        </w:tc>
        <w:tc>
          <w:tcPr>
            <w:tcW w:w="473" w:type="pct"/>
            <w:shd w:val="clear" w:color="auto" w:fill="B7D4EF"/>
            <w:vAlign w:val="center"/>
          </w:tcPr>
          <w:p w14:paraId="66F32043" w14:textId="77777777" w:rsidR="00025A5C" w:rsidRPr="00E574A9" w:rsidRDefault="00025A5C" w:rsidP="00E574A9">
            <w:pPr>
              <w:pStyle w:val="NoSpacing"/>
              <w:rPr>
                <w:rFonts w:ascii="Manrope" w:eastAsia="Calibri" w:hAnsi="Manrope" w:cs="Arial"/>
                <w:color w:val="0033A0"/>
                <w:lang w:val="en-GB"/>
              </w:rPr>
            </w:pPr>
          </w:p>
        </w:tc>
      </w:tr>
      <w:tr w:rsidR="00025A5C" w14:paraId="7866FEAE" w14:textId="77777777" w:rsidTr="00025A5C">
        <w:tc>
          <w:tcPr>
            <w:tcW w:w="2637" w:type="pct"/>
          </w:tcPr>
          <w:p w14:paraId="2A18B3A9" w14:textId="780DC3ED" w:rsidR="00025A5C" w:rsidRPr="00E574A9" w:rsidRDefault="00025A5C" w:rsidP="00E574A9">
            <w:pPr>
              <w:pStyle w:val="NoSpacing"/>
              <w:rPr>
                <w:rFonts w:ascii="Manrope" w:eastAsia="Calibri" w:hAnsi="Manrope" w:cs="Arial"/>
                <w:color w:val="0033A0"/>
                <w:lang w:val="en-GB"/>
              </w:rPr>
            </w:pPr>
            <w:r w:rsidRPr="00E574A9">
              <w:rPr>
                <w:rFonts w:ascii="Manrope" w:eastAsia="Calibri" w:hAnsi="Manrope" w:cs="Arial"/>
                <w:color w:val="0033A0"/>
                <w:lang w:val="en-GB"/>
              </w:rPr>
              <w:t xml:space="preserve">RAW and clean dataset in Excel and SPSS format and qualitative transcripts. </w:t>
            </w:r>
          </w:p>
        </w:tc>
        <w:tc>
          <w:tcPr>
            <w:tcW w:w="473" w:type="pct"/>
            <w:vAlign w:val="center"/>
          </w:tcPr>
          <w:p w14:paraId="10B11332" w14:textId="77777777" w:rsidR="00025A5C" w:rsidRPr="00E574A9" w:rsidRDefault="00025A5C" w:rsidP="00E574A9">
            <w:pPr>
              <w:pStyle w:val="NoSpacing"/>
              <w:rPr>
                <w:rFonts w:ascii="Manrope" w:eastAsia="Calibri" w:hAnsi="Manrope" w:cs="Arial"/>
                <w:color w:val="0033A0"/>
                <w:lang w:val="en-GB"/>
              </w:rPr>
            </w:pPr>
          </w:p>
        </w:tc>
        <w:tc>
          <w:tcPr>
            <w:tcW w:w="473" w:type="pct"/>
            <w:vAlign w:val="center"/>
          </w:tcPr>
          <w:p w14:paraId="743A0C80" w14:textId="77777777" w:rsidR="00025A5C" w:rsidRPr="00E574A9" w:rsidRDefault="00025A5C" w:rsidP="00E574A9">
            <w:pPr>
              <w:pStyle w:val="NoSpacing"/>
              <w:rPr>
                <w:rFonts w:ascii="Manrope" w:eastAsia="Calibri" w:hAnsi="Manrope" w:cs="Arial"/>
                <w:color w:val="0033A0"/>
                <w:lang w:val="en-GB"/>
              </w:rPr>
            </w:pPr>
          </w:p>
        </w:tc>
        <w:tc>
          <w:tcPr>
            <w:tcW w:w="473" w:type="pct"/>
            <w:vAlign w:val="center"/>
          </w:tcPr>
          <w:p w14:paraId="71FE7233" w14:textId="77777777" w:rsidR="00025A5C" w:rsidRPr="00E574A9" w:rsidRDefault="00025A5C" w:rsidP="00E574A9">
            <w:pPr>
              <w:pStyle w:val="NoSpacing"/>
              <w:rPr>
                <w:rFonts w:ascii="Manrope" w:eastAsia="Calibri" w:hAnsi="Manrope" w:cs="Arial"/>
                <w:color w:val="0033A0"/>
                <w:lang w:val="en-GB"/>
              </w:rPr>
            </w:pPr>
          </w:p>
        </w:tc>
        <w:tc>
          <w:tcPr>
            <w:tcW w:w="473" w:type="pct"/>
            <w:vAlign w:val="center"/>
          </w:tcPr>
          <w:p w14:paraId="496FF75A" w14:textId="77777777" w:rsidR="00025A5C" w:rsidRPr="00E574A9" w:rsidRDefault="00025A5C" w:rsidP="00E574A9">
            <w:pPr>
              <w:pStyle w:val="NoSpacing"/>
              <w:rPr>
                <w:rFonts w:ascii="Manrope" w:eastAsia="Calibri" w:hAnsi="Manrope" w:cs="Arial"/>
                <w:color w:val="0033A0"/>
                <w:lang w:val="en-GB"/>
              </w:rPr>
            </w:pPr>
          </w:p>
        </w:tc>
        <w:tc>
          <w:tcPr>
            <w:tcW w:w="473" w:type="pct"/>
            <w:shd w:val="clear" w:color="auto" w:fill="B7D4EF"/>
            <w:vAlign w:val="center"/>
          </w:tcPr>
          <w:p w14:paraId="67711607" w14:textId="77777777" w:rsidR="00025A5C" w:rsidRPr="00E574A9" w:rsidRDefault="00025A5C" w:rsidP="00E574A9">
            <w:pPr>
              <w:pStyle w:val="NoSpacing"/>
              <w:rPr>
                <w:rFonts w:ascii="Manrope" w:eastAsia="Calibri" w:hAnsi="Manrope" w:cs="Arial"/>
                <w:color w:val="0033A0"/>
                <w:lang w:val="en-GB"/>
              </w:rPr>
            </w:pPr>
          </w:p>
        </w:tc>
      </w:tr>
    </w:tbl>
    <w:p w14:paraId="59D17703" w14:textId="77777777" w:rsidR="00E574A9" w:rsidRDefault="00E574A9" w:rsidP="00E574A9"/>
    <w:p w14:paraId="56E36784" w14:textId="20F27FB8" w:rsidR="00025A5C" w:rsidRPr="00C66F1D" w:rsidRDefault="00E574A9" w:rsidP="00E574A9">
      <w:pPr>
        <w:pStyle w:val="Heading2"/>
      </w:pPr>
      <w:r>
        <w:t>Payments</w:t>
      </w:r>
    </w:p>
    <w:p w14:paraId="6D07188E" w14:textId="77777777" w:rsidR="00025A5C" w:rsidRPr="00333ECD" w:rsidRDefault="00025A5C" w:rsidP="00E574A9">
      <w:r>
        <w:lastRenderedPageBreak/>
        <w:t xml:space="preserve">This consultancy would be a lump sum contract. Payment will be made based upon activities and deliverables being completed to the </w:t>
      </w:r>
      <w:r w:rsidRPr="00333ECD">
        <w:t xml:space="preserve">satisfaction of the Client, as follows: </w:t>
      </w:r>
    </w:p>
    <w:tbl>
      <w:tblPr>
        <w:tblStyle w:val="TableGrid"/>
        <w:tblW w:w="9209" w:type="dxa"/>
        <w:tblLook w:val="04A0" w:firstRow="1" w:lastRow="0" w:firstColumn="1" w:lastColumn="0" w:noHBand="0" w:noVBand="1"/>
      </w:tblPr>
      <w:tblGrid>
        <w:gridCol w:w="5665"/>
        <w:gridCol w:w="3544"/>
      </w:tblGrid>
      <w:tr w:rsidR="00025A5C" w14:paraId="0E702346" w14:textId="77777777" w:rsidTr="00E574A9">
        <w:tc>
          <w:tcPr>
            <w:tcW w:w="5665" w:type="dxa"/>
          </w:tcPr>
          <w:p w14:paraId="4445E51D" w14:textId="77777777" w:rsidR="00025A5C" w:rsidRPr="00E574A9" w:rsidRDefault="00025A5C" w:rsidP="00E574A9">
            <w:pPr>
              <w:pStyle w:val="NoSpacing"/>
              <w:rPr>
                <w:rFonts w:ascii="Manrope" w:eastAsia="Calibri" w:hAnsi="Manrope" w:cs="Arial"/>
                <w:b/>
                <w:bCs/>
                <w:color w:val="0033A0"/>
                <w:lang w:val="en-GB"/>
              </w:rPr>
            </w:pPr>
            <w:r w:rsidRPr="00E574A9">
              <w:rPr>
                <w:rFonts w:ascii="Manrope" w:eastAsia="Calibri" w:hAnsi="Manrope" w:cs="Arial"/>
                <w:b/>
                <w:bCs/>
                <w:color w:val="0033A0"/>
                <w:lang w:val="en-GB"/>
              </w:rPr>
              <w:t xml:space="preserve">Deliverable/tasks </w:t>
            </w:r>
          </w:p>
        </w:tc>
        <w:tc>
          <w:tcPr>
            <w:tcW w:w="3544" w:type="dxa"/>
          </w:tcPr>
          <w:p w14:paraId="4873682B" w14:textId="77777777" w:rsidR="00025A5C" w:rsidRPr="00E574A9" w:rsidRDefault="00025A5C" w:rsidP="00E574A9">
            <w:pPr>
              <w:pStyle w:val="NoSpacing"/>
              <w:rPr>
                <w:rFonts w:ascii="Manrope" w:eastAsia="Calibri" w:hAnsi="Manrope" w:cs="Arial"/>
                <w:b/>
                <w:bCs/>
                <w:color w:val="0033A0"/>
                <w:lang w:val="en-GB"/>
              </w:rPr>
            </w:pPr>
            <w:r w:rsidRPr="00E574A9">
              <w:rPr>
                <w:rFonts w:ascii="Manrope" w:eastAsia="Calibri" w:hAnsi="Manrope" w:cs="Arial"/>
                <w:b/>
                <w:bCs/>
                <w:color w:val="0033A0"/>
                <w:lang w:val="en-GB"/>
              </w:rPr>
              <w:t>Payment</w:t>
            </w:r>
          </w:p>
        </w:tc>
      </w:tr>
      <w:tr w:rsidR="00025A5C" w14:paraId="77B9E7AF" w14:textId="77777777" w:rsidTr="00E574A9">
        <w:tc>
          <w:tcPr>
            <w:tcW w:w="5665" w:type="dxa"/>
          </w:tcPr>
          <w:p w14:paraId="7F05EC3F" w14:textId="3F3A3F2D" w:rsidR="00025A5C" w:rsidRPr="00E574A9" w:rsidRDefault="00025A5C" w:rsidP="00E574A9">
            <w:pPr>
              <w:pStyle w:val="NoSpacing"/>
              <w:rPr>
                <w:rFonts w:ascii="Manrope" w:eastAsia="Calibri" w:hAnsi="Manrope" w:cs="Arial"/>
                <w:color w:val="0033A0"/>
                <w:lang w:val="en-GB"/>
              </w:rPr>
            </w:pPr>
            <w:r w:rsidRPr="00E574A9">
              <w:rPr>
                <w:rFonts w:ascii="Manrope" w:eastAsia="Calibri" w:hAnsi="Manrope" w:cs="Arial"/>
                <w:color w:val="0033A0"/>
                <w:lang w:val="en-GB"/>
              </w:rPr>
              <w:t xml:space="preserve">Submission and acceptance of </w:t>
            </w:r>
            <w:r w:rsidR="00A0486D" w:rsidRPr="00A0486D">
              <w:rPr>
                <w:rFonts w:ascii="Manrope" w:eastAsia="Calibri" w:hAnsi="Manrope" w:cs="Arial"/>
                <w:color w:val="0033A0"/>
                <w:lang w:val="en-GB"/>
              </w:rPr>
              <w:t>activities and deliverables being completed to the satisfaction of the Client</w:t>
            </w:r>
          </w:p>
        </w:tc>
        <w:tc>
          <w:tcPr>
            <w:tcW w:w="3544" w:type="dxa"/>
          </w:tcPr>
          <w:p w14:paraId="21453974" w14:textId="1B979503" w:rsidR="00025A5C" w:rsidRPr="00E574A9" w:rsidRDefault="00A0486D" w:rsidP="00E574A9">
            <w:pPr>
              <w:pStyle w:val="NoSpacing"/>
              <w:rPr>
                <w:rFonts w:ascii="Manrope" w:eastAsia="Calibri" w:hAnsi="Manrope" w:cs="Arial"/>
                <w:color w:val="0033A0"/>
                <w:lang w:val="en-GB"/>
              </w:rPr>
            </w:pPr>
            <w:r>
              <w:rPr>
                <w:rFonts w:ascii="Manrope" w:eastAsia="Calibri" w:hAnsi="Manrope" w:cs="Arial"/>
                <w:color w:val="0033A0"/>
                <w:lang w:val="en-GB"/>
              </w:rPr>
              <w:t>10</w:t>
            </w:r>
            <w:r w:rsidR="00025A5C" w:rsidRPr="00E574A9">
              <w:rPr>
                <w:rFonts w:ascii="Manrope" w:eastAsia="Calibri" w:hAnsi="Manrope" w:cs="Arial"/>
                <w:color w:val="0033A0"/>
                <w:lang w:val="en-GB"/>
              </w:rPr>
              <w:t>0% of the total contract</w:t>
            </w:r>
          </w:p>
        </w:tc>
      </w:tr>
    </w:tbl>
    <w:p w14:paraId="1ADF999C" w14:textId="77777777" w:rsidR="00E574A9" w:rsidRPr="008E36B2" w:rsidRDefault="00E574A9" w:rsidP="00E574A9">
      <w:pPr>
        <w:rPr>
          <w:highlight w:val="yellow"/>
        </w:rPr>
      </w:pPr>
    </w:p>
    <w:p w14:paraId="72BC4BA8" w14:textId="1F6D9958" w:rsidR="00025A5C" w:rsidRDefault="00025A5C" w:rsidP="00E574A9">
      <w:pPr>
        <w:pStyle w:val="Heading2"/>
      </w:pPr>
      <w:r>
        <w:t xml:space="preserve">Contract </w:t>
      </w:r>
      <w:r w:rsidR="00E574A9">
        <w:t>t</w:t>
      </w:r>
      <w:r>
        <w:t>erms</w:t>
      </w:r>
    </w:p>
    <w:p w14:paraId="3CAF5635" w14:textId="148BC9BF" w:rsidR="00025A5C" w:rsidRDefault="00025A5C" w:rsidP="00E574A9">
      <w:pPr>
        <w:spacing w:after="0"/>
      </w:pPr>
      <w:r w:rsidRPr="006652A9">
        <w:t xml:space="preserve">A standard WSUP consultancy contract format will be used, subject to the Consultant's agreement with the terms. The </w:t>
      </w:r>
      <w:r w:rsidR="00E574A9">
        <w:t>whole</w:t>
      </w:r>
      <w:r w:rsidRPr="006652A9">
        <w:t xml:space="preserve"> template is available on request. In particular</w:t>
      </w:r>
      <w:r w:rsidR="00E574A9">
        <w:t>,</w:t>
      </w:r>
      <w:r w:rsidRPr="006652A9">
        <w:t xml:space="preserve"> the following clauses should be noted: </w:t>
      </w:r>
    </w:p>
    <w:p w14:paraId="2D8AF191" w14:textId="77777777" w:rsidR="00025A5C" w:rsidRPr="006652A9" w:rsidRDefault="00025A5C" w:rsidP="00E574A9">
      <w:pPr>
        <w:pStyle w:val="ListParagraph"/>
        <w:numPr>
          <w:ilvl w:val="0"/>
          <w:numId w:val="12"/>
        </w:numPr>
        <w:spacing w:after="0"/>
        <w:contextualSpacing w:val="0"/>
      </w:pPr>
      <w:r w:rsidRPr="006652A9">
        <w:t xml:space="preserve">All parties must adhere to the guidelines set out in the Safeguarding Policy as set out in WBP1000 (see link https://www.wsup.com/wp-content/uploads/2022/01/WBP1000-Safeguarding-Policy_July2021.pdf ) and agree that any allegation made against you or anyone working on your behalf, directly or indirectly, relating to safeguarding or the protection of children, will be reported to WSUP within 72 hours. </w:t>
      </w:r>
    </w:p>
    <w:p w14:paraId="46621800" w14:textId="4FE63CE3" w:rsidR="00025A5C" w:rsidRPr="006652A9" w:rsidRDefault="00025A5C" w:rsidP="00E574A9">
      <w:pPr>
        <w:pStyle w:val="ListParagraph"/>
        <w:numPr>
          <w:ilvl w:val="0"/>
          <w:numId w:val="12"/>
        </w:numPr>
        <w:spacing w:after="0"/>
        <w:contextualSpacing w:val="0"/>
      </w:pPr>
      <w:r w:rsidRPr="006652A9">
        <w:t>All parties must adhere to the highest standards of business ethics, and in particular</w:t>
      </w:r>
      <w:r w:rsidR="00E574A9">
        <w:t>,</w:t>
      </w:r>
      <w:r w:rsidRPr="006652A9">
        <w:t xml:space="preserve"> both Parties shall abide by WSUP’s Business Ethics policy detailed in: https://www.wsup.com/wp-content/uploads/2022/01/WBP800-Business-Ethics-Policy-July-21.pdf. </w:t>
      </w:r>
    </w:p>
    <w:p w14:paraId="3C3F870D" w14:textId="55F916A3" w:rsidR="00025A5C" w:rsidRPr="006652A9" w:rsidRDefault="00E574A9" w:rsidP="00E574A9">
      <w:pPr>
        <w:pStyle w:val="ListParagraph"/>
        <w:numPr>
          <w:ilvl w:val="0"/>
          <w:numId w:val="12"/>
        </w:numPr>
        <w:spacing w:after="0"/>
        <w:contextualSpacing w:val="0"/>
      </w:pPr>
      <w:r>
        <w:t>The Consultant is responsible for ensuring that its staff</w:t>
      </w:r>
      <w:r w:rsidR="00025A5C" w:rsidRPr="006652A9">
        <w:t xml:space="preserve"> working on WSUP projects are covered by appropriate Health and Safety and Insurance policies, including all insurance mandated by the </w:t>
      </w:r>
      <w:r>
        <w:t>L</w:t>
      </w:r>
      <w:r w:rsidR="00025A5C" w:rsidRPr="006652A9">
        <w:t xml:space="preserve">aw of Bangladesh. </w:t>
      </w:r>
    </w:p>
    <w:p w14:paraId="6C2CC966" w14:textId="41C9620F" w:rsidR="00025A5C" w:rsidRDefault="00025A5C" w:rsidP="00E574A9">
      <w:pPr>
        <w:pStyle w:val="ListParagraph"/>
        <w:numPr>
          <w:ilvl w:val="0"/>
          <w:numId w:val="12"/>
        </w:numPr>
        <w:spacing w:after="0"/>
        <w:contextualSpacing w:val="0"/>
      </w:pPr>
      <w:r w:rsidRPr="006652A9">
        <w:t xml:space="preserve">The Consultant shall use reasonable endeavours to </w:t>
      </w:r>
      <w:r w:rsidR="00E574A9">
        <w:t>en</w:t>
      </w:r>
      <w:r w:rsidRPr="006652A9">
        <w:t>force public liability and professional indemnity insurance cover</w:t>
      </w:r>
      <w:r w:rsidR="00E574A9">
        <w:t>age,</w:t>
      </w:r>
      <w:r w:rsidRPr="006652A9">
        <w:t xml:space="preserve"> which is adequate to protect WSUP against claims arising from the services. The cover arranged by the Consultant shall indemnify WSUP against claims by third parties. </w:t>
      </w:r>
    </w:p>
    <w:p w14:paraId="6F439BE8" w14:textId="77777777" w:rsidR="00E43539" w:rsidRPr="006652A9" w:rsidRDefault="00E43539" w:rsidP="00E574A9"/>
    <w:p w14:paraId="0D37396E" w14:textId="13D51254" w:rsidR="00025A5C" w:rsidRDefault="00025A5C" w:rsidP="00E574A9">
      <w:pPr>
        <w:pStyle w:val="Heading2"/>
      </w:pPr>
      <w:r>
        <w:t xml:space="preserve">Consultant </w:t>
      </w:r>
      <w:r w:rsidR="00E574A9">
        <w:t>team</w:t>
      </w:r>
    </w:p>
    <w:p w14:paraId="285BF4F3" w14:textId="01D8AC94" w:rsidR="00E574A9" w:rsidRPr="00E574A9" w:rsidRDefault="00E574A9" w:rsidP="00E574A9">
      <w:r>
        <w:t>The bidding consultant must provide supporting documents for the below team resources;</w:t>
      </w:r>
    </w:p>
    <w:p w14:paraId="1AA2EFAE" w14:textId="57E33592" w:rsidR="00025A5C" w:rsidRPr="00E574A9" w:rsidRDefault="00025A5C" w:rsidP="00E574A9">
      <w:pPr>
        <w:pStyle w:val="ListParagraph"/>
        <w:numPr>
          <w:ilvl w:val="0"/>
          <w:numId w:val="13"/>
        </w:numPr>
        <w:spacing w:after="0"/>
        <w:rPr>
          <w:b/>
          <w:bCs/>
        </w:rPr>
      </w:pPr>
      <w:r w:rsidRPr="00E574A9">
        <w:rPr>
          <w:b/>
          <w:bCs/>
        </w:rPr>
        <w:t>Team leader</w:t>
      </w:r>
    </w:p>
    <w:p w14:paraId="77D19AF5" w14:textId="77777777" w:rsidR="00025A5C" w:rsidRPr="009D32F6" w:rsidRDefault="00025A5C" w:rsidP="00E574A9">
      <w:pPr>
        <w:pStyle w:val="ListParagraph"/>
        <w:numPr>
          <w:ilvl w:val="0"/>
          <w:numId w:val="12"/>
        </w:numPr>
        <w:spacing w:after="0" w:line="240" w:lineRule="auto"/>
        <w:contextualSpacing w:val="0"/>
      </w:pPr>
      <w:r w:rsidRPr="009D32F6">
        <w:t>Advanced degree in Public Health, Environmental Science</w:t>
      </w:r>
      <w:r>
        <w:t>, Civil, Water and Environmental Engineering</w:t>
      </w:r>
      <w:r w:rsidRPr="009D32F6">
        <w:t>, Development Studies, or a related field.</w:t>
      </w:r>
    </w:p>
    <w:p w14:paraId="3F32A469" w14:textId="6433645C" w:rsidR="00025A5C" w:rsidRPr="009D32F6" w:rsidRDefault="00025A5C" w:rsidP="00E574A9">
      <w:pPr>
        <w:pStyle w:val="ListParagraph"/>
        <w:numPr>
          <w:ilvl w:val="0"/>
          <w:numId w:val="12"/>
        </w:numPr>
        <w:spacing w:after="0" w:line="240" w:lineRule="auto"/>
        <w:contextualSpacing w:val="0"/>
      </w:pPr>
      <w:r w:rsidRPr="009D32F6">
        <w:t xml:space="preserve">Minimum </w:t>
      </w:r>
      <w:r w:rsidRPr="00E574A9">
        <w:t>5 years of professional experience</w:t>
      </w:r>
      <w:r w:rsidRPr="009D32F6">
        <w:t xml:space="preserve"> in WASH-related research, including baseline, midline, and end</w:t>
      </w:r>
      <w:r w:rsidR="00E574A9">
        <w:t>-</w:t>
      </w:r>
      <w:r w:rsidRPr="009D32F6">
        <w:t>line assessments.</w:t>
      </w:r>
    </w:p>
    <w:p w14:paraId="14DA3048" w14:textId="77777777" w:rsidR="00025A5C" w:rsidRDefault="00025A5C" w:rsidP="00E574A9">
      <w:pPr>
        <w:pStyle w:val="ListParagraph"/>
        <w:numPr>
          <w:ilvl w:val="0"/>
          <w:numId w:val="12"/>
        </w:numPr>
        <w:spacing w:after="0" w:line="240" w:lineRule="auto"/>
        <w:contextualSpacing w:val="0"/>
      </w:pPr>
      <w:r w:rsidRPr="009D32F6">
        <w:t xml:space="preserve">Proven track record in working with </w:t>
      </w:r>
      <w:r>
        <w:t xml:space="preserve">diverse </w:t>
      </w:r>
      <w:r w:rsidRPr="00E574A9">
        <w:t>urban low-income communities</w:t>
      </w:r>
      <w:r w:rsidRPr="009D32F6">
        <w:t xml:space="preserve"> and addressing gender-sensitive WASH challenges</w:t>
      </w:r>
      <w:r>
        <w:t xml:space="preserve"> in communities and institutions</w:t>
      </w:r>
      <w:r w:rsidRPr="009D32F6">
        <w:t>.</w:t>
      </w:r>
    </w:p>
    <w:p w14:paraId="16FD822E" w14:textId="229E1862" w:rsidR="00E574A9" w:rsidRDefault="00025A5C" w:rsidP="00E574A9">
      <w:pPr>
        <w:pStyle w:val="ListParagraph"/>
        <w:numPr>
          <w:ilvl w:val="0"/>
          <w:numId w:val="12"/>
        </w:numPr>
        <w:spacing w:after="0" w:line="240" w:lineRule="auto"/>
        <w:contextualSpacing w:val="0"/>
      </w:pPr>
      <w:r>
        <w:t>Experience working with RMG factories will be an advantage.</w:t>
      </w:r>
    </w:p>
    <w:p w14:paraId="343D4E8D" w14:textId="380445FB" w:rsidR="00025A5C" w:rsidRDefault="00025A5C" w:rsidP="00E574A9">
      <w:pPr>
        <w:pStyle w:val="ListParagraph"/>
        <w:numPr>
          <w:ilvl w:val="0"/>
          <w:numId w:val="12"/>
        </w:numPr>
        <w:spacing w:after="0" w:line="240" w:lineRule="auto"/>
        <w:contextualSpacing w:val="0"/>
      </w:pPr>
      <w:r w:rsidRPr="009D32F6">
        <w:t xml:space="preserve">Experience working with international </w:t>
      </w:r>
      <w:r>
        <w:t>development partners and their funders/</w:t>
      </w:r>
      <w:r w:rsidRPr="009D32F6">
        <w:t>donors or foundations</w:t>
      </w:r>
      <w:r>
        <w:t>.</w:t>
      </w:r>
    </w:p>
    <w:p w14:paraId="1156841E" w14:textId="77777777" w:rsidR="00E574A9" w:rsidRDefault="00E574A9" w:rsidP="00E574A9">
      <w:pPr>
        <w:spacing w:after="0"/>
        <w:rPr>
          <w:b/>
          <w:bCs/>
        </w:rPr>
      </w:pPr>
    </w:p>
    <w:p w14:paraId="2EFB3E8E" w14:textId="53A42DD2" w:rsidR="00025A5C" w:rsidRPr="00CD503F" w:rsidRDefault="00025A5C" w:rsidP="00E574A9">
      <w:pPr>
        <w:spacing w:after="0"/>
      </w:pPr>
      <w:r w:rsidRPr="00CD503F">
        <w:rPr>
          <w:b/>
          <w:bCs/>
        </w:rPr>
        <w:t xml:space="preserve">Additional </w:t>
      </w:r>
      <w:r w:rsidR="00E574A9">
        <w:rPr>
          <w:b/>
          <w:bCs/>
        </w:rPr>
        <w:t>t</w:t>
      </w:r>
      <w:r w:rsidRPr="00CD503F">
        <w:rPr>
          <w:b/>
          <w:bCs/>
        </w:rPr>
        <w:t xml:space="preserve">eam </w:t>
      </w:r>
      <w:r w:rsidR="00E574A9">
        <w:rPr>
          <w:b/>
          <w:bCs/>
        </w:rPr>
        <w:t>m</w:t>
      </w:r>
      <w:r w:rsidRPr="00CD503F">
        <w:rPr>
          <w:b/>
          <w:bCs/>
        </w:rPr>
        <w:t>embers:</w:t>
      </w:r>
    </w:p>
    <w:p w14:paraId="779BA46D" w14:textId="77777777" w:rsidR="00025A5C" w:rsidRPr="00E574A9" w:rsidRDefault="00025A5C" w:rsidP="00E574A9">
      <w:pPr>
        <w:pStyle w:val="ListParagraph"/>
        <w:numPr>
          <w:ilvl w:val="0"/>
          <w:numId w:val="13"/>
        </w:numPr>
        <w:spacing w:after="0"/>
        <w:rPr>
          <w:b/>
          <w:bCs/>
        </w:rPr>
      </w:pPr>
      <w:r w:rsidRPr="00CD503F">
        <w:rPr>
          <w:b/>
          <w:bCs/>
        </w:rPr>
        <w:t>Data Analyst</w:t>
      </w:r>
    </w:p>
    <w:p w14:paraId="28FFD772" w14:textId="77777777" w:rsidR="00025A5C" w:rsidRPr="00CD503F" w:rsidRDefault="00025A5C" w:rsidP="00E574A9">
      <w:pPr>
        <w:pStyle w:val="ListParagraph"/>
        <w:numPr>
          <w:ilvl w:val="0"/>
          <w:numId w:val="12"/>
        </w:numPr>
        <w:spacing w:after="0" w:line="240" w:lineRule="auto"/>
        <w:contextualSpacing w:val="0"/>
      </w:pPr>
      <w:r w:rsidRPr="00CD503F">
        <w:lastRenderedPageBreak/>
        <w:t>Degree in Statistics, Public Health, or a related field.</w:t>
      </w:r>
    </w:p>
    <w:p w14:paraId="79F8EEFA" w14:textId="77777777" w:rsidR="00025A5C" w:rsidRPr="00CD503F" w:rsidRDefault="00025A5C" w:rsidP="00E574A9">
      <w:pPr>
        <w:pStyle w:val="ListParagraph"/>
        <w:numPr>
          <w:ilvl w:val="0"/>
          <w:numId w:val="12"/>
        </w:numPr>
        <w:spacing w:after="0" w:line="240" w:lineRule="auto"/>
        <w:contextualSpacing w:val="0"/>
      </w:pPr>
      <w:r w:rsidRPr="00CD503F">
        <w:t>Minimum 3 years of experience in data analysis, particularly in WASH-related assessments.</w:t>
      </w:r>
    </w:p>
    <w:p w14:paraId="5DF4E05C" w14:textId="77777777" w:rsidR="00025A5C" w:rsidRPr="00CD503F" w:rsidRDefault="00025A5C" w:rsidP="00E574A9">
      <w:pPr>
        <w:pStyle w:val="ListParagraph"/>
        <w:numPr>
          <w:ilvl w:val="0"/>
          <w:numId w:val="12"/>
        </w:numPr>
        <w:spacing w:after="0" w:line="240" w:lineRule="auto"/>
        <w:contextualSpacing w:val="0"/>
      </w:pPr>
      <w:r w:rsidRPr="00CD503F">
        <w:t>Proficiency in statistical software such as SPSS, Stata, or R.</w:t>
      </w:r>
    </w:p>
    <w:p w14:paraId="165006DC" w14:textId="77777777" w:rsidR="00025A5C" w:rsidRPr="00CD503F" w:rsidRDefault="00025A5C" w:rsidP="00E574A9">
      <w:pPr>
        <w:pStyle w:val="ListParagraph"/>
        <w:numPr>
          <w:ilvl w:val="0"/>
          <w:numId w:val="12"/>
        </w:numPr>
        <w:spacing w:after="0" w:line="240" w:lineRule="auto"/>
        <w:contextualSpacing w:val="0"/>
      </w:pPr>
      <w:r w:rsidRPr="00CD503F">
        <w:t>Experience managing large datasets and conducting advanced statistical analysis to inform decision-making.</w:t>
      </w:r>
    </w:p>
    <w:p w14:paraId="1723ECCF" w14:textId="43ED598A" w:rsidR="00025A5C" w:rsidRDefault="00025A5C" w:rsidP="00E574A9">
      <w:pPr>
        <w:pStyle w:val="ListParagraph"/>
        <w:numPr>
          <w:ilvl w:val="0"/>
          <w:numId w:val="12"/>
        </w:numPr>
        <w:spacing w:after="0" w:line="240" w:lineRule="auto"/>
        <w:contextualSpacing w:val="0"/>
      </w:pPr>
      <w:r w:rsidRPr="00CD503F">
        <w:t>Ability to synthesi</w:t>
      </w:r>
      <w:r w:rsidR="00E574A9">
        <w:t>s</w:t>
      </w:r>
      <w:r w:rsidRPr="00CD503F">
        <w:t>e data and provide actionable insights.</w:t>
      </w:r>
    </w:p>
    <w:p w14:paraId="3CBE0129" w14:textId="77777777" w:rsidR="00025A5C" w:rsidRPr="00CD503F" w:rsidRDefault="00025A5C" w:rsidP="00E574A9">
      <w:pPr>
        <w:spacing w:after="0"/>
        <w:ind w:left="1440"/>
      </w:pPr>
    </w:p>
    <w:p w14:paraId="58406E3B" w14:textId="77777777" w:rsidR="00025A5C" w:rsidRPr="00E574A9" w:rsidRDefault="00025A5C" w:rsidP="00E574A9">
      <w:pPr>
        <w:pStyle w:val="ListParagraph"/>
        <w:numPr>
          <w:ilvl w:val="0"/>
          <w:numId w:val="13"/>
        </w:numPr>
        <w:spacing w:after="0"/>
        <w:rPr>
          <w:b/>
          <w:bCs/>
        </w:rPr>
      </w:pPr>
      <w:r w:rsidRPr="00CD503F">
        <w:rPr>
          <w:b/>
          <w:bCs/>
        </w:rPr>
        <w:t>Field Coordinator</w:t>
      </w:r>
    </w:p>
    <w:p w14:paraId="3AD1ADA4" w14:textId="77777777" w:rsidR="00025A5C" w:rsidRPr="00CD503F" w:rsidRDefault="00025A5C" w:rsidP="00E574A9">
      <w:pPr>
        <w:pStyle w:val="ListParagraph"/>
        <w:numPr>
          <w:ilvl w:val="0"/>
          <w:numId w:val="12"/>
        </w:numPr>
        <w:spacing w:after="0" w:line="240" w:lineRule="auto"/>
        <w:contextualSpacing w:val="0"/>
      </w:pPr>
      <w:r w:rsidRPr="00CD503F">
        <w:t>Degree in Social Sciences, Development Studies, or a related field.</w:t>
      </w:r>
    </w:p>
    <w:p w14:paraId="18FF4F1D" w14:textId="52F7FB27" w:rsidR="00025A5C" w:rsidRPr="00CD503F" w:rsidRDefault="00025A5C" w:rsidP="00E574A9">
      <w:pPr>
        <w:pStyle w:val="ListParagraph"/>
        <w:numPr>
          <w:ilvl w:val="0"/>
          <w:numId w:val="12"/>
        </w:numPr>
        <w:spacing w:after="0" w:line="240" w:lineRule="auto"/>
        <w:contextualSpacing w:val="0"/>
      </w:pPr>
      <w:r w:rsidRPr="00CD503F">
        <w:t>Minimum 3 years of experience managing field surveys, preferably in urban low-income settings.</w:t>
      </w:r>
    </w:p>
    <w:p w14:paraId="158AB98B" w14:textId="77777777" w:rsidR="00025A5C" w:rsidRPr="00CD503F" w:rsidRDefault="00025A5C" w:rsidP="00E574A9">
      <w:pPr>
        <w:pStyle w:val="ListParagraph"/>
        <w:numPr>
          <w:ilvl w:val="0"/>
          <w:numId w:val="12"/>
        </w:numPr>
        <w:spacing w:after="0" w:line="240" w:lineRule="auto"/>
        <w:contextualSpacing w:val="0"/>
      </w:pPr>
      <w:r w:rsidRPr="00CD503F">
        <w:t>Strong coordination skills, with experience working in community-based research or development projects.</w:t>
      </w:r>
    </w:p>
    <w:p w14:paraId="05FCD135" w14:textId="77777777" w:rsidR="00025A5C" w:rsidRDefault="00025A5C" w:rsidP="00E574A9">
      <w:pPr>
        <w:pStyle w:val="ListParagraph"/>
        <w:numPr>
          <w:ilvl w:val="0"/>
          <w:numId w:val="12"/>
        </w:numPr>
        <w:spacing w:after="0" w:line="240" w:lineRule="auto"/>
        <w:contextualSpacing w:val="0"/>
      </w:pPr>
      <w:r w:rsidRPr="00CD503F">
        <w:t>Experience conducting qualitative data collection, such as FGDs and KIIs.</w:t>
      </w:r>
    </w:p>
    <w:p w14:paraId="623727AF" w14:textId="77777777" w:rsidR="00E574A9" w:rsidRPr="00CD503F" w:rsidRDefault="00E574A9" w:rsidP="00E574A9">
      <w:pPr>
        <w:pStyle w:val="ListParagraph"/>
        <w:spacing w:after="0" w:line="240" w:lineRule="auto"/>
        <w:contextualSpacing w:val="0"/>
      </w:pPr>
    </w:p>
    <w:p w14:paraId="4EF28B36" w14:textId="14CA1628" w:rsidR="00025A5C" w:rsidRPr="00E574A9" w:rsidRDefault="00025A5C" w:rsidP="00E574A9">
      <w:pPr>
        <w:pStyle w:val="ListParagraph"/>
        <w:numPr>
          <w:ilvl w:val="0"/>
          <w:numId w:val="13"/>
        </w:numPr>
        <w:spacing w:after="0"/>
        <w:rPr>
          <w:b/>
          <w:bCs/>
        </w:rPr>
      </w:pPr>
      <w:r w:rsidRPr="00CD503F">
        <w:rPr>
          <w:b/>
          <w:bCs/>
        </w:rPr>
        <w:t>Gender Specialist (</w:t>
      </w:r>
      <w:r w:rsidR="00E574A9">
        <w:rPr>
          <w:b/>
          <w:bCs/>
        </w:rPr>
        <w:t>Desired but o</w:t>
      </w:r>
      <w:r w:rsidRPr="00CD503F">
        <w:rPr>
          <w:b/>
          <w:bCs/>
        </w:rPr>
        <w:t>ptional)</w:t>
      </w:r>
    </w:p>
    <w:p w14:paraId="49D36FDB" w14:textId="77777777" w:rsidR="00025A5C" w:rsidRPr="00CD503F" w:rsidRDefault="00025A5C" w:rsidP="00E574A9">
      <w:pPr>
        <w:pStyle w:val="ListParagraph"/>
        <w:numPr>
          <w:ilvl w:val="0"/>
          <w:numId w:val="12"/>
        </w:numPr>
        <w:spacing w:after="0" w:line="240" w:lineRule="auto"/>
        <w:contextualSpacing w:val="0"/>
      </w:pPr>
      <w:r w:rsidRPr="00CD503F">
        <w:t>Degree in Gender Studies, Public Health, or Social Sciences.</w:t>
      </w:r>
    </w:p>
    <w:p w14:paraId="4F770B36" w14:textId="77777777" w:rsidR="00025A5C" w:rsidRPr="00CD503F" w:rsidRDefault="00025A5C" w:rsidP="00E574A9">
      <w:pPr>
        <w:pStyle w:val="ListParagraph"/>
        <w:numPr>
          <w:ilvl w:val="0"/>
          <w:numId w:val="12"/>
        </w:numPr>
        <w:spacing w:after="0" w:line="240" w:lineRule="auto"/>
        <w:contextualSpacing w:val="0"/>
      </w:pPr>
      <w:r w:rsidRPr="00CD503F">
        <w:t>Minimum 3 years of experience working on gender-sensitive WASH programs.</w:t>
      </w:r>
    </w:p>
    <w:p w14:paraId="24F5EA9D" w14:textId="77777777" w:rsidR="00025A5C" w:rsidRPr="00CD503F" w:rsidRDefault="00025A5C" w:rsidP="00E574A9">
      <w:pPr>
        <w:pStyle w:val="ListParagraph"/>
        <w:numPr>
          <w:ilvl w:val="0"/>
          <w:numId w:val="12"/>
        </w:numPr>
        <w:spacing w:after="0" w:line="240" w:lineRule="auto"/>
        <w:contextualSpacing w:val="0"/>
      </w:pPr>
      <w:r w:rsidRPr="00CD503F">
        <w:t>Expertise in designing and implementing gender-inclusive surveys and interventions.</w:t>
      </w:r>
    </w:p>
    <w:p w14:paraId="7CFB126F" w14:textId="72B7CF17" w:rsidR="00025A5C" w:rsidRPr="009D32F6" w:rsidRDefault="00025A5C" w:rsidP="00E574A9">
      <w:pPr>
        <w:pStyle w:val="ListParagraph"/>
        <w:numPr>
          <w:ilvl w:val="0"/>
          <w:numId w:val="12"/>
        </w:numPr>
        <w:spacing w:after="0" w:line="240" w:lineRule="auto"/>
        <w:contextualSpacing w:val="0"/>
      </w:pPr>
      <w:r w:rsidRPr="00CD503F">
        <w:t>Strong understanding of socio-cultural barriers affecting hygiene practices and shared facility use in urban settings.</w:t>
      </w:r>
    </w:p>
    <w:p w14:paraId="75C926D0" w14:textId="77777777" w:rsidR="00E574A9" w:rsidRDefault="00E574A9" w:rsidP="00E574A9">
      <w:pPr>
        <w:spacing w:after="0"/>
        <w:rPr>
          <w:b/>
          <w:bCs/>
        </w:rPr>
      </w:pPr>
    </w:p>
    <w:p w14:paraId="46FF1A9E" w14:textId="5BE5A4C8" w:rsidR="00025A5C" w:rsidRPr="009D32F6" w:rsidRDefault="00025A5C" w:rsidP="00E574A9">
      <w:pPr>
        <w:spacing w:after="0"/>
        <w:rPr>
          <w:b/>
          <w:bCs/>
        </w:rPr>
      </w:pPr>
      <w:r>
        <w:rPr>
          <w:b/>
          <w:bCs/>
        </w:rPr>
        <w:t>Overall o</w:t>
      </w:r>
      <w:r w:rsidRPr="009D32F6">
        <w:rPr>
          <w:b/>
          <w:bCs/>
        </w:rPr>
        <w:t xml:space="preserve">perational </w:t>
      </w:r>
      <w:r w:rsidR="00E574A9">
        <w:rPr>
          <w:b/>
          <w:bCs/>
        </w:rPr>
        <w:t>c</w:t>
      </w:r>
      <w:r w:rsidRPr="009D32F6">
        <w:rPr>
          <w:b/>
          <w:bCs/>
        </w:rPr>
        <w:t>apacity</w:t>
      </w:r>
    </w:p>
    <w:p w14:paraId="43AD07A0" w14:textId="77777777" w:rsidR="00025A5C" w:rsidRPr="009D32F6" w:rsidRDefault="00025A5C" w:rsidP="00E574A9">
      <w:pPr>
        <w:pStyle w:val="ListParagraph"/>
        <w:numPr>
          <w:ilvl w:val="0"/>
          <w:numId w:val="12"/>
        </w:numPr>
        <w:spacing w:after="0" w:line="240" w:lineRule="auto"/>
        <w:contextualSpacing w:val="0"/>
      </w:pPr>
      <w:r w:rsidRPr="009D32F6">
        <w:t xml:space="preserve">Capability to manage field operations, ensuring data collection </w:t>
      </w:r>
      <w:r>
        <w:t xml:space="preserve">both in community and factory settings </w:t>
      </w:r>
    </w:p>
    <w:p w14:paraId="600A5200" w14:textId="77777777" w:rsidR="00025A5C" w:rsidRDefault="00025A5C" w:rsidP="00E574A9">
      <w:pPr>
        <w:pStyle w:val="ListParagraph"/>
        <w:numPr>
          <w:ilvl w:val="0"/>
          <w:numId w:val="12"/>
        </w:numPr>
        <w:spacing w:after="0" w:line="240" w:lineRule="auto"/>
        <w:contextualSpacing w:val="0"/>
      </w:pPr>
      <w:r w:rsidRPr="009D32F6">
        <w:t>Strong logistical skills to coordinate field teams and deliver outputs within tight deadlines.</w:t>
      </w:r>
    </w:p>
    <w:p w14:paraId="3D04076D" w14:textId="77777777" w:rsidR="00E574A9" w:rsidRPr="009D32F6" w:rsidRDefault="00E574A9" w:rsidP="00E574A9">
      <w:pPr>
        <w:pStyle w:val="ListParagraph"/>
        <w:spacing w:after="0" w:line="240" w:lineRule="auto"/>
        <w:contextualSpacing w:val="0"/>
      </w:pPr>
    </w:p>
    <w:p w14:paraId="06F8B1C8" w14:textId="533E572F" w:rsidR="00025A5C" w:rsidRPr="00A02EB9" w:rsidRDefault="00025A5C" w:rsidP="00E574A9">
      <w:pPr>
        <w:pStyle w:val="Heading2"/>
      </w:pPr>
      <w:r w:rsidRPr="00A02EB9">
        <w:t xml:space="preserve">Bidding </w:t>
      </w:r>
      <w:r w:rsidR="00E574A9">
        <w:t>p</w:t>
      </w:r>
      <w:r w:rsidRPr="00A02EB9">
        <w:t xml:space="preserve">rocedure </w:t>
      </w:r>
    </w:p>
    <w:p w14:paraId="0DC8E8BA" w14:textId="18B95BC6" w:rsidR="00025A5C" w:rsidRPr="009D32F6" w:rsidRDefault="00025A5C" w:rsidP="00E574A9">
      <w:pPr>
        <w:spacing w:after="0"/>
      </w:pPr>
      <w:r w:rsidRPr="009D32F6">
        <w:t xml:space="preserve">Bids including the following components should be submitted to the email wsupbangladesh@wsup.com addressing, Country Manager, WSUP Bangladesh on or before </w:t>
      </w:r>
      <w:r w:rsidR="00A0486D">
        <w:rPr>
          <w:b/>
          <w:bCs/>
        </w:rPr>
        <w:t>31</w:t>
      </w:r>
      <w:r w:rsidRPr="00E574A9">
        <w:rPr>
          <w:b/>
          <w:bCs/>
        </w:rPr>
        <w:t xml:space="preserve"> </w:t>
      </w:r>
      <w:r w:rsidR="00E574A9">
        <w:rPr>
          <w:b/>
          <w:bCs/>
        </w:rPr>
        <w:t>March</w:t>
      </w:r>
      <w:r w:rsidRPr="00E574A9">
        <w:rPr>
          <w:b/>
          <w:bCs/>
        </w:rPr>
        <w:t xml:space="preserve"> 202</w:t>
      </w:r>
      <w:r w:rsidR="00E574A9" w:rsidRPr="00E574A9">
        <w:rPr>
          <w:b/>
          <w:bCs/>
        </w:rPr>
        <w:t>5</w:t>
      </w:r>
      <w:r w:rsidRPr="009D32F6">
        <w:t xml:space="preserve">: </w:t>
      </w:r>
    </w:p>
    <w:p w14:paraId="6F94DB58" w14:textId="6A1304C8" w:rsidR="00025A5C" w:rsidRPr="009D32F6" w:rsidRDefault="00025A5C" w:rsidP="00E574A9">
      <w:pPr>
        <w:pStyle w:val="ListParagraph"/>
        <w:numPr>
          <w:ilvl w:val="0"/>
          <w:numId w:val="12"/>
        </w:numPr>
        <w:spacing w:after="0"/>
        <w:contextualSpacing w:val="0"/>
      </w:pPr>
      <w:r w:rsidRPr="009D32F6">
        <w:t xml:space="preserve">Curriculum Vitae (CV) of the key staff that the Consultant intends to use to carry out this consultancy work – each CV should be no more than </w:t>
      </w:r>
      <w:r w:rsidR="00E574A9">
        <w:t>two</w:t>
      </w:r>
      <w:r w:rsidRPr="009D32F6">
        <w:t xml:space="preserve"> pages A4. </w:t>
      </w:r>
    </w:p>
    <w:p w14:paraId="3CAFAC84" w14:textId="16810488" w:rsidR="00025A5C" w:rsidRPr="009D32F6" w:rsidRDefault="00025A5C" w:rsidP="00E574A9">
      <w:pPr>
        <w:pStyle w:val="ListParagraph"/>
        <w:numPr>
          <w:ilvl w:val="0"/>
          <w:numId w:val="12"/>
        </w:numPr>
        <w:spacing w:after="0"/>
        <w:contextualSpacing w:val="0"/>
      </w:pPr>
      <w:r w:rsidRPr="009D32F6">
        <w:t xml:space="preserve">A technical proposal occupying no more than </w:t>
      </w:r>
      <w:r w:rsidR="00E574A9">
        <w:t>six</w:t>
      </w:r>
      <w:r w:rsidRPr="009D32F6">
        <w:t xml:space="preserve"> sides of A4 </w:t>
      </w:r>
      <w:r w:rsidR="00E574A9">
        <w:t xml:space="preserve">that </w:t>
      </w:r>
      <w:r w:rsidRPr="009D32F6">
        <w:t>demonstrat</w:t>
      </w:r>
      <w:r w:rsidR="00E574A9">
        <w:t>es an understanding of the work and that the consultants added value to the</w:t>
      </w:r>
      <w:r w:rsidRPr="009D32F6">
        <w:t xml:space="preserve"> implementation</w:t>
      </w:r>
      <w:r w:rsidR="00E574A9">
        <w:t>.</w:t>
      </w:r>
      <w:r w:rsidRPr="009D32F6">
        <w:t xml:space="preserve"> </w:t>
      </w:r>
    </w:p>
    <w:p w14:paraId="3A7A0D02" w14:textId="1A39AE51" w:rsidR="00025A5C" w:rsidRPr="009D32F6" w:rsidRDefault="00025A5C" w:rsidP="00E574A9">
      <w:pPr>
        <w:pStyle w:val="ListParagraph"/>
        <w:numPr>
          <w:ilvl w:val="0"/>
          <w:numId w:val="12"/>
        </w:numPr>
        <w:spacing w:after="0"/>
        <w:contextualSpacing w:val="0"/>
      </w:pPr>
      <w:r w:rsidRPr="009D32F6">
        <w:t xml:space="preserve">A bullet point summary of the three previous consultancies, publications or professional roles the Consultant considers most relevant to the present consultancy work. </w:t>
      </w:r>
    </w:p>
    <w:p w14:paraId="7751E362" w14:textId="31E11585" w:rsidR="00025A5C" w:rsidRPr="009D32F6" w:rsidRDefault="00025A5C" w:rsidP="00E574A9">
      <w:pPr>
        <w:pStyle w:val="ListParagraph"/>
        <w:numPr>
          <w:ilvl w:val="0"/>
          <w:numId w:val="12"/>
        </w:numPr>
        <w:spacing w:after="0"/>
        <w:contextualSpacing w:val="0"/>
      </w:pPr>
      <w:r w:rsidRPr="009D32F6">
        <w:t>A Gantt chart/work</w:t>
      </w:r>
      <w:r w:rsidR="00E574A9">
        <w:t xml:space="preserve"> </w:t>
      </w:r>
      <w:r w:rsidRPr="009D32F6">
        <w:t xml:space="preserve">plan outlining the Consultant's proposed methodology and timelines. </w:t>
      </w:r>
    </w:p>
    <w:p w14:paraId="151CF998" w14:textId="06F3B634" w:rsidR="00E574A9" w:rsidRDefault="00025A5C" w:rsidP="00E574A9">
      <w:pPr>
        <w:pStyle w:val="ListParagraph"/>
        <w:numPr>
          <w:ilvl w:val="0"/>
          <w:numId w:val="12"/>
        </w:numPr>
        <w:spacing w:after="0"/>
        <w:contextualSpacing w:val="0"/>
      </w:pPr>
      <w:r w:rsidRPr="009D32F6">
        <w:t xml:space="preserve">Budget summary with a detailed breakdown in BDT. This work should be offered </w:t>
      </w:r>
      <w:r w:rsidR="00E574A9">
        <w:t>at a fixed cost</w:t>
      </w:r>
      <w:r w:rsidRPr="009D32F6">
        <w:t>, with the budgeted amount including all expenses and taxes. Price reasonableness and value-for-money will be a significant factor in bid evaluation.</w:t>
      </w:r>
    </w:p>
    <w:p w14:paraId="1B8D28C1" w14:textId="6DCE5881" w:rsidR="00025A5C" w:rsidRDefault="00E574A9" w:rsidP="00E574A9">
      <w:pPr>
        <w:pStyle w:val="ListParagraph"/>
        <w:numPr>
          <w:ilvl w:val="0"/>
          <w:numId w:val="12"/>
        </w:numPr>
        <w:spacing w:after="0"/>
        <w:contextualSpacing w:val="0"/>
      </w:pPr>
      <w:r>
        <w:t xml:space="preserve">The </w:t>
      </w:r>
      <w:r w:rsidR="00025A5C" w:rsidRPr="009D32F6">
        <w:t xml:space="preserve">Consultant will submit Proof of </w:t>
      </w:r>
      <w:r>
        <w:t xml:space="preserve">the </w:t>
      </w:r>
      <w:r w:rsidR="00025A5C" w:rsidRPr="009D32F6">
        <w:t>latest Income TAX Return submission document a</w:t>
      </w:r>
      <w:r>
        <w:t>nd</w:t>
      </w:r>
      <w:r w:rsidR="00025A5C" w:rsidRPr="009D32F6">
        <w:t xml:space="preserve"> the Invoice. If </w:t>
      </w:r>
      <w:r>
        <w:t xml:space="preserve">the </w:t>
      </w:r>
      <w:r w:rsidR="00025A5C" w:rsidRPr="009D32F6">
        <w:t>Consultant fail</w:t>
      </w:r>
      <w:r>
        <w:t>s to submit proof of the latest income tax return submission document, WSUP will deduct the income tax as per the l</w:t>
      </w:r>
      <w:r w:rsidR="00025A5C" w:rsidRPr="009D32F6">
        <w:t xml:space="preserve">aw. </w:t>
      </w:r>
    </w:p>
    <w:p w14:paraId="56E48249" w14:textId="30E66200" w:rsidR="00FB65AE" w:rsidRPr="00FB65AE" w:rsidRDefault="00FB65AE" w:rsidP="00FB65AE">
      <w:pPr>
        <w:pStyle w:val="ListParagraph"/>
        <w:numPr>
          <w:ilvl w:val="0"/>
          <w:numId w:val="12"/>
        </w:numPr>
        <w:spacing w:after="0"/>
        <w:contextualSpacing w:val="0"/>
      </w:pPr>
      <w:r w:rsidRPr="00FB65AE">
        <w:lastRenderedPageBreak/>
        <w:t>Proposals that do not specify TAX and VAT will be considered to have those costs included in the overall price/inclusive.</w:t>
      </w:r>
    </w:p>
    <w:p w14:paraId="11613B39" w14:textId="77777777" w:rsidR="00025A5C" w:rsidRPr="009D32F6" w:rsidRDefault="00025A5C" w:rsidP="00E574A9">
      <w:pPr>
        <w:pStyle w:val="ListParagraph"/>
        <w:numPr>
          <w:ilvl w:val="0"/>
          <w:numId w:val="12"/>
        </w:numPr>
        <w:spacing w:after="0"/>
        <w:contextualSpacing w:val="0"/>
      </w:pPr>
      <w:r w:rsidRPr="009D32F6">
        <w:t xml:space="preserve">A risk assessment identifying the key risks related to the work and describing how they will be managed. </w:t>
      </w:r>
    </w:p>
    <w:p w14:paraId="54D1BABD" w14:textId="77777777" w:rsidR="00E574A9" w:rsidRDefault="00E574A9" w:rsidP="00E574A9">
      <w:pPr>
        <w:spacing w:after="0"/>
      </w:pPr>
    </w:p>
    <w:p w14:paraId="443E7C88" w14:textId="0BBF3058" w:rsidR="00E574A9" w:rsidRPr="00E574A9" w:rsidRDefault="00E574A9" w:rsidP="00E574A9">
      <w:pPr>
        <w:spacing w:after="0"/>
        <w:rPr>
          <w:b/>
          <w:bCs/>
        </w:rPr>
      </w:pPr>
      <w:r>
        <w:t>Bidders can send their questions and c</w:t>
      </w:r>
      <w:r w:rsidR="00025A5C" w:rsidRPr="009D32F6">
        <w:t>larification about the bidding process</w:t>
      </w:r>
      <w:r>
        <w:t xml:space="preserve">, which should be forwarded to </w:t>
      </w:r>
      <w:r w:rsidR="00025A5C">
        <w:t>Mohammad Fahim Sayeed</w:t>
      </w:r>
      <w:r>
        <w:t xml:space="preserve"> at </w:t>
      </w:r>
      <w:hyperlink r:id="rId10" w:history="1">
        <w:r w:rsidR="00025A5C" w:rsidRPr="00E574A9">
          <w:rPr>
            <w:b/>
            <w:bCs/>
          </w:rPr>
          <w:t>msayeed@wsup.com</w:t>
        </w:r>
      </w:hyperlink>
      <w:r>
        <w:rPr>
          <w:b/>
          <w:bCs/>
        </w:rPr>
        <w:t xml:space="preserve"> </w:t>
      </w:r>
      <w:r w:rsidRPr="00E574A9">
        <w:t xml:space="preserve">before </w:t>
      </w:r>
      <w:r w:rsidRPr="00E574A9">
        <w:rPr>
          <w:b/>
          <w:bCs/>
        </w:rPr>
        <w:t>27 March 2025</w:t>
      </w:r>
      <w:r>
        <w:rPr>
          <w:b/>
          <w:bCs/>
        </w:rPr>
        <w:t xml:space="preserve"> at 2:00 PM BDT.</w:t>
      </w:r>
    </w:p>
    <w:p w14:paraId="25AAF949" w14:textId="51E4D9CC" w:rsidR="00025A5C" w:rsidRPr="009D32F6" w:rsidRDefault="00E574A9" w:rsidP="00E574A9">
      <w:pPr>
        <w:spacing w:after="0"/>
      </w:pPr>
      <w:r>
        <w:t>The e</w:t>
      </w:r>
      <w:r w:rsidR="00025A5C" w:rsidRPr="009D32F6">
        <w:t xml:space="preserve">valuation criteria will be as follows: </w:t>
      </w:r>
    </w:p>
    <w:p w14:paraId="2B2A3E76" w14:textId="77777777" w:rsidR="00025A5C" w:rsidRPr="009D32F6" w:rsidRDefault="00025A5C" w:rsidP="00E574A9">
      <w:pPr>
        <w:pStyle w:val="ListParagraph"/>
        <w:numPr>
          <w:ilvl w:val="0"/>
          <w:numId w:val="12"/>
        </w:numPr>
        <w:spacing w:after="0"/>
        <w:contextualSpacing w:val="0"/>
      </w:pPr>
      <w:r w:rsidRPr="009D32F6">
        <w:t xml:space="preserve">Formal adherence to bidding requirements (see Bidding procedure section above) </w:t>
      </w:r>
    </w:p>
    <w:p w14:paraId="0EAAFFA6" w14:textId="5384412C" w:rsidR="00025A5C" w:rsidRPr="009D32F6" w:rsidRDefault="00025A5C" w:rsidP="00E574A9">
      <w:pPr>
        <w:pStyle w:val="ListParagraph"/>
        <w:numPr>
          <w:ilvl w:val="0"/>
          <w:numId w:val="12"/>
        </w:numPr>
        <w:spacing w:after="0"/>
        <w:contextualSpacing w:val="0"/>
      </w:pPr>
      <w:r w:rsidRPr="009D32F6">
        <w:t xml:space="preserve">Strength of relevant experience and performance history, including references from others, previous experience with WSUP, </w:t>
      </w:r>
      <w:r w:rsidR="00E574A9">
        <w:t xml:space="preserve">and </w:t>
      </w:r>
      <w:r w:rsidRPr="009D32F6">
        <w:t xml:space="preserve">previous experience with partners, including government agencies </w:t>
      </w:r>
    </w:p>
    <w:p w14:paraId="511E416B" w14:textId="4986650E" w:rsidR="00025A5C" w:rsidRPr="009D32F6" w:rsidRDefault="00025A5C" w:rsidP="00E574A9">
      <w:pPr>
        <w:pStyle w:val="ListParagraph"/>
        <w:numPr>
          <w:ilvl w:val="0"/>
          <w:numId w:val="12"/>
        </w:numPr>
        <w:spacing w:after="0"/>
        <w:contextualSpacing w:val="0"/>
      </w:pPr>
      <w:r w:rsidRPr="009D32F6">
        <w:t xml:space="preserve">Evidence of </w:t>
      </w:r>
      <w:r w:rsidR="00E574A9">
        <w:t xml:space="preserve">an </w:t>
      </w:r>
      <w:r w:rsidRPr="009D32F6">
        <w:t xml:space="preserve">understanding of the ToR and the context </w:t>
      </w:r>
    </w:p>
    <w:p w14:paraId="10C095F8" w14:textId="1C001084" w:rsidR="00025A5C" w:rsidRPr="009D32F6" w:rsidRDefault="00025A5C" w:rsidP="00E574A9">
      <w:pPr>
        <w:pStyle w:val="ListParagraph"/>
        <w:numPr>
          <w:ilvl w:val="0"/>
          <w:numId w:val="12"/>
        </w:numPr>
        <w:spacing w:after="0"/>
        <w:contextualSpacing w:val="0"/>
      </w:pPr>
      <w:r w:rsidRPr="009D32F6">
        <w:t>Strength of technical proposal, including Technical quality</w:t>
      </w:r>
      <w:r w:rsidR="00E574A9">
        <w:t>,</w:t>
      </w:r>
      <w:r w:rsidRPr="009D32F6">
        <w:t xml:space="preserve"> approach and specifications </w:t>
      </w:r>
    </w:p>
    <w:p w14:paraId="4745F461" w14:textId="77777777" w:rsidR="00025A5C" w:rsidRPr="009D32F6" w:rsidRDefault="00025A5C" w:rsidP="00E574A9">
      <w:pPr>
        <w:pStyle w:val="ListParagraph"/>
        <w:numPr>
          <w:ilvl w:val="0"/>
          <w:numId w:val="12"/>
        </w:numPr>
        <w:spacing w:after="0"/>
        <w:contextualSpacing w:val="0"/>
      </w:pPr>
      <w:r w:rsidRPr="009D32F6">
        <w:t xml:space="preserve">Consideration of gender and inclusion </w:t>
      </w:r>
    </w:p>
    <w:p w14:paraId="61BD0A4C" w14:textId="40AE48F4" w:rsidR="00025A5C" w:rsidRPr="009D32F6" w:rsidRDefault="00025A5C" w:rsidP="00E574A9">
      <w:pPr>
        <w:pStyle w:val="ListParagraph"/>
        <w:numPr>
          <w:ilvl w:val="0"/>
          <w:numId w:val="12"/>
        </w:numPr>
        <w:spacing w:after="0"/>
        <w:contextualSpacing w:val="0"/>
      </w:pPr>
      <w:r w:rsidRPr="009D32F6">
        <w:t>Programme/work</w:t>
      </w:r>
      <w:r w:rsidR="00E574A9">
        <w:t xml:space="preserve"> </w:t>
      </w:r>
      <w:r w:rsidRPr="009D32F6">
        <w:t xml:space="preserve">plan and expected ability to deliver within the timeframe </w:t>
      </w:r>
    </w:p>
    <w:p w14:paraId="2C40F661" w14:textId="77777777" w:rsidR="00025A5C" w:rsidRPr="009D32F6" w:rsidRDefault="00025A5C" w:rsidP="00E574A9">
      <w:pPr>
        <w:pStyle w:val="ListParagraph"/>
        <w:numPr>
          <w:ilvl w:val="0"/>
          <w:numId w:val="12"/>
        </w:numPr>
        <w:spacing w:after="0"/>
        <w:contextualSpacing w:val="0"/>
      </w:pPr>
      <w:r w:rsidRPr="009D32F6">
        <w:t xml:space="preserve">Experience of team put forward, both professional and diversity criteria </w:t>
      </w:r>
    </w:p>
    <w:p w14:paraId="5338A8E0" w14:textId="77777777" w:rsidR="00025A5C" w:rsidRPr="009D32F6" w:rsidRDefault="00025A5C" w:rsidP="00E574A9">
      <w:pPr>
        <w:pStyle w:val="ListParagraph"/>
        <w:numPr>
          <w:ilvl w:val="0"/>
          <w:numId w:val="12"/>
        </w:numPr>
        <w:spacing w:after="0"/>
        <w:contextualSpacing w:val="0"/>
      </w:pPr>
      <w:r w:rsidRPr="009D32F6">
        <w:t xml:space="preserve">Value for money </w:t>
      </w:r>
    </w:p>
    <w:p w14:paraId="1D4A074C" w14:textId="77777777" w:rsidR="00E574A9" w:rsidRDefault="00E574A9" w:rsidP="00E574A9">
      <w:pPr>
        <w:spacing w:after="0"/>
      </w:pPr>
    </w:p>
    <w:p w14:paraId="3FB377B6" w14:textId="7EF0DDD8" w:rsidR="00025A5C" w:rsidRDefault="00025A5C" w:rsidP="00E574A9">
      <w:pPr>
        <w:spacing w:after="0"/>
      </w:pPr>
      <w:r w:rsidRPr="009D32F6">
        <w:t xml:space="preserve">The proposal will be independently scored on each criterion by a panel of at least </w:t>
      </w:r>
      <w:r w:rsidR="00E574A9">
        <w:t>three</w:t>
      </w:r>
      <w:r w:rsidRPr="009D32F6">
        <w:t xml:space="preserve"> specialists comprising WSUP staff</w:t>
      </w:r>
      <w:r>
        <w:t xml:space="preserve">. </w:t>
      </w:r>
    </w:p>
    <w:p w14:paraId="679E7F7A" w14:textId="77777777" w:rsidR="00E574A9" w:rsidRPr="009D32F6" w:rsidRDefault="00E574A9" w:rsidP="00E574A9">
      <w:pPr>
        <w:spacing w:after="0"/>
      </w:pPr>
    </w:p>
    <w:p w14:paraId="63044EE4" w14:textId="1057BB41" w:rsidR="00025A5C" w:rsidRPr="009D32F6" w:rsidRDefault="00025A5C" w:rsidP="00E574A9">
      <w:pPr>
        <w:spacing w:after="0"/>
      </w:pPr>
      <w:r w:rsidRPr="009D32F6">
        <w:t xml:space="preserve">WSUP reserves the right to negotiate the scope and pricing with the selected </w:t>
      </w:r>
      <w:r w:rsidR="00E574A9">
        <w:t>C</w:t>
      </w:r>
      <w:r w:rsidRPr="009D32F6">
        <w:t xml:space="preserve">onsultant to </w:t>
      </w:r>
      <w:r w:rsidR="00E574A9">
        <w:t xml:space="preserve">ensure </w:t>
      </w:r>
      <w:r w:rsidRPr="009D32F6">
        <w:t>that these services meet value</w:t>
      </w:r>
      <w:r w:rsidR="00E574A9">
        <w:t>-for-</w:t>
      </w:r>
      <w:r w:rsidRPr="009D32F6">
        <w:t xml:space="preserve">money standards and will be delivered within the available budget. Consultants may wish to propose different approaches that will </w:t>
      </w:r>
      <w:r w:rsidR="00E574A9">
        <w:t>provide</w:t>
      </w:r>
      <w:r w:rsidRPr="009D32F6">
        <w:t xml:space="preserve"> the required benefits for WSUP whilst remaining within the budget available. All negotiations will be documented.</w:t>
      </w:r>
    </w:p>
    <w:p w14:paraId="37536F80" w14:textId="77777777" w:rsidR="00025A5C" w:rsidRDefault="00025A5C" w:rsidP="00E574A9">
      <w:pPr>
        <w:autoSpaceDE w:val="0"/>
        <w:autoSpaceDN w:val="0"/>
        <w:adjustRightInd w:val="0"/>
        <w:spacing w:after="0"/>
        <w:rPr>
          <w:rFonts w:ascii="CIDFont+F2" w:hAnsi="CIDFont+F2" w:cs="CIDFont+F2"/>
          <w:color w:val="auto"/>
          <w:sz w:val="24"/>
          <w:szCs w:val="24"/>
        </w:rPr>
      </w:pPr>
    </w:p>
    <w:p w14:paraId="16E93FD8" w14:textId="77777777" w:rsidR="00025A5C" w:rsidRDefault="00025A5C" w:rsidP="00E574A9">
      <w:pPr>
        <w:autoSpaceDE w:val="0"/>
        <w:autoSpaceDN w:val="0"/>
        <w:adjustRightInd w:val="0"/>
        <w:spacing w:after="0"/>
        <w:rPr>
          <w:rFonts w:ascii="CIDFont+F2" w:hAnsi="CIDFont+F2" w:cs="CIDFont+F2"/>
          <w:color w:val="auto"/>
          <w:sz w:val="24"/>
          <w:szCs w:val="24"/>
        </w:rPr>
      </w:pPr>
    </w:p>
    <w:p w14:paraId="0D42F9BE" w14:textId="77777777" w:rsidR="00025A5C" w:rsidRDefault="00025A5C" w:rsidP="00E574A9">
      <w:pPr>
        <w:autoSpaceDE w:val="0"/>
        <w:autoSpaceDN w:val="0"/>
        <w:adjustRightInd w:val="0"/>
        <w:spacing w:after="0"/>
        <w:rPr>
          <w:rFonts w:ascii="CIDFont+F2" w:hAnsi="CIDFont+F2" w:cs="CIDFont+F2"/>
          <w:color w:val="auto"/>
          <w:sz w:val="24"/>
          <w:szCs w:val="24"/>
        </w:rPr>
      </w:pPr>
    </w:p>
    <w:p w14:paraId="09CF6F6D" w14:textId="7216D0DC" w:rsidR="00025A5C" w:rsidRPr="00185B67" w:rsidRDefault="00025A5C" w:rsidP="00E574A9">
      <w:pPr>
        <w:spacing w:after="0"/>
        <w:rPr>
          <w:b/>
          <w:sz w:val="32"/>
        </w:rPr>
      </w:pPr>
    </w:p>
    <w:p w14:paraId="20415331" w14:textId="77777777" w:rsidR="00A15873" w:rsidRPr="00784A0C" w:rsidRDefault="00A15873" w:rsidP="00E574A9">
      <w:pPr>
        <w:pStyle w:val="Signature"/>
        <w:spacing w:after="0"/>
        <w:ind w:left="-567" w:right="403"/>
        <w:rPr>
          <w:color w:val="0033A0"/>
        </w:rPr>
      </w:pPr>
    </w:p>
    <w:sectPr w:rsidR="00A15873" w:rsidRPr="00784A0C" w:rsidSect="009C21BA">
      <w:headerReference w:type="default" r:id="rId11"/>
      <w:footerReference w:type="default" r:id="rId12"/>
      <w:headerReference w:type="first" r:id="rId13"/>
      <w:footerReference w:type="first" r:id="rId14"/>
      <w:pgSz w:w="11906" w:h="16838"/>
      <w:pgMar w:top="2257" w:right="709" w:bottom="1440" w:left="1440"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AD77A" w14:textId="77777777" w:rsidR="00BF7840" w:rsidRDefault="00BF7840" w:rsidP="0051566B">
      <w:pPr>
        <w:spacing w:after="0"/>
      </w:pPr>
      <w:r>
        <w:separator/>
      </w:r>
    </w:p>
  </w:endnote>
  <w:endnote w:type="continuationSeparator" w:id="0">
    <w:p w14:paraId="2A5D685B" w14:textId="77777777" w:rsidR="00BF7840" w:rsidRDefault="00BF7840" w:rsidP="005156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rope">
    <w:altName w:val="Calibri"/>
    <w:charset w:val="00"/>
    <w:family w:val="auto"/>
    <w:pitch w:val="variable"/>
    <w:sig w:usb0="A00002BF" w:usb1="5000206B"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Aptos">
    <w:charset w:val="00"/>
    <w:family w:val="swiss"/>
    <w:pitch w:val="variable"/>
    <w:sig w:usb0="20000287" w:usb1="00000003" w:usb2="00000000" w:usb3="00000000" w:csb0="0000019F" w:csb1="00000000"/>
  </w:font>
  <w:font w:name="CIDFont+F2">
    <w:altName w:val="Cambria"/>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38EF1" w14:textId="77777777" w:rsidR="00025A5C" w:rsidRDefault="00025A5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p w14:paraId="20A3048C" w14:textId="0B5149A9" w:rsidR="00025A5C" w:rsidRDefault="00025A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0379A" w14:textId="77777777" w:rsidR="00025A5C" w:rsidRDefault="00025A5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p w14:paraId="46702526" w14:textId="7EC0F266" w:rsidR="00A15873" w:rsidRDefault="00A15873" w:rsidP="000F4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D6F09" w14:textId="77777777" w:rsidR="00BF7840" w:rsidRDefault="00BF7840" w:rsidP="0051566B">
      <w:pPr>
        <w:spacing w:after="0"/>
      </w:pPr>
      <w:r>
        <w:separator/>
      </w:r>
    </w:p>
  </w:footnote>
  <w:footnote w:type="continuationSeparator" w:id="0">
    <w:p w14:paraId="045DFF71" w14:textId="77777777" w:rsidR="00BF7840" w:rsidRDefault="00BF7840" w:rsidP="005156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BC9A4" w14:textId="0F96466E" w:rsidR="000051AB" w:rsidRPr="00784A0C" w:rsidRDefault="00025A5C" w:rsidP="00183091">
    <w:pPr>
      <w:pStyle w:val="Header"/>
      <w:spacing w:line="280" w:lineRule="exact"/>
      <w:ind w:right="120"/>
      <w:rPr>
        <w:b/>
        <w:bCs/>
        <w:color w:val="F2F2F2"/>
        <w:sz w:val="16"/>
        <w:szCs w:val="16"/>
      </w:rPr>
    </w:pPr>
    <w:r>
      <w:rPr>
        <w:noProof/>
      </w:rPr>
      <w:drawing>
        <wp:anchor distT="0" distB="0" distL="114300" distR="114300" simplePos="0" relativeHeight="251659776" behindDoc="0" locked="0" layoutInCell="1" allowOverlap="1" wp14:anchorId="490BE2F6" wp14:editId="4CE8872A">
          <wp:simplePos x="0" y="0"/>
          <wp:positionH relativeFrom="column">
            <wp:posOffset>-518795</wp:posOffset>
          </wp:positionH>
          <wp:positionV relativeFrom="paragraph">
            <wp:posOffset>250825</wp:posOffset>
          </wp:positionV>
          <wp:extent cx="1454785" cy="230505"/>
          <wp:effectExtent l="0" t="0" r="0" b="0"/>
          <wp:wrapNone/>
          <wp:docPr id="7" name="Picture 4" descr="A blue text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 blue text on a black background&#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78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6350" distL="114300" distR="123825" simplePos="0" relativeHeight="251656704" behindDoc="0" locked="0" layoutInCell="1" allowOverlap="1" wp14:anchorId="680EC9F0" wp14:editId="12759D09">
          <wp:simplePos x="0" y="0"/>
          <wp:positionH relativeFrom="column">
            <wp:posOffset>6045200</wp:posOffset>
          </wp:positionH>
          <wp:positionV relativeFrom="paragraph">
            <wp:posOffset>70485</wp:posOffset>
          </wp:positionV>
          <wp:extent cx="66675" cy="95250"/>
          <wp:effectExtent l="0" t="0" r="0" b="0"/>
          <wp:wrapSquare wrapText="bothSides"/>
          <wp:docPr id="6" name="Graphic 5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 503"/>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 cy="95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9525" distL="114300" distR="117475" simplePos="0" relativeHeight="251655680" behindDoc="0" locked="0" layoutInCell="1" allowOverlap="1" wp14:anchorId="1A65DC79" wp14:editId="5B466D32">
          <wp:simplePos x="0" y="0"/>
          <wp:positionH relativeFrom="column">
            <wp:posOffset>6030595</wp:posOffset>
          </wp:positionH>
          <wp:positionV relativeFrom="paragraph">
            <wp:posOffset>246380</wp:posOffset>
          </wp:positionV>
          <wp:extent cx="85725" cy="66675"/>
          <wp:effectExtent l="0" t="0" r="0" b="0"/>
          <wp:wrapSquare wrapText="bothSides"/>
          <wp:docPr id="5" name="Graphic 5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 504"/>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725" cy="66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3175" distL="114300" distR="123825" simplePos="0" relativeHeight="251654656" behindDoc="0" locked="0" layoutInCell="1" allowOverlap="1" wp14:anchorId="50C7D118" wp14:editId="23EDB938">
          <wp:simplePos x="0" y="0"/>
          <wp:positionH relativeFrom="column">
            <wp:posOffset>6040755</wp:posOffset>
          </wp:positionH>
          <wp:positionV relativeFrom="paragraph">
            <wp:posOffset>80645</wp:posOffset>
          </wp:positionV>
          <wp:extent cx="66675" cy="85725"/>
          <wp:effectExtent l="0" t="0" r="0" b="0"/>
          <wp:wrapSquare wrapText="bothSides"/>
          <wp:docPr id="4" name="Graphic 5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 50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 cy="85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236322" w14:textId="77777777" w:rsidR="005421C1" w:rsidRPr="00784A0C" w:rsidRDefault="005421C1" w:rsidP="000343E0">
    <w:pPr>
      <w:pStyle w:val="Header"/>
      <w:tabs>
        <w:tab w:val="clear" w:pos="9026"/>
        <w:tab w:val="right" w:pos="4513"/>
        <w:tab w:val="right" w:pos="9759"/>
      </w:tabs>
      <w:ind w:left="-709" w:right="120"/>
      <w:jc w:val="right"/>
      <w:rPr>
        <w:color w:val="0072C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32654" w14:textId="4FBC01EF" w:rsidR="00A15873" w:rsidRDefault="00025A5C" w:rsidP="00E574A9">
    <w:pPr>
      <w:pStyle w:val="Header"/>
      <w:tabs>
        <w:tab w:val="clear" w:pos="4513"/>
        <w:tab w:val="clear" w:pos="9026"/>
        <w:tab w:val="left" w:pos="7227"/>
      </w:tabs>
    </w:pPr>
    <w:r>
      <w:rPr>
        <w:noProof/>
      </w:rPr>
      <w:drawing>
        <wp:anchor distT="0" distB="0" distL="114300" distR="114300" simplePos="0" relativeHeight="251657728" behindDoc="0" locked="0" layoutInCell="1" allowOverlap="1" wp14:anchorId="1CAD55F8" wp14:editId="550070AB">
          <wp:simplePos x="0" y="0"/>
          <wp:positionH relativeFrom="page">
            <wp:align>left</wp:align>
          </wp:positionH>
          <wp:positionV relativeFrom="paragraph">
            <wp:posOffset>-268605</wp:posOffset>
          </wp:positionV>
          <wp:extent cx="7922895" cy="1118235"/>
          <wp:effectExtent l="0" t="0" r="1905" b="5715"/>
          <wp:wrapSquare wrapText="bothSides"/>
          <wp:docPr id="3" name="Picture 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2895" cy="11182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47234"/>
    <w:multiLevelType w:val="hybridMultilevel"/>
    <w:tmpl w:val="17880C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E991788"/>
    <w:multiLevelType w:val="hybridMultilevel"/>
    <w:tmpl w:val="DCB22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0A5B5E"/>
    <w:multiLevelType w:val="multilevel"/>
    <w:tmpl w:val="D35A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520E61"/>
    <w:multiLevelType w:val="hybridMultilevel"/>
    <w:tmpl w:val="855A5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22A46"/>
    <w:multiLevelType w:val="hybridMultilevel"/>
    <w:tmpl w:val="714AC0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A439EA"/>
    <w:multiLevelType w:val="hybridMultilevel"/>
    <w:tmpl w:val="2438E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E92C97"/>
    <w:multiLevelType w:val="hybridMultilevel"/>
    <w:tmpl w:val="E28232B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3A87D82"/>
    <w:multiLevelType w:val="multilevel"/>
    <w:tmpl w:val="780834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037E93"/>
    <w:multiLevelType w:val="hybridMultilevel"/>
    <w:tmpl w:val="3B1AA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E26266"/>
    <w:multiLevelType w:val="hybridMultilevel"/>
    <w:tmpl w:val="445C121E"/>
    <w:lvl w:ilvl="0" w:tplc="798A256C">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1570FD"/>
    <w:multiLevelType w:val="hybridMultilevel"/>
    <w:tmpl w:val="F20C56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C55CDB"/>
    <w:multiLevelType w:val="multilevel"/>
    <w:tmpl w:val="F1D64E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7554AE"/>
    <w:multiLevelType w:val="multilevel"/>
    <w:tmpl w:val="A1802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1A77FB"/>
    <w:multiLevelType w:val="hybridMultilevel"/>
    <w:tmpl w:val="37D4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2F0209"/>
    <w:multiLevelType w:val="hybridMultilevel"/>
    <w:tmpl w:val="14E88B7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08494092">
    <w:abstractNumId w:val="9"/>
  </w:num>
  <w:num w:numId="2" w16cid:durableId="507065220">
    <w:abstractNumId w:val="1"/>
  </w:num>
  <w:num w:numId="3" w16cid:durableId="1423994018">
    <w:abstractNumId w:val="12"/>
  </w:num>
  <w:num w:numId="4" w16cid:durableId="1815219833">
    <w:abstractNumId w:val="11"/>
  </w:num>
  <w:num w:numId="5" w16cid:durableId="1619489955">
    <w:abstractNumId w:val="6"/>
  </w:num>
  <w:num w:numId="6" w16cid:durableId="240793070">
    <w:abstractNumId w:val="3"/>
  </w:num>
  <w:num w:numId="7" w16cid:durableId="2034768553">
    <w:abstractNumId w:val="0"/>
  </w:num>
  <w:num w:numId="8" w16cid:durableId="717314313">
    <w:abstractNumId w:val="13"/>
  </w:num>
  <w:num w:numId="9" w16cid:durableId="1399788023">
    <w:abstractNumId w:val="10"/>
  </w:num>
  <w:num w:numId="10" w16cid:durableId="1767581852">
    <w:abstractNumId w:val="5"/>
  </w:num>
  <w:num w:numId="11" w16cid:durableId="35546834">
    <w:abstractNumId w:val="7"/>
  </w:num>
  <w:num w:numId="12" w16cid:durableId="1288243320">
    <w:abstractNumId w:val="14"/>
  </w:num>
  <w:num w:numId="13" w16cid:durableId="6444579">
    <w:abstractNumId w:val="4"/>
  </w:num>
  <w:num w:numId="14" w16cid:durableId="532615401">
    <w:abstractNumId w:val="2"/>
  </w:num>
  <w:num w:numId="15" w16cid:durableId="5070162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MwMTK0NDc0tDAwNrBQ0lEKTi0uzszPAykwqgUA97iwKSwAAAA="/>
  </w:docVars>
  <w:rsids>
    <w:rsidRoot w:val="00025A5C"/>
    <w:rsid w:val="000051AB"/>
    <w:rsid w:val="00013F5A"/>
    <w:rsid w:val="00025A5C"/>
    <w:rsid w:val="000343E0"/>
    <w:rsid w:val="000F4F5B"/>
    <w:rsid w:val="001628A9"/>
    <w:rsid w:val="00183091"/>
    <w:rsid w:val="002263C1"/>
    <w:rsid w:val="002A7B39"/>
    <w:rsid w:val="002B419E"/>
    <w:rsid w:val="00346BDE"/>
    <w:rsid w:val="0037273F"/>
    <w:rsid w:val="0038746B"/>
    <w:rsid w:val="003F1F75"/>
    <w:rsid w:val="0040379E"/>
    <w:rsid w:val="004466AF"/>
    <w:rsid w:val="00501FE4"/>
    <w:rsid w:val="0051566B"/>
    <w:rsid w:val="005421C1"/>
    <w:rsid w:val="005F5E51"/>
    <w:rsid w:val="00604833"/>
    <w:rsid w:val="00615552"/>
    <w:rsid w:val="00643862"/>
    <w:rsid w:val="00666A1D"/>
    <w:rsid w:val="00784A0C"/>
    <w:rsid w:val="007B2BE0"/>
    <w:rsid w:val="0090052B"/>
    <w:rsid w:val="00903007"/>
    <w:rsid w:val="00981B7B"/>
    <w:rsid w:val="009974A7"/>
    <w:rsid w:val="009A6942"/>
    <w:rsid w:val="009C21BA"/>
    <w:rsid w:val="00A0486D"/>
    <w:rsid w:val="00A06559"/>
    <w:rsid w:val="00A15873"/>
    <w:rsid w:val="00A177AD"/>
    <w:rsid w:val="00A747E1"/>
    <w:rsid w:val="00AA3AAB"/>
    <w:rsid w:val="00B446AD"/>
    <w:rsid w:val="00B6634B"/>
    <w:rsid w:val="00BA23BB"/>
    <w:rsid w:val="00BF7840"/>
    <w:rsid w:val="00C71D27"/>
    <w:rsid w:val="00C91259"/>
    <w:rsid w:val="00D049DC"/>
    <w:rsid w:val="00E2171E"/>
    <w:rsid w:val="00E43539"/>
    <w:rsid w:val="00E574A9"/>
    <w:rsid w:val="00E65F97"/>
    <w:rsid w:val="00E74C02"/>
    <w:rsid w:val="00EA5625"/>
    <w:rsid w:val="00EA56D8"/>
    <w:rsid w:val="00ED299A"/>
    <w:rsid w:val="00ED4FC9"/>
    <w:rsid w:val="00F47825"/>
    <w:rsid w:val="00FB65AE"/>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4FAEFA"/>
  <w15:chartTrackingRefBased/>
  <w15:docId w15:val="{82C482F3-D33E-49DC-B736-A63636E9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bn-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FC9"/>
    <w:pPr>
      <w:spacing w:after="200" w:line="276" w:lineRule="auto"/>
    </w:pPr>
    <w:rPr>
      <w:rFonts w:ascii="Manrope" w:hAnsi="Manrope" w:cs="Arial"/>
      <w:color w:val="0033A0"/>
      <w:sz w:val="22"/>
      <w:szCs w:val="22"/>
      <w:lang w:eastAsia="en-US" w:bidi="ar-SA"/>
    </w:rPr>
  </w:style>
  <w:style w:type="paragraph" w:styleId="Heading1">
    <w:name w:val="heading 1"/>
    <w:basedOn w:val="Normal"/>
    <w:next w:val="Normal"/>
    <w:link w:val="Heading1Char"/>
    <w:uiPriority w:val="9"/>
    <w:qFormat/>
    <w:rsid w:val="00ED4FC9"/>
    <w:pPr>
      <w:spacing w:line="240" w:lineRule="auto"/>
      <w:outlineLvl w:val="0"/>
    </w:pPr>
    <w:rPr>
      <w:b/>
      <w:sz w:val="32"/>
    </w:rPr>
  </w:style>
  <w:style w:type="paragraph" w:styleId="Heading2">
    <w:name w:val="heading 2"/>
    <w:basedOn w:val="Normal"/>
    <w:next w:val="Normal"/>
    <w:link w:val="Heading2Char"/>
    <w:uiPriority w:val="9"/>
    <w:unhideWhenUsed/>
    <w:qFormat/>
    <w:rsid w:val="00025A5C"/>
    <w:pPr>
      <w:numPr>
        <w:numId w:val="1"/>
      </w:numPr>
      <w:ind w:left="357" w:hanging="357"/>
      <w:outlineLvl w:val="1"/>
    </w:pPr>
    <w:rPr>
      <w:color w:val="0072C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66B"/>
    <w:pPr>
      <w:tabs>
        <w:tab w:val="center" w:pos="4513"/>
        <w:tab w:val="right" w:pos="9026"/>
      </w:tabs>
      <w:spacing w:after="0"/>
    </w:pPr>
  </w:style>
  <w:style w:type="character" w:customStyle="1" w:styleId="HeaderChar">
    <w:name w:val="Header Char"/>
    <w:basedOn w:val="DefaultParagraphFont"/>
    <w:link w:val="Header"/>
    <w:uiPriority w:val="99"/>
    <w:rsid w:val="0051566B"/>
  </w:style>
  <w:style w:type="paragraph" w:styleId="Footer">
    <w:name w:val="footer"/>
    <w:basedOn w:val="Normal"/>
    <w:link w:val="FooterChar"/>
    <w:uiPriority w:val="99"/>
    <w:unhideWhenUsed/>
    <w:rsid w:val="0051566B"/>
    <w:pPr>
      <w:tabs>
        <w:tab w:val="center" w:pos="4513"/>
        <w:tab w:val="right" w:pos="9026"/>
      </w:tabs>
      <w:spacing w:after="0"/>
    </w:pPr>
  </w:style>
  <w:style w:type="character" w:customStyle="1" w:styleId="FooterChar">
    <w:name w:val="Footer Char"/>
    <w:basedOn w:val="DefaultParagraphFont"/>
    <w:link w:val="Footer"/>
    <w:uiPriority w:val="99"/>
    <w:rsid w:val="0051566B"/>
  </w:style>
  <w:style w:type="character" w:styleId="Hyperlink">
    <w:name w:val="Hyperlink"/>
    <w:uiPriority w:val="99"/>
    <w:unhideWhenUsed/>
    <w:rsid w:val="005421C1"/>
    <w:rPr>
      <w:color w:val="FFFFFF"/>
      <w:u w:val="single"/>
    </w:rPr>
  </w:style>
  <w:style w:type="character" w:styleId="UnresolvedMention">
    <w:name w:val="Unresolved Mention"/>
    <w:uiPriority w:val="99"/>
    <w:semiHidden/>
    <w:unhideWhenUsed/>
    <w:rsid w:val="005421C1"/>
    <w:rPr>
      <w:color w:val="605E5C"/>
      <w:shd w:val="clear" w:color="auto" w:fill="E1DFDD"/>
    </w:rPr>
  </w:style>
  <w:style w:type="paragraph" w:customStyle="1" w:styleId="Recipient">
    <w:name w:val="Recipient"/>
    <w:basedOn w:val="Normal"/>
    <w:rsid w:val="005F5E51"/>
    <w:pPr>
      <w:spacing w:before="840" w:after="40"/>
    </w:pPr>
    <w:rPr>
      <w:b/>
      <w:bCs/>
      <w:color w:val="000000"/>
    </w:rPr>
  </w:style>
  <w:style w:type="paragraph" w:styleId="Salutation">
    <w:name w:val="Salutation"/>
    <w:basedOn w:val="Normal"/>
    <w:link w:val="SalutationChar"/>
    <w:rsid w:val="005F5E51"/>
    <w:pPr>
      <w:spacing w:before="720"/>
    </w:pPr>
  </w:style>
  <w:style w:type="character" w:customStyle="1" w:styleId="SalutationChar">
    <w:name w:val="Salutation Char"/>
    <w:link w:val="Salutation"/>
    <w:rsid w:val="005F5E51"/>
    <w:rPr>
      <w:rFonts w:ascii="Franklin Gothic Book" w:eastAsia="Franklin Gothic Book" w:hAnsi="Franklin Gothic Book" w:cs="Tahoma"/>
      <w:color w:val="595959"/>
      <w:kern w:val="3"/>
      <w:sz w:val="24"/>
      <w:szCs w:val="20"/>
      <w:lang w:eastAsia="ja-JP"/>
    </w:rPr>
  </w:style>
  <w:style w:type="paragraph" w:styleId="Closing">
    <w:name w:val="Closing"/>
    <w:basedOn w:val="Normal"/>
    <w:next w:val="Signature"/>
    <w:link w:val="ClosingChar"/>
    <w:rsid w:val="005F5E51"/>
    <w:pPr>
      <w:spacing w:before="480" w:after="960"/>
    </w:pPr>
  </w:style>
  <w:style w:type="character" w:customStyle="1" w:styleId="ClosingChar">
    <w:name w:val="Closing Char"/>
    <w:link w:val="Closing"/>
    <w:rsid w:val="005F5E51"/>
    <w:rPr>
      <w:rFonts w:ascii="Franklin Gothic Book" w:eastAsia="Franklin Gothic Book" w:hAnsi="Franklin Gothic Book" w:cs="Tahoma"/>
      <w:color w:val="595959"/>
      <w:kern w:val="3"/>
      <w:sz w:val="24"/>
      <w:szCs w:val="20"/>
      <w:lang w:eastAsia="ja-JP"/>
    </w:rPr>
  </w:style>
  <w:style w:type="paragraph" w:styleId="Signature">
    <w:name w:val="Signature"/>
    <w:basedOn w:val="Normal"/>
    <w:link w:val="SignatureChar"/>
    <w:rsid w:val="005F5E51"/>
    <w:pPr>
      <w:contextualSpacing/>
    </w:pPr>
    <w:rPr>
      <w:b/>
      <w:bCs/>
      <w:color w:val="17406D"/>
    </w:rPr>
  </w:style>
  <w:style w:type="character" w:customStyle="1" w:styleId="SignatureChar">
    <w:name w:val="Signature Char"/>
    <w:link w:val="Signature"/>
    <w:rsid w:val="005F5E51"/>
    <w:rPr>
      <w:rFonts w:ascii="Franklin Gothic Book" w:eastAsia="Franklin Gothic Book" w:hAnsi="Franklin Gothic Book" w:cs="Tahoma"/>
      <w:b/>
      <w:bCs/>
      <w:color w:val="17406D"/>
      <w:kern w:val="3"/>
      <w:sz w:val="24"/>
      <w:szCs w:val="20"/>
      <w:lang w:eastAsia="ja-JP"/>
    </w:rPr>
  </w:style>
  <w:style w:type="character" w:styleId="Strong">
    <w:name w:val="Strong"/>
    <w:rsid w:val="005F5E51"/>
    <w:rPr>
      <w:b/>
      <w:bCs/>
    </w:rPr>
  </w:style>
  <w:style w:type="paragraph" w:customStyle="1" w:styleId="ContactInfo">
    <w:name w:val="Contact Info"/>
    <w:basedOn w:val="Normal"/>
    <w:rsid w:val="005F5E51"/>
    <w:pPr>
      <w:spacing w:after="0"/>
    </w:pPr>
    <w:rPr>
      <w:color w:val="FFFFFF"/>
    </w:rPr>
  </w:style>
  <w:style w:type="character" w:styleId="PlaceholderText">
    <w:name w:val="Placeholder Text"/>
    <w:rsid w:val="005F5E51"/>
    <w:rPr>
      <w:color w:val="808080"/>
    </w:rPr>
  </w:style>
  <w:style w:type="character" w:customStyle="1" w:styleId="Heading1Char">
    <w:name w:val="Heading 1 Char"/>
    <w:basedOn w:val="DefaultParagraphFont"/>
    <w:link w:val="Heading1"/>
    <w:uiPriority w:val="9"/>
    <w:rsid w:val="00ED4FC9"/>
    <w:rPr>
      <w:rFonts w:ascii="Manrope" w:hAnsi="Manrope" w:cs="Arial"/>
      <w:b/>
      <w:color w:val="0033A0"/>
      <w:sz w:val="32"/>
      <w:szCs w:val="22"/>
      <w:lang w:eastAsia="en-US" w:bidi="ar-SA"/>
    </w:rPr>
  </w:style>
  <w:style w:type="character" w:customStyle="1" w:styleId="Heading2Char">
    <w:name w:val="Heading 2 Char"/>
    <w:basedOn w:val="DefaultParagraphFont"/>
    <w:link w:val="Heading2"/>
    <w:uiPriority w:val="9"/>
    <w:rsid w:val="00025A5C"/>
    <w:rPr>
      <w:rFonts w:ascii="Arial" w:hAnsi="Arial" w:cs="Arial"/>
      <w:color w:val="0072CE"/>
      <w:sz w:val="32"/>
      <w:szCs w:val="22"/>
      <w:lang w:eastAsia="en-US" w:bidi="ar-SA"/>
    </w:rPr>
  </w:style>
  <w:style w:type="paragraph" w:styleId="ListParagraph">
    <w:name w:val="List Paragraph"/>
    <w:basedOn w:val="Normal"/>
    <w:link w:val="ListParagraphChar"/>
    <w:uiPriority w:val="34"/>
    <w:qFormat/>
    <w:rsid w:val="00025A5C"/>
    <w:pPr>
      <w:ind w:left="720"/>
      <w:contextualSpacing/>
    </w:pPr>
  </w:style>
  <w:style w:type="table" w:styleId="TableGrid">
    <w:name w:val="Table Grid"/>
    <w:basedOn w:val="TableNormal"/>
    <w:uiPriority w:val="59"/>
    <w:rsid w:val="00025A5C"/>
    <w:rPr>
      <w:rFonts w:cs="Vrinda"/>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ListParagraph"/>
    <w:uiPriority w:val="34"/>
    <w:locked/>
    <w:rsid w:val="00025A5C"/>
    <w:rPr>
      <w:rFonts w:ascii="Arial" w:hAnsi="Arial" w:cs="Arial"/>
      <w:color w:val="0033A0"/>
      <w:sz w:val="22"/>
      <w:szCs w:val="22"/>
      <w:lang w:eastAsia="en-US" w:bidi="ar-SA"/>
    </w:rPr>
  </w:style>
  <w:style w:type="paragraph" w:styleId="NoSpacing">
    <w:name w:val="No Spacing"/>
    <w:link w:val="NoSpacingChar"/>
    <w:uiPriority w:val="1"/>
    <w:qFormat/>
    <w:rsid w:val="00025A5C"/>
    <w:rPr>
      <w:rFonts w:ascii="Aptos" w:eastAsia="Times New Roman" w:hAnsi="Aptos" w:cs="Vrinda"/>
      <w:sz w:val="22"/>
      <w:szCs w:val="22"/>
      <w:lang w:val="en-US" w:eastAsia="en-US" w:bidi="ar-SA"/>
    </w:rPr>
  </w:style>
  <w:style w:type="character" w:customStyle="1" w:styleId="NoSpacingChar">
    <w:name w:val="No Spacing Char"/>
    <w:link w:val="NoSpacing"/>
    <w:uiPriority w:val="1"/>
    <w:rsid w:val="00025A5C"/>
    <w:rPr>
      <w:rFonts w:ascii="Aptos" w:eastAsia="Times New Roman" w:hAnsi="Aptos" w:cs="Vrinda"/>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sayeed@wsup.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mmadFahimSayeed\Downloads\01.%20WSUP%20International_Template%20-%20Banglades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164A577532184A936CD2A57C5C9545" ma:contentTypeVersion="18" ma:contentTypeDescription="Create a new document." ma:contentTypeScope="" ma:versionID="1c14ca2c4c787b3ad4f4df5e9a56c144">
  <xsd:schema xmlns:xsd="http://www.w3.org/2001/XMLSchema" xmlns:xs="http://www.w3.org/2001/XMLSchema" xmlns:p="http://schemas.microsoft.com/office/2006/metadata/properties" xmlns:ns2="7bb7dd0e-6028-46d4-9f2e-1b931a0eb9d1" xmlns:ns3="ab632789-789f-4e96-8a2c-5e5ade2dc2ff" targetNamespace="http://schemas.microsoft.com/office/2006/metadata/properties" ma:root="true" ma:fieldsID="2f9c45d25bf196fa9393e0b16e5aee24" ns2:_="" ns3:_="">
    <xsd:import namespace="7bb7dd0e-6028-46d4-9f2e-1b931a0eb9d1"/>
    <xsd:import namespace="ab632789-789f-4e96-8a2c-5e5ade2dc2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7dd0e-6028-46d4-9f2e-1b931a0eb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92cdb9-8095-4adb-8577-65e2efc372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632789-789f-4e96-8a2c-5e5ade2dc2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132bbc-43b5-4555-9af8-f91d7722109d}" ma:internalName="TaxCatchAll" ma:showField="CatchAllData" ma:web="ab632789-789f-4e96-8a2c-5e5ade2dc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DC10F8-022C-4A6F-B6C5-4E5D2564F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7dd0e-6028-46d4-9f2e-1b931a0eb9d1"/>
    <ds:schemaRef ds:uri="ab632789-789f-4e96-8a2c-5e5ade2dc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C0C6D1-B55F-46A0-BFBE-C3E2CD2F3F65}">
  <ds:schemaRefs>
    <ds:schemaRef ds:uri="http://schemas.openxmlformats.org/officeDocument/2006/bibliography"/>
  </ds:schemaRefs>
</ds:datastoreItem>
</file>

<file path=customXml/itemProps3.xml><?xml version="1.0" encoding="utf-8"?>
<ds:datastoreItem xmlns:ds="http://schemas.openxmlformats.org/officeDocument/2006/customXml" ds:itemID="{155742FF-AD1F-4ADD-BD24-F1C424CF80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01. WSUP International_Template - Bangladesh</Template>
  <TotalTime>15</TotalTime>
  <Pages>6</Pages>
  <Words>2057</Words>
  <Characters>12328</Characters>
  <Application>Microsoft Office Word</Application>
  <DocSecurity>0</DocSecurity>
  <Lines>268</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Fahim Sayeed</dc:creator>
  <cp:keywords/>
  <dc:description/>
  <cp:lastModifiedBy>Rowshan Sharmin Jahan</cp:lastModifiedBy>
  <cp:revision>4</cp:revision>
  <dcterms:created xsi:type="dcterms:W3CDTF">2025-03-20T06:52:00Z</dcterms:created>
  <dcterms:modified xsi:type="dcterms:W3CDTF">2025-03-22T06:08:00Z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722afb43-4d80-4286-9883-064c0b8a0deb</vt:lpwstr>
  </property>
</Properties>
</file>