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10F4" w14:textId="77777777" w:rsidR="001C32A7" w:rsidRDefault="001C32A7" w:rsidP="001C32A7">
      <w:pPr>
        <w:spacing w:after="0" w:line="240" w:lineRule="auto"/>
        <w:jc w:val="center"/>
        <w:rPr>
          <w:rFonts w:cstheme="minorHAnsi"/>
          <w:b/>
        </w:rPr>
      </w:pPr>
      <w:r>
        <w:rPr>
          <w:rFonts w:cstheme="minorHAnsi"/>
          <w:b/>
        </w:rPr>
        <w:t>ANNEX 1</w:t>
      </w:r>
    </w:p>
    <w:p w14:paraId="4A563F33" w14:textId="77777777" w:rsidR="001C32A7" w:rsidRDefault="001C32A7" w:rsidP="001C32A7">
      <w:pPr>
        <w:spacing w:after="0" w:line="240" w:lineRule="auto"/>
        <w:jc w:val="center"/>
        <w:rPr>
          <w:rFonts w:cstheme="minorHAnsi"/>
          <w:b/>
        </w:rPr>
      </w:pPr>
    </w:p>
    <w:p w14:paraId="69C36A35" w14:textId="77777777" w:rsidR="001C32A7" w:rsidRPr="00BC7E58" w:rsidRDefault="001C32A7" w:rsidP="001C32A7">
      <w:pPr>
        <w:spacing w:after="0" w:line="240" w:lineRule="auto"/>
        <w:jc w:val="center"/>
        <w:rPr>
          <w:rFonts w:cstheme="minorHAnsi"/>
          <w:b/>
        </w:rPr>
      </w:pPr>
      <w:r w:rsidRPr="00BC7E58">
        <w:rPr>
          <w:rFonts w:cstheme="minorHAnsi"/>
          <w:b/>
        </w:rPr>
        <w:t>Winrock International</w:t>
      </w:r>
    </w:p>
    <w:p w14:paraId="08CE5590" w14:textId="77777777" w:rsidR="001C32A7" w:rsidRPr="00BC7E58" w:rsidRDefault="001C32A7" w:rsidP="001C32A7">
      <w:pPr>
        <w:spacing w:after="0" w:line="240" w:lineRule="auto"/>
        <w:jc w:val="center"/>
        <w:rPr>
          <w:rFonts w:cstheme="minorHAnsi"/>
          <w:b/>
        </w:rPr>
      </w:pPr>
    </w:p>
    <w:p w14:paraId="6EB534C6" w14:textId="77777777" w:rsidR="001C32A7" w:rsidRPr="00BC7E58" w:rsidRDefault="001C32A7" w:rsidP="001C32A7">
      <w:pPr>
        <w:spacing w:after="0" w:line="240" w:lineRule="auto"/>
        <w:jc w:val="center"/>
        <w:rPr>
          <w:rFonts w:cstheme="minorHAnsi"/>
          <w:b/>
        </w:rPr>
      </w:pPr>
      <w:r w:rsidRPr="00BC7E58">
        <w:rPr>
          <w:rFonts w:cstheme="minorHAnsi"/>
          <w:b/>
        </w:rPr>
        <w:t>Safe Aqua Farming for Economic and Trade Improvement (SAFETI) project</w:t>
      </w:r>
    </w:p>
    <w:p w14:paraId="38B68A5D" w14:textId="77777777" w:rsidR="001C32A7" w:rsidRPr="00BC7E58" w:rsidRDefault="001C32A7" w:rsidP="001C32A7">
      <w:pPr>
        <w:spacing w:after="0" w:line="240" w:lineRule="auto"/>
        <w:jc w:val="center"/>
        <w:rPr>
          <w:rFonts w:cstheme="minorHAnsi"/>
          <w:b/>
        </w:rPr>
      </w:pPr>
      <w:r w:rsidRPr="00BC7E58">
        <w:rPr>
          <w:rFonts w:cstheme="minorHAnsi"/>
          <w:b/>
        </w:rPr>
        <w:t>Bangladesh</w:t>
      </w:r>
    </w:p>
    <w:p w14:paraId="4DE6E421" w14:textId="77777777" w:rsidR="001C32A7" w:rsidRPr="00BC7E58" w:rsidRDefault="001C32A7" w:rsidP="001C32A7">
      <w:pPr>
        <w:pStyle w:val="NoSpacing"/>
        <w:jc w:val="both"/>
        <w:rPr>
          <w:rFonts w:asciiTheme="minorHAnsi" w:hAnsiTheme="minorHAnsi" w:cstheme="minorHAnsi"/>
          <w:b/>
        </w:rPr>
      </w:pPr>
    </w:p>
    <w:p w14:paraId="2DCAB7BB" w14:textId="77777777" w:rsidR="001C32A7" w:rsidRPr="00BC7E58" w:rsidRDefault="001C32A7" w:rsidP="001C32A7">
      <w:pPr>
        <w:pStyle w:val="NoSpacing"/>
        <w:jc w:val="both"/>
        <w:rPr>
          <w:rFonts w:asciiTheme="minorHAnsi" w:hAnsiTheme="minorHAnsi" w:cstheme="minorHAnsi"/>
          <w:b/>
        </w:rPr>
      </w:pPr>
      <w:r w:rsidRPr="00BC7E58">
        <w:rPr>
          <w:rFonts w:asciiTheme="minorHAnsi" w:hAnsiTheme="minorHAnsi" w:cstheme="minorHAnsi"/>
          <w:b/>
        </w:rPr>
        <w:t xml:space="preserve">Date: </w:t>
      </w:r>
      <w:r>
        <w:rPr>
          <w:rFonts w:asciiTheme="minorHAnsi" w:hAnsiTheme="minorHAnsi" w:cstheme="minorHAnsi"/>
          <w:b/>
        </w:rPr>
        <w:t>January 21, 2020</w:t>
      </w:r>
    </w:p>
    <w:p w14:paraId="54F7506E" w14:textId="77777777" w:rsidR="001C32A7" w:rsidRPr="00BC7E58" w:rsidRDefault="001C32A7" w:rsidP="001C32A7">
      <w:pPr>
        <w:pStyle w:val="NoSpacing"/>
        <w:jc w:val="both"/>
        <w:rPr>
          <w:rFonts w:asciiTheme="minorHAnsi" w:hAnsiTheme="minorHAnsi" w:cstheme="minorHAnsi"/>
          <w:b/>
        </w:rPr>
      </w:pPr>
    </w:p>
    <w:p w14:paraId="2ED58173" w14:textId="77777777" w:rsidR="001C32A7" w:rsidRPr="00BC7E58" w:rsidRDefault="001C32A7" w:rsidP="001C32A7">
      <w:pPr>
        <w:spacing w:after="0"/>
        <w:jc w:val="center"/>
        <w:rPr>
          <w:rFonts w:cstheme="minorHAnsi"/>
          <w:b/>
        </w:rPr>
      </w:pPr>
      <w:r w:rsidRPr="00BC7E58">
        <w:rPr>
          <w:rFonts w:cstheme="minorHAnsi"/>
          <w:b/>
        </w:rPr>
        <w:t>Terms of Reference: Seafood Quality Control Laboratory Specialist</w:t>
      </w: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7"/>
        <w:gridCol w:w="6698"/>
      </w:tblGrid>
      <w:tr w:rsidR="001C32A7" w:rsidRPr="00386E4F" w14:paraId="3CD6FB6D" w14:textId="77777777" w:rsidTr="00954103">
        <w:trPr>
          <w:trHeight w:val="320"/>
        </w:trPr>
        <w:tc>
          <w:tcPr>
            <w:tcW w:w="2657" w:type="dxa"/>
          </w:tcPr>
          <w:p w14:paraId="4FD3EB6C" w14:textId="77777777" w:rsidR="001C32A7" w:rsidRPr="00BC7E58" w:rsidRDefault="001C32A7" w:rsidP="00954103">
            <w:pPr>
              <w:spacing w:after="0"/>
              <w:rPr>
                <w:rFonts w:cstheme="minorHAnsi"/>
              </w:rPr>
            </w:pPr>
            <w:r w:rsidRPr="00BC7E58">
              <w:rPr>
                <w:rFonts w:cstheme="minorHAnsi"/>
              </w:rPr>
              <w:t>Client</w:t>
            </w:r>
          </w:p>
        </w:tc>
        <w:tc>
          <w:tcPr>
            <w:tcW w:w="6698" w:type="dxa"/>
          </w:tcPr>
          <w:p w14:paraId="0FFB757D" w14:textId="77777777" w:rsidR="001C32A7" w:rsidRPr="00BC7E58" w:rsidRDefault="001C32A7" w:rsidP="00954103">
            <w:pPr>
              <w:spacing w:after="0"/>
              <w:rPr>
                <w:rFonts w:cstheme="minorHAnsi"/>
              </w:rPr>
            </w:pPr>
            <w:r w:rsidRPr="00BC7E58">
              <w:rPr>
                <w:rFonts w:cstheme="minorHAnsi"/>
              </w:rPr>
              <w:t>Winrock International, Bangladesh</w:t>
            </w:r>
          </w:p>
        </w:tc>
      </w:tr>
      <w:tr w:rsidR="001C32A7" w:rsidRPr="00386E4F" w14:paraId="49CA8242" w14:textId="77777777" w:rsidTr="00954103">
        <w:trPr>
          <w:trHeight w:val="280"/>
        </w:trPr>
        <w:tc>
          <w:tcPr>
            <w:tcW w:w="2657" w:type="dxa"/>
          </w:tcPr>
          <w:p w14:paraId="1E785539" w14:textId="77777777" w:rsidR="001C32A7" w:rsidRPr="00BC7E58" w:rsidRDefault="001C32A7" w:rsidP="00954103">
            <w:pPr>
              <w:spacing w:after="0"/>
              <w:rPr>
                <w:rFonts w:cstheme="minorHAnsi"/>
              </w:rPr>
            </w:pPr>
            <w:r w:rsidRPr="00BC7E58">
              <w:rPr>
                <w:rFonts w:cstheme="minorHAnsi"/>
              </w:rPr>
              <w:t>Project</w:t>
            </w:r>
          </w:p>
        </w:tc>
        <w:tc>
          <w:tcPr>
            <w:tcW w:w="6698" w:type="dxa"/>
          </w:tcPr>
          <w:p w14:paraId="096A3045" w14:textId="77777777" w:rsidR="001C32A7" w:rsidRPr="00BC7E58" w:rsidRDefault="001C32A7" w:rsidP="00954103">
            <w:pPr>
              <w:spacing w:after="0"/>
              <w:rPr>
                <w:rFonts w:cstheme="minorHAnsi"/>
              </w:rPr>
            </w:pPr>
            <w:r w:rsidRPr="00BC7E58">
              <w:rPr>
                <w:rFonts w:cstheme="minorHAnsi"/>
              </w:rPr>
              <w:t>SAFETI project</w:t>
            </w:r>
          </w:p>
        </w:tc>
      </w:tr>
      <w:tr w:rsidR="001C32A7" w:rsidRPr="00386E4F" w14:paraId="4F237D33" w14:textId="77777777" w:rsidTr="00954103">
        <w:tc>
          <w:tcPr>
            <w:tcW w:w="2657" w:type="dxa"/>
          </w:tcPr>
          <w:p w14:paraId="78F40AD8" w14:textId="77777777" w:rsidR="001C32A7" w:rsidRPr="00BC7E58" w:rsidRDefault="001C32A7" w:rsidP="00954103">
            <w:pPr>
              <w:spacing w:after="0"/>
              <w:rPr>
                <w:rFonts w:cstheme="minorHAnsi"/>
              </w:rPr>
            </w:pPr>
            <w:r w:rsidRPr="00BC7E58">
              <w:rPr>
                <w:rFonts w:cstheme="minorHAnsi"/>
              </w:rPr>
              <w:t>Task duration &amp; timing</w:t>
            </w:r>
          </w:p>
        </w:tc>
        <w:tc>
          <w:tcPr>
            <w:tcW w:w="6698" w:type="dxa"/>
          </w:tcPr>
          <w:p w14:paraId="4550FDC0" w14:textId="77777777" w:rsidR="001C32A7" w:rsidRPr="00BC7E58" w:rsidRDefault="001C32A7" w:rsidP="00954103">
            <w:pPr>
              <w:spacing w:after="0"/>
              <w:rPr>
                <w:rFonts w:cstheme="minorHAnsi"/>
                <w:color w:val="FF0000"/>
              </w:rPr>
            </w:pPr>
            <w:r w:rsidRPr="00BC7E58">
              <w:rPr>
                <w:rFonts w:cstheme="minorHAnsi"/>
              </w:rPr>
              <w:t>1</w:t>
            </w:r>
            <w:r>
              <w:rPr>
                <w:rFonts w:cstheme="minorHAnsi"/>
              </w:rPr>
              <w:t>8</w:t>
            </w:r>
            <w:r w:rsidRPr="00BC7E58">
              <w:rPr>
                <w:rFonts w:cstheme="minorHAnsi"/>
              </w:rPr>
              <w:t xml:space="preserve"> days including 4 days </w:t>
            </w:r>
            <w:proofErr w:type="gramStart"/>
            <w:r w:rsidRPr="00733802">
              <w:rPr>
                <w:rFonts w:cstheme="minorHAnsi"/>
              </w:rPr>
              <w:t>travel  [</w:t>
            </w:r>
            <w:proofErr w:type="gramEnd"/>
            <w:r w:rsidRPr="00733802">
              <w:rPr>
                <w:rFonts w:cstheme="minorHAnsi"/>
              </w:rPr>
              <w:t>timing to be determined ]</w:t>
            </w:r>
          </w:p>
        </w:tc>
      </w:tr>
      <w:tr w:rsidR="001C32A7" w:rsidRPr="00386E4F" w14:paraId="57BA3FBA" w14:textId="77777777" w:rsidTr="00954103">
        <w:tc>
          <w:tcPr>
            <w:tcW w:w="2657" w:type="dxa"/>
          </w:tcPr>
          <w:p w14:paraId="1F86EE30" w14:textId="77777777" w:rsidR="001C32A7" w:rsidRPr="00BC7E58" w:rsidRDefault="001C32A7" w:rsidP="00954103">
            <w:pPr>
              <w:spacing w:after="0"/>
              <w:rPr>
                <w:rFonts w:cstheme="minorHAnsi"/>
              </w:rPr>
            </w:pPr>
            <w:r w:rsidRPr="00BC7E58">
              <w:rPr>
                <w:rFonts w:cstheme="minorHAnsi"/>
              </w:rPr>
              <w:t>Type</w:t>
            </w:r>
          </w:p>
        </w:tc>
        <w:tc>
          <w:tcPr>
            <w:tcW w:w="6698" w:type="dxa"/>
          </w:tcPr>
          <w:p w14:paraId="166C670E" w14:textId="77777777" w:rsidR="001C32A7" w:rsidRPr="00BC7E58" w:rsidRDefault="001C32A7" w:rsidP="00954103">
            <w:pPr>
              <w:spacing w:after="0"/>
              <w:rPr>
                <w:rFonts w:cstheme="minorHAnsi"/>
              </w:rPr>
            </w:pPr>
            <w:r w:rsidRPr="00BC7E58">
              <w:rPr>
                <w:rFonts w:cstheme="minorHAnsi"/>
              </w:rPr>
              <w:t>Individual Consultancy</w:t>
            </w:r>
          </w:p>
        </w:tc>
      </w:tr>
      <w:tr w:rsidR="001C32A7" w:rsidRPr="00386E4F" w14:paraId="7B66F783" w14:textId="77777777" w:rsidTr="00954103">
        <w:tc>
          <w:tcPr>
            <w:tcW w:w="2657" w:type="dxa"/>
          </w:tcPr>
          <w:p w14:paraId="1F2BB2E4" w14:textId="77777777" w:rsidR="001C32A7" w:rsidRPr="00BC7E58" w:rsidRDefault="001C32A7" w:rsidP="00954103">
            <w:pPr>
              <w:spacing w:after="0"/>
              <w:rPr>
                <w:rFonts w:cstheme="minorHAnsi"/>
              </w:rPr>
            </w:pPr>
            <w:r w:rsidRPr="00BC7E58">
              <w:rPr>
                <w:rFonts w:cstheme="minorHAnsi"/>
              </w:rPr>
              <w:t>Location</w:t>
            </w:r>
          </w:p>
        </w:tc>
        <w:tc>
          <w:tcPr>
            <w:tcW w:w="6698" w:type="dxa"/>
          </w:tcPr>
          <w:p w14:paraId="6A7A9304" w14:textId="77777777" w:rsidR="001C32A7" w:rsidRPr="00BC7E58" w:rsidRDefault="001C32A7" w:rsidP="00954103">
            <w:pPr>
              <w:spacing w:after="0"/>
              <w:rPr>
                <w:rFonts w:cstheme="minorHAnsi"/>
              </w:rPr>
            </w:pPr>
            <w:r w:rsidRPr="00BC7E58">
              <w:rPr>
                <w:rFonts w:cstheme="minorHAnsi"/>
              </w:rPr>
              <w:t>Dhaka, Bangladesh</w:t>
            </w:r>
          </w:p>
        </w:tc>
      </w:tr>
    </w:tbl>
    <w:p w14:paraId="38324E7B" w14:textId="77777777" w:rsidR="001C32A7" w:rsidRPr="00BC7E58" w:rsidRDefault="001C32A7" w:rsidP="001C32A7">
      <w:pPr>
        <w:spacing w:after="0"/>
        <w:jc w:val="both"/>
        <w:rPr>
          <w:rFonts w:cstheme="minorHAnsi"/>
          <w:b/>
        </w:rPr>
      </w:pPr>
    </w:p>
    <w:p w14:paraId="7CF9A21E" w14:textId="77777777" w:rsidR="001C32A7" w:rsidRPr="00BC7E58" w:rsidRDefault="001C32A7" w:rsidP="001C32A7">
      <w:pPr>
        <w:spacing w:after="0"/>
        <w:jc w:val="both"/>
        <w:rPr>
          <w:rFonts w:cstheme="minorHAnsi"/>
          <w:b/>
        </w:rPr>
      </w:pPr>
    </w:p>
    <w:p w14:paraId="0FCD4626" w14:textId="77777777" w:rsidR="001C32A7" w:rsidRPr="00BC7E58" w:rsidRDefault="001C32A7" w:rsidP="001C32A7">
      <w:pPr>
        <w:pStyle w:val="ListParagraph"/>
        <w:numPr>
          <w:ilvl w:val="0"/>
          <w:numId w:val="4"/>
        </w:numPr>
        <w:spacing w:before="0"/>
        <w:ind w:left="0" w:hanging="426"/>
        <w:rPr>
          <w:rFonts w:cstheme="minorHAnsi"/>
          <w:b/>
          <w:color w:val="0070C0"/>
        </w:rPr>
      </w:pPr>
      <w:r w:rsidRPr="00BC7E58">
        <w:rPr>
          <w:rFonts w:cstheme="minorHAnsi"/>
          <w:b/>
          <w:color w:val="0070C0"/>
        </w:rPr>
        <w:t>BACKGROUND</w:t>
      </w:r>
    </w:p>
    <w:p w14:paraId="5108CCFC" w14:textId="77777777" w:rsidR="001C32A7" w:rsidRDefault="001C32A7" w:rsidP="001C32A7">
      <w:pPr>
        <w:spacing w:after="0" w:line="240" w:lineRule="auto"/>
        <w:rPr>
          <w:rFonts w:cstheme="minorHAnsi"/>
        </w:rPr>
      </w:pPr>
      <w:r w:rsidRPr="00BC7E58">
        <w:rPr>
          <w:rFonts w:cstheme="minorHAnsi"/>
        </w:rPr>
        <w:t xml:space="preserve">WINROCK INTERNATIONAL is a non-profit organization that works with people around the world to empower the disadvantaged, increase economic opportunity and sustain natural resources. Winrock is implementing the USDA-funded </w:t>
      </w:r>
      <w:r w:rsidRPr="00BC7E58">
        <w:rPr>
          <w:rFonts w:cstheme="minorHAnsi"/>
          <w:b/>
        </w:rPr>
        <w:t>Safe Aqua Farming for Economic and Trade Improvement</w:t>
      </w:r>
      <w:r w:rsidRPr="00BC7E58">
        <w:rPr>
          <w:rFonts w:cstheme="minorHAnsi"/>
        </w:rPr>
        <w:t xml:space="preserve"> (SAFETI) project in Bangladesh October 2016-September 2021 through its offices in </w:t>
      </w:r>
      <w:proofErr w:type="gramStart"/>
      <w:r w:rsidRPr="00BC7E58">
        <w:rPr>
          <w:rFonts w:cstheme="minorHAnsi"/>
        </w:rPr>
        <w:t>Dhaka,  Bagerhat</w:t>
      </w:r>
      <w:proofErr w:type="gramEnd"/>
      <w:r w:rsidRPr="00BC7E58">
        <w:rPr>
          <w:rFonts w:cstheme="minorHAnsi"/>
        </w:rPr>
        <w:t xml:space="preserve">, Cox’s Bazar, Khulna and Satkhira. </w:t>
      </w:r>
    </w:p>
    <w:p w14:paraId="59ACCDB1" w14:textId="77777777" w:rsidR="001C32A7" w:rsidRPr="00BC7E58" w:rsidRDefault="001C32A7" w:rsidP="001C32A7">
      <w:pPr>
        <w:spacing w:after="0" w:line="240" w:lineRule="auto"/>
        <w:rPr>
          <w:rFonts w:cstheme="minorHAnsi"/>
        </w:rPr>
      </w:pPr>
    </w:p>
    <w:p w14:paraId="555BD997" w14:textId="77777777" w:rsidR="001C32A7" w:rsidRPr="00BC7E58" w:rsidRDefault="001C32A7" w:rsidP="001C32A7">
      <w:pPr>
        <w:spacing w:after="0" w:line="240" w:lineRule="auto"/>
        <w:rPr>
          <w:rFonts w:cstheme="minorHAnsi"/>
        </w:rPr>
      </w:pPr>
      <w:r w:rsidRPr="00BC7E58">
        <w:rPr>
          <w:rFonts w:cstheme="minorHAnsi"/>
        </w:rPr>
        <w:t xml:space="preserve">The SAFETI project has the following objectives:  </w:t>
      </w:r>
    </w:p>
    <w:p w14:paraId="3FB74AF9" w14:textId="77777777" w:rsidR="001C32A7" w:rsidRDefault="001C32A7" w:rsidP="001C32A7">
      <w:pPr>
        <w:numPr>
          <w:ilvl w:val="0"/>
          <w:numId w:val="1"/>
        </w:numPr>
        <w:spacing w:after="0" w:line="240" w:lineRule="auto"/>
        <w:ind w:left="426" w:hanging="426"/>
        <w:rPr>
          <w:rFonts w:cstheme="minorHAnsi"/>
        </w:rPr>
      </w:pPr>
      <w:r w:rsidRPr="00BC7E58">
        <w:rPr>
          <w:rFonts w:cstheme="minorHAnsi"/>
        </w:rPr>
        <w:t>Increase agricultural productivity by improving production and management of hatcheries and farms in the shrimp and prawn value chain to contribute to both improved food quality and safety, as well as to improved livelihood and environmental sustainability in the Bangladeshi prawn and shrimp industry.</w:t>
      </w:r>
    </w:p>
    <w:p w14:paraId="75C4197B" w14:textId="77777777" w:rsidR="001C32A7" w:rsidRPr="00BC7E58" w:rsidRDefault="001C32A7" w:rsidP="001C32A7">
      <w:pPr>
        <w:numPr>
          <w:ilvl w:val="0"/>
          <w:numId w:val="1"/>
        </w:numPr>
        <w:spacing w:after="0" w:line="240" w:lineRule="auto"/>
        <w:ind w:left="426" w:hanging="426"/>
        <w:rPr>
          <w:rFonts w:cstheme="minorHAnsi"/>
        </w:rPr>
      </w:pPr>
      <w:r w:rsidRPr="00BC7E58">
        <w:rPr>
          <w:rFonts w:cstheme="minorHAnsi"/>
        </w:rPr>
        <w:t xml:space="preserve">Expand trade of agricultural products by improving handling and sanitary controls, reducing unnecessary layers in the value chain, promoting extension services, and building the capacity of trade associations and government trade promotion bureaus. </w:t>
      </w:r>
    </w:p>
    <w:p w14:paraId="7F127A84" w14:textId="77777777" w:rsidR="001C32A7" w:rsidRDefault="001C32A7" w:rsidP="001C32A7">
      <w:pPr>
        <w:spacing w:after="0" w:line="240" w:lineRule="auto"/>
        <w:rPr>
          <w:rFonts w:cstheme="minorHAnsi"/>
        </w:rPr>
      </w:pPr>
    </w:p>
    <w:p w14:paraId="02F31D75" w14:textId="77777777" w:rsidR="001C32A7" w:rsidRDefault="001C32A7" w:rsidP="001C32A7">
      <w:pPr>
        <w:spacing w:after="0" w:line="240" w:lineRule="auto"/>
        <w:rPr>
          <w:rFonts w:cstheme="minorHAnsi"/>
        </w:rPr>
      </w:pPr>
      <w:r w:rsidRPr="00BC7E58">
        <w:rPr>
          <w:rFonts w:cstheme="minorHAnsi"/>
        </w:rPr>
        <w:t xml:space="preserve">and aims to support Government efforts to increase farmed shrimp and prawn production, export and trade. </w:t>
      </w:r>
    </w:p>
    <w:p w14:paraId="43BDBC96" w14:textId="77777777" w:rsidR="001C32A7" w:rsidRPr="00BC7E58" w:rsidRDefault="001C32A7" w:rsidP="001C32A7">
      <w:pPr>
        <w:spacing w:after="0" w:line="240" w:lineRule="auto"/>
        <w:ind w:left="426"/>
        <w:rPr>
          <w:rFonts w:cstheme="minorHAnsi"/>
        </w:rPr>
      </w:pPr>
    </w:p>
    <w:p w14:paraId="60F8B157" w14:textId="77777777" w:rsidR="001C32A7" w:rsidRPr="00BC7E58" w:rsidRDefault="001C32A7" w:rsidP="001C32A7">
      <w:pPr>
        <w:pStyle w:val="ListParagraph"/>
        <w:numPr>
          <w:ilvl w:val="0"/>
          <w:numId w:val="4"/>
        </w:numPr>
        <w:spacing w:before="0" w:line="240" w:lineRule="auto"/>
        <w:ind w:left="0" w:hanging="284"/>
        <w:rPr>
          <w:rFonts w:cstheme="minorHAnsi"/>
          <w:b/>
          <w:color w:val="0070C0"/>
        </w:rPr>
      </w:pPr>
      <w:r w:rsidRPr="00BC7E58">
        <w:rPr>
          <w:rFonts w:cstheme="minorHAnsi"/>
          <w:b/>
          <w:color w:val="0070C0"/>
        </w:rPr>
        <w:t xml:space="preserve">SCOPE OF WORK </w:t>
      </w:r>
    </w:p>
    <w:p w14:paraId="3FB84832" w14:textId="77777777" w:rsidR="001C32A7" w:rsidRDefault="001C32A7" w:rsidP="001C32A7">
      <w:pPr>
        <w:spacing w:after="0" w:line="240" w:lineRule="auto"/>
        <w:rPr>
          <w:rFonts w:cstheme="minorHAnsi"/>
          <w:color w:val="000000"/>
        </w:rPr>
      </w:pPr>
      <w:r w:rsidRPr="00BC7E58">
        <w:rPr>
          <w:rFonts w:cstheme="minorHAnsi"/>
          <w:color w:val="000000"/>
        </w:rPr>
        <w:t xml:space="preserve">Under a Memorandum of Understanding signed 23 September 2018 between </w:t>
      </w:r>
      <w:r>
        <w:rPr>
          <w:rFonts w:cstheme="minorHAnsi"/>
          <w:color w:val="000000"/>
        </w:rPr>
        <w:t>the Bangladesh Department of Fisheries (</w:t>
      </w:r>
      <w:proofErr w:type="spellStart"/>
      <w:r w:rsidRPr="00BC7E58">
        <w:rPr>
          <w:rFonts w:cstheme="minorHAnsi"/>
          <w:color w:val="000000"/>
        </w:rPr>
        <w:t>DoF</w:t>
      </w:r>
      <w:proofErr w:type="spellEnd"/>
      <w:r>
        <w:rPr>
          <w:rFonts w:cstheme="minorHAnsi"/>
          <w:color w:val="000000"/>
        </w:rPr>
        <w:t>)</w:t>
      </w:r>
      <w:r w:rsidRPr="00BC7E58">
        <w:rPr>
          <w:rFonts w:cstheme="minorHAnsi"/>
          <w:color w:val="000000"/>
        </w:rPr>
        <w:t xml:space="preserve"> and SAFETI, and item 7 of the work plan agreed December 17</w:t>
      </w:r>
      <w:r w:rsidRPr="00BC7E58">
        <w:rPr>
          <w:rFonts w:cstheme="minorHAnsi"/>
          <w:color w:val="000000"/>
          <w:vertAlign w:val="superscript"/>
        </w:rPr>
        <w:t>th</w:t>
      </w:r>
      <w:r w:rsidRPr="00BC7E58">
        <w:rPr>
          <w:rFonts w:cstheme="minorHAnsi"/>
          <w:color w:val="000000"/>
        </w:rPr>
        <w:t xml:space="preserve">, 2018, SAFETI will provide to </w:t>
      </w:r>
      <w:proofErr w:type="spellStart"/>
      <w:r w:rsidRPr="00BC7E58">
        <w:rPr>
          <w:rFonts w:cstheme="minorHAnsi"/>
          <w:color w:val="000000"/>
        </w:rPr>
        <w:t>DoF</w:t>
      </w:r>
      <w:proofErr w:type="spellEnd"/>
      <w:r w:rsidRPr="00BC7E58">
        <w:rPr>
          <w:rFonts w:cstheme="minorHAnsi"/>
          <w:color w:val="000000"/>
        </w:rPr>
        <w:t>:</w:t>
      </w:r>
    </w:p>
    <w:p w14:paraId="1BB68E18" w14:textId="77777777" w:rsidR="001C32A7" w:rsidRPr="00BC7E58" w:rsidRDefault="001C32A7" w:rsidP="001C32A7">
      <w:pPr>
        <w:spacing w:after="0" w:line="240" w:lineRule="auto"/>
        <w:rPr>
          <w:rFonts w:cstheme="minorHAnsi"/>
          <w:color w:val="000000"/>
        </w:rPr>
      </w:pPr>
    </w:p>
    <w:p w14:paraId="4575DFB9" w14:textId="77777777" w:rsidR="001C32A7" w:rsidRPr="00BC7E58" w:rsidRDefault="001C32A7" w:rsidP="001C32A7">
      <w:pPr>
        <w:pBdr>
          <w:top w:val="single" w:sz="4" w:space="1" w:color="auto"/>
          <w:left w:val="single" w:sz="4" w:space="4" w:color="auto"/>
          <w:bottom w:val="single" w:sz="4" w:space="1" w:color="auto"/>
          <w:right w:val="single" w:sz="4" w:space="4" w:color="auto"/>
        </w:pBdr>
        <w:spacing w:after="0" w:line="240" w:lineRule="auto"/>
        <w:rPr>
          <w:rFonts w:cstheme="minorHAnsi"/>
          <w:i/>
        </w:rPr>
      </w:pPr>
      <w:r w:rsidRPr="00BC7E58">
        <w:rPr>
          <w:rFonts w:cstheme="minorHAnsi"/>
          <w:i/>
          <w:color w:val="000000"/>
        </w:rPr>
        <w:t>Capacity building of QC Lab personnel on instrument specific application</w:t>
      </w:r>
      <w:r>
        <w:rPr>
          <w:rFonts w:cstheme="minorHAnsi"/>
          <w:i/>
          <w:color w:val="000000"/>
        </w:rPr>
        <w:t>s</w:t>
      </w:r>
      <w:r w:rsidRPr="00BC7E58">
        <w:rPr>
          <w:rFonts w:cstheme="minorHAnsi"/>
          <w:i/>
          <w:color w:val="000000"/>
        </w:rPr>
        <w:t xml:space="preserve"> and analytical system</w:t>
      </w:r>
      <w:r>
        <w:rPr>
          <w:rFonts w:cstheme="minorHAnsi"/>
          <w:i/>
          <w:color w:val="000000"/>
        </w:rPr>
        <w:t>s</w:t>
      </w:r>
      <w:r w:rsidRPr="00BC7E58">
        <w:rPr>
          <w:rFonts w:cstheme="minorHAnsi"/>
          <w:i/>
          <w:color w:val="000000"/>
        </w:rPr>
        <w:t xml:space="preserve">, with ICPMS, GCMS, and UPLC systems for method development, method validation and sample testing. </w:t>
      </w:r>
    </w:p>
    <w:p w14:paraId="56148E1A" w14:textId="77777777" w:rsidR="001C32A7" w:rsidRDefault="001C32A7" w:rsidP="001C32A7">
      <w:pPr>
        <w:spacing w:after="0" w:line="240" w:lineRule="auto"/>
        <w:rPr>
          <w:rFonts w:cstheme="minorHAnsi"/>
        </w:rPr>
      </w:pPr>
    </w:p>
    <w:p w14:paraId="6D9C69BD" w14:textId="77777777" w:rsidR="001C32A7" w:rsidRDefault="001C32A7" w:rsidP="001C32A7">
      <w:pPr>
        <w:spacing w:after="0" w:line="240" w:lineRule="auto"/>
        <w:rPr>
          <w:rFonts w:cstheme="minorHAnsi"/>
        </w:rPr>
      </w:pPr>
      <w:r w:rsidRPr="00BC7E58">
        <w:rPr>
          <w:rFonts w:cstheme="minorHAnsi"/>
        </w:rPr>
        <w:t>To implement this, Winrock will recruit a Seafood Quality Control Laboratory Specialist to carry out the following tasks:</w:t>
      </w:r>
    </w:p>
    <w:p w14:paraId="24915FE3" w14:textId="77777777" w:rsidR="001C32A7" w:rsidRPr="00BC7E58" w:rsidRDefault="001C32A7" w:rsidP="001C32A7">
      <w:pPr>
        <w:spacing w:after="0" w:line="240" w:lineRule="auto"/>
        <w:rPr>
          <w:rFonts w:cstheme="minorHAnsi"/>
          <w:b/>
        </w:rPr>
      </w:pPr>
    </w:p>
    <w:p w14:paraId="7818546A" w14:textId="77777777" w:rsidR="001C32A7" w:rsidRDefault="001C32A7" w:rsidP="001C32A7">
      <w:pPr>
        <w:spacing w:after="0" w:line="240" w:lineRule="auto"/>
        <w:rPr>
          <w:rFonts w:cstheme="minorHAnsi"/>
        </w:rPr>
      </w:pPr>
      <w:r w:rsidRPr="00BC7E58">
        <w:rPr>
          <w:rFonts w:cstheme="minorHAnsi"/>
          <w:b/>
          <w:u w:val="single"/>
        </w:rPr>
        <w:t>First Visit:</w:t>
      </w:r>
      <w:r w:rsidRPr="00BC7E58">
        <w:rPr>
          <w:rFonts w:cstheme="minorHAnsi"/>
        </w:rPr>
        <w:t xml:space="preserve">  make a preliminary scoping visit (2 days international travel, 3 days in country) to the Department of Fisheries Quality Control Laboratories (FIQC) in Dhaka: </w:t>
      </w:r>
    </w:p>
    <w:p w14:paraId="586B5540" w14:textId="77777777" w:rsidR="001C32A7" w:rsidRDefault="001C32A7" w:rsidP="001C32A7">
      <w:pPr>
        <w:spacing w:after="0" w:line="240" w:lineRule="auto"/>
        <w:rPr>
          <w:rFonts w:cstheme="minorHAnsi"/>
        </w:rPr>
      </w:pPr>
    </w:p>
    <w:p w14:paraId="28B26413" w14:textId="77777777" w:rsidR="001C32A7" w:rsidRPr="00987A06" w:rsidRDefault="001C32A7" w:rsidP="001C32A7">
      <w:pPr>
        <w:pStyle w:val="ListParagraph"/>
        <w:numPr>
          <w:ilvl w:val="0"/>
          <w:numId w:val="3"/>
        </w:numPr>
        <w:tabs>
          <w:tab w:val="left" w:pos="567"/>
        </w:tabs>
        <w:spacing w:before="0" w:line="240" w:lineRule="auto"/>
        <w:ind w:left="567" w:hanging="567"/>
      </w:pPr>
      <w:r w:rsidRPr="00BC7E58">
        <w:rPr>
          <w:rFonts w:cstheme="minorHAnsi"/>
        </w:rPr>
        <w:t xml:space="preserve">Evaluate the capacity </w:t>
      </w:r>
      <w:r>
        <w:rPr>
          <w:rFonts w:cstheme="minorHAnsi"/>
        </w:rPr>
        <w:t xml:space="preserve">of the </w:t>
      </w:r>
      <w:r w:rsidRPr="00BC7E58">
        <w:rPr>
          <w:rFonts w:cstheme="minorHAnsi"/>
        </w:rPr>
        <w:t>laborator</w:t>
      </w:r>
      <w:r>
        <w:rPr>
          <w:rFonts w:cstheme="minorHAnsi"/>
        </w:rPr>
        <w:t xml:space="preserve">y (regarding personnel, equipment) </w:t>
      </w:r>
      <w:r w:rsidRPr="00BC7E58">
        <w:rPr>
          <w:rFonts w:cstheme="minorHAnsi"/>
        </w:rPr>
        <w:t xml:space="preserve">and determine the equipment and supplies that will be needed for </w:t>
      </w:r>
      <w:r>
        <w:rPr>
          <w:rFonts w:cstheme="minorHAnsi"/>
        </w:rPr>
        <w:t xml:space="preserve">analysis </w:t>
      </w:r>
      <w:r w:rsidRPr="005A5257">
        <w:t>(including sample extraction) and validation of the following parameters using LCMS/MS systems (</w:t>
      </w:r>
      <w:r>
        <w:t xml:space="preserve">Waters </w:t>
      </w:r>
      <w:r w:rsidRPr="00987A06">
        <w:t xml:space="preserve">UPLC-TQD, XEVO-TQD): </w:t>
      </w:r>
    </w:p>
    <w:p w14:paraId="5EB5EEFD" w14:textId="77777777" w:rsidR="001C32A7" w:rsidRDefault="001C32A7" w:rsidP="001C32A7">
      <w:pPr>
        <w:pStyle w:val="ListParagraph"/>
        <w:numPr>
          <w:ilvl w:val="0"/>
          <w:numId w:val="9"/>
        </w:numPr>
        <w:spacing w:before="0" w:line="240" w:lineRule="auto"/>
        <w:contextualSpacing/>
        <w:rPr>
          <w:rFonts w:cstheme="minorHAnsi"/>
        </w:rPr>
      </w:pPr>
      <w:r>
        <w:rPr>
          <w:rFonts w:cstheme="minorHAnsi"/>
        </w:rPr>
        <w:t xml:space="preserve">Amoxicillin and </w:t>
      </w:r>
      <w:proofErr w:type="spellStart"/>
      <w:r>
        <w:rPr>
          <w:rFonts w:cstheme="minorHAnsi"/>
        </w:rPr>
        <w:t>Tylosin</w:t>
      </w:r>
      <w:proofErr w:type="spellEnd"/>
      <w:r>
        <w:rPr>
          <w:rFonts w:cstheme="minorHAnsi"/>
        </w:rPr>
        <w:t xml:space="preserve"> </w:t>
      </w:r>
      <w:r w:rsidRPr="00BC7E58">
        <w:rPr>
          <w:rFonts w:cstheme="minorHAnsi"/>
        </w:rPr>
        <w:t xml:space="preserve">in fish </w:t>
      </w:r>
      <w:r>
        <w:rPr>
          <w:rFonts w:cstheme="minorHAnsi"/>
        </w:rPr>
        <w:t xml:space="preserve">and </w:t>
      </w:r>
      <w:r w:rsidRPr="00BC7E58">
        <w:rPr>
          <w:rFonts w:cstheme="minorHAnsi"/>
        </w:rPr>
        <w:t>shrimp</w:t>
      </w:r>
      <w:r>
        <w:rPr>
          <w:rFonts w:cstheme="minorHAnsi"/>
        </w:rPr>
        <w:t xml:space="preserve">;  </w:t>
      </w:r>
    </w:p>
    <w:p w14:paraId="049E41B2" w14:textId="77777777" w:rsidR="001C32A7" w:rsidRPr="00BC7E58" w:rsidRDefault="001C32A7" w:rsidP="001C32A7">
      <w:pPr>
        <w:pStyle w:val="ListParagraph"/>
        <w:numPr>
          <w:ilvl w:val="0"/>
          <w:numId w:val="9"/>
        </w:numPr>
        <w:spacing w:before="0" w:line="240" w:lineRule="auto"/>
        <w:contextualSpacing/>
        <w:rPr>
          <w:rFonts w:cstheme="minorHAnsi"/>
        </w:rPr>
      </w:pPr>
      <w:r w:rsidRPr="00BC7E58">
        <w:rPr>
          <w:rFonts w:cstheme="minorHAnsi"/>
        </w:rPr>
        <w:t>Sulfonamides</w:t>
      </w:r>
      <w:r>
        <w:rPr>
          <w:rFonts w:cstheme="minorHAnsi"/>
        </w:rPr>
        <w:t xml:space="preserve"> and</w:t>
      </w:r>
      <w:r w:rsidRPr="00BC7E58">
        <w:rPr>
          <w:rFonts w:cstheme="minorHAnsi"/>
        </w:rPr>
        <w:t xml:space="preserve"> Gentamycin in fish </w:t>
      </w:r>
      <w:r>
        <w:rPr>
          <w:rFonts w:cstheme="minorHAnsi"/>
        </w:rPr>
        <w:t xml:space="preserve">and </w:t>
      </w:r>
      <w:r w:rsidRPr="00BC7E58">
        <w:rPr>
          <w:rFonts w:cstheme="minorHAnsi"/>
        </w:rPr>
        <w:t>shrimp</w:t>
      </w:r>
      <w:r>
        <w:rPr>
          <w:rFonts w:cstheme="minorHAnsi"/>
        </w:rPr>
        <w:t xml:space="preserve">;  </w:t>
      </w:r>
    </w:p>
    <w:p w14:paraId="464AFEB7" w14:textId="77777777" w:rsidR="001C32A7" w:rsidRPr="00BC7E58" w:rsidRDefault="001C32A7" w:rsidP="001C32A7">
      <w:pPr>
        <w:pStyle w:val="ListParagraph"/>
        <w:numPr>
          <w:ilvl w:val="0"/>
          <w:numId w:val="9"/>
        </w:numPr>
        <w:spacing w:before="0" w:line="240" w:lineRule="auto"/>
        <w:contextualSpacing/>
        <w:rPr>
          <w:rFonts w:cstheme="minorHAnsi"/>
        </w:rPr>
      </w:pPr>
      <w:r w:rsidRPr="00BC7E58">
        <w:rPr>
          <w:rFonts w:cstheme="minorHAnsi"/>
        </w:rPr>
        <w:t>Mycotoxin in fish feed</w:t>
      </w:r>
      <w:r>
        <w:rPr>
          <w:rFonts w:cstheme="minorHAnsi"/>
        </w:rPr>
        <w:t xml:space="preserve">; </w:t>
      </w:r>
    </w:p>
    <w:p w14:paraId="461A7D09" w14:textId="77777777" w:rsidR="001C32A7" w:rsidRPr="00BC7E58" w:rsidRDefault="001C32A7" w:rsidP="001C32A7">
      <w:pPr>
        <w:pStyle w:val="ListParagraph"/>
        <w:numPr>
          <w:ilvl w:val="0"/>
          <w:numId w:val="9"/>
        </w:numPr>
        <w:spacing w:before="0" w:line="240" w:lineRule="auto"/>
        <w:contextualSpacing/>
        <w:rPr>
          <w:rFonts w:cstheme="minorHAnsi"/>
        </w:rPr>
      </w:pPr>
      <w:r w:rsidRPr="00BC7E58">
        <w:rPr>
          <w:rFonts w:cstheme="minorHAnsi"/>
        </w:rPr>
        <w:t>Nitrofurans in fish feed</w:t>
      </w:r>
      <w:r>
        <w:rPr>
          <w:rFonts w:cstheme="minorHAnsi"/>
        </w:rPr>
        <w:t xml:space="preserve">. </w:t>
      </w:r>
    </w:p>
    <w:p w14:paraId="013B91D9" w14:textId="77777777" w:rsidR="001C32A7" w:rsidRDefault="001C32A7" w:rsidP="001C32A7">
      <w:pPr>
        <w:pStyle w:val="ListParagraph"/>
        <w:numPr>
          <w:ilvl w:val="0"/>
          <w:numId w:val="3"/>
        </w:numPr>
        <w:spacing w:before="0" w:line="240" w:lineRule="auto"/>
        <w:ind w:left="567" w:hanging="567"/>
        <w:contextualSpacing/>
        <w:rPr>
          <w:rFonts w:cstheme="minorHAnsi"/>
        </w:rPr>
      </w:pPr>
      <w:r>
        <w:rPr>
          <w:rFonts w:cstheme="minorHAnsi"/>
        </w:rPr>
        <w:t xml:space="preserve">Review and finalize the list of materials and expendable supplies and quantities needed for the training. </w:t>
      </w:r>
    </w:p>
    <w:p w14:paraId="6556E18F" w14:textId="77777777" w:rsidR="001C32A7" w:rsidRPr="00BC7E58" w:rsidRDefault="001C32A7" w:rsidP="001C32A7">
      <w:pPr>
        <w:pStyle w:val="ListParagraph"/>
        <w:spacing w:before="0" w:line="240" w:lineRule="auto"/>
        <w:ind w:left="567"/>
        <w:contextualSpacing/>
        <w:rPr>
          <w:rFonts w:cstheme="minorHAnsi"/>
        </w:rPr>
      </w:pPr>
    </w:p>
    <w:p w14:paraId="51181FD6" w14:textId="77777777" w:rsidR="001C32A7" w:rsidRDefault="001C32A7" w:rsidP="001C32A7">
      <w:pPr>
        <w:spacing w:after="0" w:line="240" w:lineRule="auto"/>
        <w:contextualSpacing/>
        <w:rPr>
          <w:rFonts w:cstheme="minorHAnsi"/>
        </w:rPr>
      </w:pPr>
      <w:r w:rsidRPr="00BC7E58">
        <w:rPr>
          <w:rFonts w:cstheme="minorHAnsi"/>
          <w:b/>
          <w:u w:val="single"/>
        </w:rPr>
        <w:t>Second Visit</w:t>
      </w:r>
      <w:r w:rsidRPr="00BC7E58">
        <w:rPr>
          <w:rFonts w:cstheme="minorHAnsi"/>
        </w:rPr>
        <w:t xml:space="preserve">:  make a second visit (2 days international travel, </w:t>
      </w:r>
      <w:r>
        <w:rPr>
          <w:rFonts w:cstheme="minorHAnsi"/>
        </w:rPr>
        <w:t>11</w:t>
      </w:r>
      <w:r w:rsidRPr="00BC7E58">
        <w:rPr>
          <w:rFonts w:cstheme="minorHAnsi"/>
        </w:rPr>
        <w:t xml:space="preserve"> days in country) to:</w:t>
      </w:r>
    </w:p>
    <w:p w14:paraId="258A47D5" w14:textId="77777777" w:rsidR="001C32A7" w:rsidRDefault="001C32A7" w:rsidP="001C32A7">
      <w:pPr>
        <w:spacing w:after="0" w:line="240" w:lineRule="auto"/>
        <w:contextualSpacing/>
        <w:rPr>
          <w:rFonts w:cstheme="minorHAnsi"/>
        </w:rPr>
      </w:pPr>
    </w:p>
    <w:p w14:paraId="44F29038" w14:textId="77777777" w:rsidR="001C32A7" w:rsidRPr="004A1525" w:rsidRDefault="001C32A7" w:rsidP="001C32A7">
      <w:pPr>
        <w:pStyle w:val="ListParagraph"/>
        <w:numPr>
          <w:ilvl w:val="0"/>
          <w:numId w:val="2"/>
        </w:numPr>
        <w:spacing w:before="0" w:line="240" w:lineRule="auto"/>
        <w:ind w:left="567" w:hanging="567"/>
        <w:contextualSpacing/>
        <w:rPr>
          <w:rFonts w:cstheme="minorHAnsi"/>
        </w:rPr>
      </w:pPr>
      <w:r w:rsidRPr="004A1525">
        <w:rPr>
          <w:rFonts w:cstheme="minorHAnsi"/>
        </w:rPr>
        <w:t xml:space="preserve">Introduce and demonstrate analytical methods for the parameters listed above in accordance with European Commission Decision 2002/657/EC. </w:t>
      </w:r>
      <w:r>
        <w:rPr>
          <w:rFonts w:cstheme="minorHAnsi"/>
        </w:rPr>
        <w:t xml:space="preserve">Method development and </w:t>
      </w:r>
      <w:proofErr w:type="gramStart"/>
      <w:r w:rsidRPr="004A1525">
        <w:rPr>
          <w:rFonts w:cstheme="minorHAnsi"/>
        </w:rPr>
        <w:t>demonstration  work</w:t>
      </w:r>
      <w:proofErr w:type="gramEnd"/>
      <w:r w:rsidRPr="004A1525">
        <w:rPr>
          <w:rFonts w:cstheme="minorHAnsi"/>
        </w:rPr>
        <w:t xml:space="preserve"> on </w:t>
      </w:r>
      <w:r>
        <w:rPr>
          <w:rFonts w:cstheme="minorHAnsi"/>
        </w:rPr>
        <w:t>the above parameters</w:t>
      </w:r>
      <w:r w:rsidRPr="004A1525">
        <w:rPr>
          <w:rFonts w:cstheme="minorHAnsi"/>
        </w:rPr>
        <w:t xml:space="preserve"> will be carried out at the Dhaka laboratory with </w:t>
      </w:r>
      <w:proofErr w:type="spellStart"/>
      <w:r w:rsidRPr="004A1525">
        <w:rPr>
          <w:rFonts w:cstheme="minorHAnsi"/>
        </w:rPr>
        <w:t>Chattogram</w:t>
      </w:r>
      <w:proofErr w:type="spellEnd"/>
      <w:r w:rsidRPr="004A1525">
        <w:rPr>
          <w:rFonts w:cstheme="minorHAnsi"/>
        </w:rPr>
        <w:t xml:space="preserve"> staff joining the sessions</w:t>
      </w:r>
      <w:r>
        <w:rPr>
          <w:rFonts w:cstheme="minorHAnsi"/>
        </w:rPr>
        <w:t xml:space="preserve"> if needed</w:t>
      </w:r>
      <w:r w:rsidRPr="004A1525">
        <w:rPr>
          <w:rFonts w:cstheme="minorHAnsi"/>
        </w:rPr>
        <w:t xml:space="preserve">. </w:t>
      </w:r>
    </w:p>
    <w:p w14:paraId="28938604" w14:textId="77777777" w:rsidR="001C32A7" w:rsidRDefault="001C32A7" w:rsidP="001C32A7">
      <w:pPr>
        <w:pStyle w:val="ListParagraph"/>
        <w:numPr>
          <w:ilvl w:val="0"/>
          <w:numId w:val="2"/>
        </w:numPr>
        <w:spacing w:before="0" w:line="240" w:lineRule="auto"/>
        <w:ind w:left="567" w:hanging="567"/>
        <w:contextualSpacing/>
        <w:rPr>
          <w:rFonts w:cstheme="minorHAnsi"/>
        </w:rPr>
      </w:pPr>
      <w:r>
        <w:rPr>
          <w:rFonts w:cstheme="minorHAnsi"/>
        </w:rPr>
        <w:t>Support the laboratory personnel in carrying out the analyses and validations of each parameter in accordance with European Commission Decision 2002/657/EC.</w:t>
      </w:r>
    </w:p>
    <w:p w14:paraId="3E8920D8" w14:textId="77777777" w:rsidR="001C32A7" w:rsidRPr="00BC7E58" w:rsidRDefault="001C32A7" w:rsidP="001C32A7">
      <w:pPr>
        <w:pStyle w:val="ListParagraph"/>
        <w:numPr>
          <w:ilvl w:val="0"/>
          <w:numId w:val="2"/>
        </w:numPr>
        <w:spacing w:before="0"/>
        <w:ind w:left="567" w:hanging="567"/>
        <w:rPr>
          <w:rFonts w:cstheme="minorHAnsi"/>
        </w:rPr>
      </w:pPr>
      <w:r w:rsidRPr="00BC7E58">
        <w:rPr>
          <w:rFonts w:cstheme="minorHAnsi"/>
        </w:rPr>
        <w:t xml:space="preserve">Submit a </w:t>
      </w:r>
      <w:r>
        <w:rPr>
          <w:rFonts w:cstheme="minorHAnsi"/>
        </w:rPr>
        <w:t xml:space="preserve">brief </w:t>
      </w:r>
      <w:r w:rsidRPr="00BC7E58">
        <w:rPr>
          <w:rFonts w:cstheme="minorHAnsi"/>
        </w:rPr>
        <w:t>report</w:t>
      </w:r>
      <w:r>
        <w:rPr>
          <w:rFonts w:cstheme="minorHAnsi"/>
        </w:rPr>
        <w:t xml:space="preserve"> </w:t>
      </w:r>
      <w:r w:rsidRPr="00BC7E58">
        <w:rPr>
          <w:rFonts w:cstheme="minorHAnsi"/>
        </w:rPr>
        <w:t xml:space="preserve">summarizing the work done and recommendations. </w:t>
      </w:r>
    </w:p>
    <w:p w14:paraId="2DBDCCB2" w14:textId="77777777" w:rsidR="001C32A7" w:rsidRPr="00BC7E58" w:rsidRDefault="001C32A7" w:rsidP="001C32A7">
      <w:pPr>
        <w:tabs>
          <w:tab w:val="left" w:pos="851"/>
        </w:tabs>
        <w:spacing w:after="0" w:line="240" w:lineRule="auto"/>
        <w:rPr>
          <w:rFonts w:cstheme="minorHAnsi"/>
        </w:rPr>
      </w:pPr>
    </w:p>
    <w:p w14:paraId="6562946A" w14:textId="77777777" w:rsidR="001C32A7" w:rsidRPr="00BC7E58" w:rsidRDefault="001C32A7" w:rsidP="001C32A7">
      <w:pPr>
        <w:pStyle w:val="ListParagraph"/>
        <w:numPr>
          <w:ilvl w:val="0"/>
          <w:numId w:val="4"/>
        </w:numPr>
        <w:tabs>
          <w:tab w:val="left" w:pos="851"/>
        </w:tabs>
        <w:spacing w:before="0" w:line="240" w:lineRule="auto"/>
        <w:ind w:left="0" w:hanging="284"/>
        <w:rPr>
          <w:rFonts w:cstheme="minorHAnsi"/>
          <w:b/>
          <w:color w:val="0070C0"/>
        </w:rPr>
      </w:pPr>
      <w:r w:rsidRPr="00BC7E58">
        <w:rPr>
          <w:rFonts w:cstheme="minorHAnsi"/>
          <w:b/>
          <w:color w:val="0070C0"/>
        </w:rPr>
        <w:t>ASSUMPTIONS</w:t>
      </w:r>
    </w:p>
    <w:p w14:paraId="11E498DA" w14:textId="77777777" w:rsidR="001C32A7" w:rsidRPr="00BC7E58" w:rsidRDefault="001C32A7" w:rsidP="001C32A7">
      <w:pPr>
        <w:pStyle w:val="ListParagraph"/>
        <w:numPr>
          <w:ilvl w:val="0"/>
          <w:numId w:val="6"/>
        </w:numPr>
        <w:tabs>
          <w:tab w:val="left" w:pos="851"/>
        </w:tabs>
        <w:spacing w:before="0" w:line="240" w:lineRule="auto"/>
        <w:ind w:left="284" w:hanging="284"/>
        <w:rPr>
          <w:rFonts w:cstheme="minorHAnsi"/>
        </w:rPr>
      </w:pPr>
      <w:r>
        <w:rPr>
          <w:rFonts w:cstheme="minorHAnsi"/>
        </w:rPr>
        <w:t xml:space="preserve">The </w:t>
      </w:r>
      <w:r w:rsidRPr="00BC7E58">
        <w:rPr>
          <w:rFonts w:cstheme="minorHAnsi"/>
        </w:rPr>
        <w:t>laborator</w:t>
      </w:r>
      <w:r>
        <w:rPr>
          <w:rFonts w:cstheme="minorHAnsi"/>
        </w:rPr>
        <w:t>y</w:t>
      </w:r>
      <w:r w:rsidRPr="00BC7E58">
        <w:rPr>
          <w:rFonts w:cstheme="minorHAnsi"/>
        </w:rPr>
        <w:t xml:space="preserve"> </w:t>
      </w:r>
      <w:r>
        <w:rPr>
          <w:rFonts w:cstheme="minorHAnsi"/>
        </w:rPr>
        <w:t>is</w:t>
      </w:r>
      <w:r w:rsidRPr="00BC7E58">
        <w:rPr>
          <w:rFonts w:cstheme="minorHAnsi"/>
        </w:rPr>
        <w:t xml:space="preserve"> accredited to ISO 17025:2005 and have qualified and trained </w:t>
      </w:r>
      <w:r>
        <w:rPr>
          <w:rFonts w:cstheme="minorHAnsi"/>
        </w:rPr>
        <w:t>personnel</w:t>
      </w:r>
      <w:r w:rsidRPr="00BC7E58">
        <w:rPr>
          <w:rFonts w:cstheme="minorHAnsi"/>
        </w:rPr>
        <w:t xml:space="preserve"> routinely operating LCMS/MS systems.  </w:t>
      </w:r>
    </w:p>
    <w:p w14:paraId="09C89DB8" w14:textId="77777777" w:rsidR="001C32A7" w:rsidRPr="00BC7E58" w:rsidRDefault="001C32A7" w:rsidP="001C32A7">
      <w:pPr>
        <w:pStyle w:val="ListParagraph"/>
        <w:numPr>
          <w:ilvl w:val="0"/>
          <w:numId w:val="6"/>
        </w:numPr>
        <w:tabs>
          <w:tab w:val="left" w:pos="851"/>
        </w:tabs>
        <w:spacing w:before="0" w:line="240" w:lineRule="auto"/>
        <w:ind w:left="284" w:hanging="284"/>
        <w:rPr>
          <w:rFonts w:cstheme="minorHAnsi"/>
        </w:rPr>
      </w:pPr>
      <w:proofErr w:type="spellStart"/>
      <w:r w:rsidRPr="00BC7E58">
        <w:rPr>
          <w:rFonts w:cstheme="minorHAnsi"/>
        </w:rPr>
        <w:t>DoF</w:t>
      </w:r>
      <w:proofErr w:type="spellEnd"/>
      <w:r w:rsidRPr="00BC7E58">
        <w:rPr>
          <w:rFonts w:cstheme="minorHAnsi"/>
        </w:rPr>
        <w:t xml:space="preserve"> will identify those staff who will participate in the training</w:t>
      </w:r>
      <w:r>
        <w:rPr>
          <w:rFonts w:cstheme="minorHAnsi"/>
        </w:rPr>
        <w:t>/demonstration</w:t>
      </w:r>
      <w:r w:rsidRPr="00BC7E58">
        <w:rPr>
          <w:rFonts w:cstheme="minorHAnsi"/>
        </w:rPr>
        <w:t xml:space="preserve"> program. </w:t>
      </w:r>
    </w:p>
    <w:p w14:paraId="705749FF" w14:textId="77777777" w:rsidR="001C32A7" w:rsidRDefault="001C32A7" w:rsidP="001C32A7">
      <w:pPr>
        <w:pStyle w:val="ListParagraph"/>
        <w:numPr>
          <w:ilvl w:val="0"/>
          <w:numId w:val="6"/>
        </w:numPr>
        <w:tabs>
          <w:tab w:val="left" w:pos="851"/>
        </w:tabs>
        <w:spacing w:before="0" w:line="240" w:lineRule="auto"/>
        <w:ind w:left="284" w:hanging="284"/>
        <w:rPr>
          <w:rFonts w:cstheme="minorHAnsi"/>
        </w:rPr>
      </w:pPr>
      <w:proofErr w:type="spellStart"/>
      <w:r w:rsidRPr="00BC7E58">
        <w:rPr>
          <w:rFonts w:cstheme="minorHAnsi"/>
        </w:rPr>
        <w:t>DoF</w:t>
      </w:r>
      <w:proofErr w:type="spellEnd"/>
      <w:r w:rsidRPr="00BC7E58">
        <w:rPr>
          <w:rFonts w:cstheme="minorHAnsi"/>
        </w:rPr>
        <w:t xml:space="preserve"> will ensure that all equipment</w:t>
      </w:r>
      <w:r>
        <w:rPr>
          <w:rFonts w:cstheme="minorHAnsi"/>
        </w:rPr>
        <w:t xml:space="preserve"> is</w:t>
      </w:r>
      <w:r w:rsidRPr="00BC7E58">
        <w:rPr>
          <w:rFonts w:cstheme="minorHAnsi"/>
        </w:rPr>
        <w:t xml:space="preserve"> in full operational condition prior to the consultant’s second visit.</w:t>
      </w:r>
    </w:p>
    <w:p w14:paraId="5FBEB7A4" w14:textId="77777777" w:rsidR="001C32A7" w:rsidRPr="00BC7E58" w:rsidRDefault="001C32A7" w:rsidP="001C32A7">
      <w:pPr>
        <w:pStyle w:val="ListParagraph"/>
        <w:numPr>
          <w:ilvl w:val="0"/>
          <w:numId w:val="6"/>
        </w:numPr>
        <w:tabs>
          <w:tab w:val="left" w:pos="851"/>
        </w:tabs>
        <w:spacing w:before="0" w:line="240" w:lineRule="auto"/>
        <w:ind w:left="284" w:hanging="284"/>
        <w:rPr>
          <w:rFonts w:cstheme="minorHAnsi"/>
        </w:rPr>
      </w:pPr>
      <w:r>
        <w:rPr>
          <w:rFonts w:cstheme="minorHAnsi"/>
        </w:rPr>
        <w:t>Winrock/ SAFETI will make available the chemicals, consumables, standards and reagents identified as required for the demonstration and validation of the analytical methods listed above.</w:t>
      </w:r>
    </w:p>
    <w:p w14:paraId="32980018" w14:textId="77777777" w:rsidR="001C32A7" w:rsidRPr="00BC7E58" w:rsidRDefault="001C32A7" w:rsidP="001C32A7">
      <w:pPr>
        <w:pStyle w:val="ListParagraph"/>
        <w:tabs>
          <w:tab w:val="left" w:pos="851"/>
        </w:tabs>
        <w:spacing w:before="0" w:line="240" w:lineRule="auto"/>
        <w:ind w:left="0"/>
        <w:rPr>
          <w:rFonts w:cstheme="minorHAnsi"/>
          <w:b/>
          <w:color w:val="0070C0"/>
        </w:rPr>
      </w:pPr>
    </w:p>
    <w:p w14:paraId="0C4879AE" w14:textId="77777777" w:rsidR="001C32A7" w:rsidRPr="00BC7E58" w:rsidRDefault="001C32A7" w:rsidP="001C32A7">
      <w:pPr>
        <w:pStyle w:val="ListParagraph"/>
        <w:numPr>
          <w:ilvl w:val="0"/>
          <w:numId w:val="4"/>
        </w:numPr>
        <w:spacing w:before="0"/>
        <w:ind w:left="0" w:hanging="284"/>
        <w:rPr>
          <w:rFonts w:cstheme="minorHAnsi"/>
          <w:b/>
          <w:color w:val="0070C0"/>
        </w:rPr>
      </w:pPr>
      <w:r w:rsidRPr="00BC7E58">
        <w:rPr>
          <w:rFonts w:cstheme="minorHAnsi"/>
          <w:b/>
          <w:color w:val="0070C0"/>
        </w:rPr>
        <w:t>DELIVERABLES</w:t>
      </w:r>
    </w:p>
    <w:p w14:paraId="5370BD56" w14:textId="77777777" w:rsidR="001C32A7" w:rsidRDefault="001C32A7" w:rsidP="001C32A7">
      <w:pPr>
        <w:spacing w:after="0"/>
        <w:rPr>
          <w:rFonts w:cstheme="minorHAnsi"/>
        </w:rPr>
      </w:pPr>
      <w:bookmarkStart w:id="0" w:name="_Hlk17708920"/>
      <w:r w:rsidRPr="00BC7E58">
        <w:rPr>
          <w:rFonts w:cstheme="minorHAnsi"/>
        </w:rPr>
        <w:t xml:space="preserve">The Consultant will produce the </w:t>
      </w:r>
      <w:r>
        <w:rPr>
          <w:rFonts w:cstheme="minorHAnsi"/>
        </w:rPr>
        <w:t xml:space="preserve">following </w:t>
      </w:r>
      <w:r w:rsidRPr="00BC7E58">
        <w:rPr>
          <w:rFonts w:cstheme="minorHAnsi"/>
        </w:rPr>
        <w:t>deliverables upon which payments will be based:</w:t>
      </w:r>
    </w:p>
    <w:p w14:paraId="271C5DC4" w14:textId="77777777" w:rsidR="001C32A7" w:rsidRDefault="001C32A7" w:rsidP="001C32A7">
      <w:pPr>
        <w:spacing w:after="0"/>
        <w:rPr>
          <w:rFonts w:cstheme="minorHAnsi"/>
        </w:rPr>
      </w:pPr>
    </w:p>
    <w:tbl>
      <w:tblPr>
        <w:tblStyle w:val="TableGrid"/>
        <w:tblW w:w="8730" w:type="dxa"/>
        <w:tblLook w:val="04A0" w:firstRow="1" w:lastRow="0" w:firstColumn="1" w:lastColumn="0" w:noHBand="0" w:noVBand="1"/>
      </w:tblPr>
      <w:tblGrid>
        <w:gridCol w:w="3713"/>
        <w:gridCol w:w="2227"/>
        <w:gridCol w:w="2790"/>
      </w:tblGrid>
      <w:tr w:rsidR="001C32A7" w:rsidRPr="000A3C47" w14:paraId="60F8B6E2" w14:textId="77777777" w:rsidTr="00954103">
        <w:tc>
          <w:tcPr>
            <w:tcW w:w="3713" w:type="dxa"/>
            <w:shd w:val="clear" w:color="auto" w:fill="D9D9D9" w:themeFill="background1" w:themeFillShade="D9"/>
          </w:tcPr>
          <w:p w14:paraId="0645F3A9" w14:textId="77777777" w:rsidR="001C32A7" w:rsidRPr="000A3C47" w:rsidRDefault="001C32A7" w:rsidP="00954103">
            <w:pPr>
              <w:jc w:val="center"/>
              <w:rPr>
                <w:b/>
              </w:rPr>
            </w:pPr>
            <w:r w:rsidRPr="000A3C47">
              <w:rPr>
                <w:b/>
              </w:rPr>
              <w:t>Deliverable</w:t>
            </w:r>
          </w:p>
        </w:tc>
        <w:tc>
          <w:tcPr>
            <w:tcW w:w="2227" w:type="dxa"/>
            <w:shd w:val="clear" w:color="auto" w:fill="D9D9D9" w:themeFill="background1" w:themeFillShade="D9"/>
          </w:tcPr>
          <w:p w14:paraId="44A14A80" w14:textId="77777777" w:rsidR="001C32A7" w:rsidRPr="000A3C47" w:rsidRDefault="001C32A7" w:rsidP="00954103">
            <w:pPr>
              <w:jc w:val="center"/>
              <w:rPr>
                <w:b/>
              </w:rPr>
            </w:pPr>
            <w:r w:rsidRPr="000A3C47">
              <w:rPr>
                <w:b/>
              </w:rPr>
              <w:t>Due Date</w:t>
            </w:r>
          </w:p>
        </w:tc>
        <w:tc>
          <w:tcPr>
            <w:tcW w:w="2790" w:type="dxa"/>
            <w:shd w:val="clear" w:color="auto" w:fill="D9D9D9" w:themeFill="background1" w:themeFillShade="D9"/>
          </w:tcPr>
          <w:p w14:paraId="7AB3DB80" w14:textId="77777777" w:rsidR="001C32A7" w:rsidRPr="000A3C47" w:rsidRDefault="001C32A7" w:rsidP="00954103">
            <w:pPr>
              <w:jc w:val="center"/>
              <w:rPr>
                <w:b/>
              </w:rPr>
            </w:pPr>
            <w:r w:rsidRPr="000A3C47">
              <w:rPr>
                <w:b/>
              </w:rPr>
              <w:t>Submission</w:t>
            </w:r>
          </w:p>
        </w:tc>
      </w:tr>
      <w:tr w:rsidR="001C32A7" w14:paraId="36F4DC08" w14:textId="77777777" w:rsidTr="00954103">
        <w:tc>
          <w:tcPr>
            <w:tcW w:w="3713" w:type="dxa"/>
          </w:tcPr>
          <w:p w14:paraId="408CDFD5" w14:textId="77777777" w:rsidR="001C32A7" w:rsidRPr="00443A5A" w:rsidRDefault="001C32A7" w:rsidP="00954103">
            <w:pPr>
              <w:rPr>
                <w:u w:val="single"/>
              </w:rPr>
            </w:pPr>
            <w:r>
              <w:rPr>
                <w:u w:val="single"/>
              </w:rPr>
              <w:t>First visit</w:t>
            </w:r>
            <w:r w:rsidRPr="00443A5A">
              <w:rPr>
                <w:u w:val="single"/>
              </w:rPr>
              <w:t xml:space="preserve">:  </w:t>
            </w:r>
          </w:p>
          <w:p w14:paraId="7773BF26" w14:textId="77777777" w:rsidR="001C32A7" w:rsidRDefault="001C32A7" w:rsidP="001C32A7">
            <w:pPr>
              <w:pStyle w:val="ListParagraph"/>
              <w:numPr>
                <w:ilvl w:val="0"/>
                <w:numId w:val="5"/>
              </w:numPr>
              <w:ind w:left="360" w:hanging="270"/>
            </w:pPr>
            <w:r>
              <w:rPr>
                <w:rFonts w:cstheme="minorHAnsi"/>
              </w:rPr>
              <w:t xml:space="preserve">Brief report on the evaluation of the </w:t>
            </w:r>
            <w:r w:rsidRPr="00BC7E58">
              <w:rPr>
                <w:rFonts w:cstheme="minorHAnsi"/>
              </w:rPr>
              <w:t xml:space="preserve">capacity </w:t>
            </w:r>
            <w:r>
              <w:rPr>
                <w:rFonts w:cstheme="minorHAnsi"/>
              </w:rPr>
              <w:t xml:space="preserve">of the </w:t>
            </w:r>
            <w:r w:rsidRPr="00BC7E58">
              <w:rPr>
                <w:rFonts w:cstheme="minorHAnsi"/>
              </w:rPr>
              <w:t>laborator</w:t>
            </w:r>
            <w:r>
              <w:rPr>
                <w:rFonts w:cstheme="minorHAnsi"/>
              </w:rPr>
              <w:t>y (regarding personnel, operational status of equipment)</w:t>
            </w:r>
            <w:r w:rsidRPr="00BC7E58">
              <w:rPr>
                <w:rFonts w:cstheme="minorHAnsi"/>
              </w:rPr>
              <w:t xml:space="preserve"> and </w:t>
            </w:r>
            <w:r>
              <w:rPr>
                <w:rFonts w:cstheme="minorHAnsi"/>
              </w:rPr>
              <w:t>of</w:t>
            </w:r>
            <w:r w:rsidRPr="00BC7E58">
              <w:rPr>
                <w:rFonts w:cstheme="minorHAnsi"/>
              </w:rPr>
              <w:t xml:space="preserve"> the </w:t>
            </w:r>
            <w:r>
              <w:rPr>
                <w:rFonts w:cstheme="minorHAnsi"/>
              </w:rPr>
              <w:t xml:space="preserve">consumable materials required </w:t>
            </w:r>
            <w:r w:rsidRPr="00286A6F">
              <w:rPr>
                <w:rFonts w:cstheme="minorHAnsi"/>
              </w:rPr>
              <w:t>for</w:t>
            </w:r>
            <w:r>
              <w:rPr>
                <w:rFonts w:cstheme="minorHAnsi"/>
              </w:rPr>
              <w:t xml:space="preserve"> carrying out </w:t>
            </w:r>
            <w:r w:rsidRPr="00286A6F">
              <w:rPr>
                <w:rFonts w:cstheme="minorHAnsi"/>
              </w:rPr>
              <w:t xml:space="preserve">analysis and validation of the parameters listed in </w:t>
            </w:r>
            <w:r>
              <w:rPr>
                <w:rFonts w:cstheme="minorHAnsi"/>
              </w:rPr>
              <w:t xml:space="preserve">above in section “First Visit </w:t>
            </w:r>
            <w:r w:rsidRPr="00286A6F">
              <w:rPr>
                <w:rFonts w:cstheme="minorHAnsi"/>
              </w:rPr>
              <w:t>(</w:t>
            </w:r>
            <w:proofErr w:type="spellStart"/>
            <w:r w:rsidRPr="00286A6F">
              <w:rPr>
                <w:rFonts w:cstheme="minorHAnsi"/>
              </w:rPr>
              <w:t>i</w:t>
            </w:r>
            <w:proofErr w:type="spellEnd"/>
            <w:r w:rsidRPr="00286A6F">
              <w:rPr>
                <w:rFonts w:cstheme="minorHAnsi"/>
              </w:rPr>
              <w:t>)</w:t>
            </w:r>
            <w:r>
              <w:rPr>
                <w:rFonts w:cstheme="minorHAnsi"/>
              </w:rPr>
              <w:t xml:space="preserve">”. </w:t>
            </w:r>
          </w:p>
        </w:tc>
        <w:tc>
          <w:tcPr>
            <w:tcW w:w="2227" w:type="dxa"/>
          </w:tcPr>
          <w:p w14:paraId="2E790DAA" w14:textId="77777777" w:rsidR="001C32A7" w:rsidRDefault="001C32A7" w:rsidP="00954103">
            <w:r>
              <w:t>Within one week of end of first trip</w:t>
            </w:r>
          </w:p>
        </w:tc>
        <w:tc>
          <w:tcPr>
            <w:tcW w:w="2790" w:type="dxa"/>
          </w:tcPr>
          <w:p w14:paraId="750E0C25" w14:textId="77777777" w:rsidR="001C32A7" w:rsidRDefault="001C32A7" w:rsidP="00954103">
            <w:r>
              <w:t xml:space="preserve">Electronically to John Dorr </w:t>
            </w:r>
            <w:hyperlink r:id="rId5" w:history="1">
              <w:r w:rsidRPr="00CF7D23">
                <w:rPr>
                  <w:rStyle w:val="Hyperlink"/>
                </w:rPr>
                <w:t>JDorr@winrock.org</w:t>
              </w:r>
            </w:hyperlink>
            <w:r>
              <w:t xml:space="preserve"> </w:t>
            </w:r>
          </w:p>
        </w:tc>
      </w:tr>
      <w:tr w:rsidR="001C32A7" w14:paraId="551C5F6B" w14:textId="77777777" w:rsidTr="00954103">
        <w:tc>
          <w:tcPr>
            <w:tcW w:w="3713" w:type="dxa"/>
          </w:tcPr>
          <w:p w14:paraId="6AA9EAA8" w14:textId="77777777" w:rsidR="001C32A7" w:rsidRDefault="001C32A7" w:rsidP="00954103">
            <w:pPr>
              <w:rPr>
                <w:u w:val="single"/>
              </w:rPr>
            </w:pPr>
            <w:r>
              <w:rPr>
                <w:u w:val="single"/>
              </w:rPr>
              <w:t xml:space="preserve">Second visit: </w:t>
            </w:r>
          </w:p>
          <w:p w14:paraId="139C2160" w14:textId="77777777" w:rsidR="001C32A7" w:rsidRDefault="001C32A7" w:rsidP="001C32A7">
            <w:pPr>
              <w:pStyle w:val="ListParagraph"/>
              <w:numPr>
                <w:ilvl w:val="0"/>
                <w:numId w:val="8"/>
              </w:numPr>
              <w:spacing w:before="0"/>
              <w:ind w:left="426" w:hanging="426"/>
            </w:pPr>
            <w:r>
              <w:t xml:space="preserve">Evaluation of the example analyses and validations carried </w:t>
            </w:r>
            <w:proofErr w:type="gramStart"/>
            <w:r>
              <w:t>out  for</w:t>
            </w:r>
            <w:proofErr w:type="gramEnd"/>
            <w:r>
              <w:t xml:space="preserve"> the introduced analytical methods.</w:t>
            </w:r>
          </w:p>
          <w:p w14:paraId="67B91A64" w14:textId="77777777" w:rsidR="001C32A7" w:rsidRDefault="001C32A7" w:rsidP="001C32A7">
            <w:pPr>
              <w:pStyle w:val="ListParagraph"/>
              <w:numPr>
                <w:ilvl w:val="0"/>
                <w:numId w:val="8"/>
              </w:numPr>
              <w:spacing w:before="0"/>
              <w:ind w:left="426" w:hanging="426"/>
            </w:pPr>
            <w:r>
              <w:lastRenderedPageBreak/>
              <w:t>Brief report on the methods introduced and demonstrated, and the work done and recommendations. at the laboratory.</w:t>
            </w:r>
          </w:p>
        </w:tc>
        <w:tc>
          <w:tcPr>
            <w:tcW w:w="2227" w:type="dxa"/>
          </w:tcPr>
          <w:p w14:paraId="43366936" w14:textId="77777777" w:rsidR="001C32A7" w:rsidRDefault="001C32A7" w:rsidP="00954103">
            <w:r>
              <w:lastRenderedPageBreak/>
              <w:t>Within one week of end of second trip</w:t>
            </w:r>
          </w:p>
        </w:tc>
        <w:tc>
          <w:tcPr>
            <w:tcW w:w="2790" w:type="dxa"/>
          </w:tcPr>
          <w:p w14:paraId="196F1243" w14:textId="77777777" w:rsidR="001C32A7" w:rsidRDefault="001C32A7" w:rsidP="00954103">
            <w:r>
              <w:t xml:space="preserve">Electronically to John Dorr </w:t>
            </w:r>
            <w:hyperlink r:id="rId6" w:history="1">
              <w:r w:rsidRPr="00CF7D23">
                <w:rPr>
                  <w:rStyle w:val="Hyperlink"/>
                </w:rPr>
                <w:t>JDorr@winrock.org</w:t>
              </w:r>
            </w:hyperlink>
          </w:p>
        </w:tc>
      </w:tr>
    </w:tbl>
    <w:p w14:paraId="3C8565DC" w14:textId="77777777" w:rsidR="001C32A7" w:rsidRDefault="001C32A7" w:rsidP="001C32A7">
      <w:pPr>
        <w:rPr>
          <w:rFonts w:cstheme="minorHAnsi"/>
        </w:rPr>
      </w:pPr>
    </w:p>
    <w:bookmarkEnd w:id="0"/>
    <w:p w14:paraId="64A18887" w14:textId="77777777" w:rsidR="001C32A7" w:rsidRPr="00BC7E58" w:rsidRDefault="001C32A7" w:rsidP="001C32A7">
      <w:pPr>
        <w:pStyle w:val="ListParagraph"/>
        <w:numPr>
          <w:ilvl w:val="0"/>
          <w:numId w:val="4"/>
        </w:numPr>
        <w:ind w:left="284" w:hanging="284"/>
        <w:rPr>
          <w:b/>
          <w:color w:val="0070C0"/>
        </w:rPr>
      </w:pPr>
      <w:r w:rsidRPr="00BC7E58">
        <w:rPr>
          <w:rFonts w:cstheme="minorHAnsi"/>
          <w:b/>
          <w:color w:val="0070C0"/>
        </w:rPr>
        <w:t>DURATION AND TIMING</w:t>
      </w:r>
    </w:p>
    <w:p w14:paraId="23FF9A8E" w14:textId="77777777" w:rsidR="001C32A7" w:rsidRDefault="001C32A7" w:rsidP="001C32A7">
      <w:pPr>
        <w:spacing w:after="0" w:line="240" w:lineRule="auto"/>
        <w:rPr>
          <w:rFonts w:cstheme="minorHAnsi"/>
        </w:rPr>
      </w:pPr>
      <w:r w:rsidRPr="00BC7E58">
        <w:rPr>
          <w:rFonts w:cstheme="minorHAnsi"/>
          <w:lang w:val="en-US"/>
        </w:rPr>
        <w:t>1</w:t>
      </w:r>
      <w:r>
        <w:rPr>
          <w:rFonts w:cstheme="minorHAnsi"/>
          <w:lang w:val="en-US"/>
        </w:rPr>
        <w:t xml:space="preserve">8 </w:t>
      </w:r>
      <w:proofErr w:type="gramStart"/>
      <w:r>
        <w:rPr>
          <w:rFonts w:cstheme="minorHAnsi"/>
          <w:lang w:val="en-US"/>
        </w:rPr>
        <w:t>work-days</w:t>
      </w:r>
      <w:proofErr w:type="gramEnd"/>
      <w:r>
        <w:rPr>
          <w:rFonts w:cstheme="minorHAnsi"/>
          <w:lang w:val="en-US"/>
        </w:rPr>
        <w:t xml:space="preserve"> with </w:t>
      </w:r>
      <w:r w:rsidRPr="00BC7E58">
        <w:rPr>
          <w:rFonts w:cstheme="minorHAnsi"/>
          <w:lang w:val="en-US"/>
        </w:rPr>
        <w:t>two trips to Bangladesh</w:t>
      </w:r>
      <w:r>
        <w:rPr>
          <w:rFonts w:cstheme="minorHAnsi"/>
          <w:lang w:val="en-US"/>
        </w:rPr>
        <w:t xml:space="preserve">. </w:t>
      </w:r>
      <w:r w:rsidRPr="00BC7E58">
        <w:rPr>
          <w:rFonts w:cstheme="minorHAnsi"/>
          <w:lang w:val="en-US"/>
        </w:rPr>
        <w:t xml:space="preserve">First trip: </w:t>
      </w:r>
      <w:r w:rsidRPr="0058700F">
        <w:rPr>
          <w:rFonts w:cstheme="minorHAnsi"/>
          <w:lang w:val="en-US"/>
        </w:rPr>
        <w:t xml:space="preserve">5 days: </w:t>
      </w:r>
      <w:r w:rsidRPr="0058700F">
        <w:rPr>
          <w:rFonts w:cstheme="minorHAnsi"/>
        </w:rPr>
        <w:t>(2 days international travel, 3 days in country, Dhaka). Second trip: 13 days (2 days inter</w:t>
      </w:r>
      <w:r w:rsidRPr="00BC7E58">
        <w:rPr>
          <w:rFonts w:cstheme="minorHAnsi"/>
        </w:rPr>
        <w:t xml:space="preserve">national travel, </w:t>
      </w:r>
      <w:r>
        <w:rPr>
          <w:rFonts w:cstheme="minorHAnsi"/>
        </w:rPr>
        <w:t xml:space="preserve">11 </w:t>
      </w:r>
      <w:r w:rsidRPr="00BC7E58">
        <w:rPr>
          <w:rFonts w:cstheme="minorHAnsi"/>
        </w:rPr>
        <w:t>days in country)</w:t>
      </w:r>
      <w:r>
        <w:rPr>
          <w:rFonts w:cstheme="minorHAnsi"/>
        </w:rPr>
        <w:t xml:space="preserve">. Timing of trips to be determined in consultation with </w:t>
      </w:r>
      <w:proofErr w:type="spellStart"/>
      <w:r>
        <w:rPr>
          <w:rFonts w:cstheme="minorHAnsi"/>
        </w:rPr>
        <w:t>DoF</w:t>
      </w:r>
      <w:proofErr w:type="spellEnd"/>
      <w:r>
        <w:rPr>
          <w:rFonts w:cstheme="minorHAnsi"/>
        </w:rPr>
        <w:t xml:space="preserve">. </w:t>
      </w:r>
    </w:p>
    <w:p w14:paraId="1FD90890" w14:textId="77777777" w:rsidR="001C32A7" w:rsidRDefault="001C32A7" w:rsidP="001C32A7">
      <w:pPr>
        <w:spacing w:after="0" w:line="240" w:lineRule="auto"/>
        <w:rPr>
          <w:rFonts w:cstheme="minorHAnsi"/>
        </w:rPr>
      </w:pPr>
    </w:p>
    <w:p w14:paraId="642A4105" w14:textId="77777777" w:rsidR="001C32A7" w:rsidRPr="00BC7E58" w:rsidRDefault="001C32A7" w:rsidP="001C32A7">
      <w:pPr>
        <w:pStyle w:val="ListParagraph"/>
        <w:numPr>
          <w:ilvl w:val="0"/>
          <w:numId w:val="4"/>
        </w:numPr>
        <w:ind w:left="284" w:hanging="284"/>
        <w:rPr>
          <w:b/>
          <w:color w:val="0070C0"/>
        </w:rPr>
      </w:pPr>
      <w:r w:rsidRPr="00BC7E58">
        <w:rPr>
          <w:b/>
          <w:color w:val="0070C0"/>
        </w:rPr>
        <w:t>COMMUNICA</w:t>
      </w:r>
      <w:r>
        <w:rPr>
          <w:b/>
          <w:color w:val="0070C0"/>
        </w:rPr>
        <w:t>TI</w:t>
      </w:r>
      <w:r w:rsidRPr="00BC7E58">
        <w:rPr>
          <w:b/>
          <w:color w:val="0070C0"/>
        </w:rPr>
        <w:t xml:space="preserve">ON AND REPORTING </w:t>
      </w:r>
      <w:bookmarkStart w:id="1" w:name="_gjdgxs" w:colFirst="0" w:colLast="0"/>
      <w:bookmarkEnd w:id="1"/>
    </w:p>
    <w:p w14:paraId="440D4C4F" w14:textId="77777777" w:rsidR="001C32A7" w:rsidRPr="00BC7E58" w:rsidRDefault="001C32A7" w:rsidP="001C32A7">
      <w:pPr>
        <w:spacing w:after="0" w:line="240" w:lineRule="auto"/>
        <w:rPr>
          <w:rFonts w:cstheme="minorHAnsi"/>
        </w:rPr>
      </w:pPr>
      <w:r w:rsidRPr="00BC7E58">
        <w:rPr>
          <w:rFonts w:cstheme="minorHAnsi"/>
        </w:rPr>
        <w:t>The consultant will work under the direction of Dr John A</w:t>
      </w:r>
      <w:r>
        <w:rPr>
          <w:rFonts w:cstheme="minorHAnsi"/>
        </w:rPr>
        <w:t>.</w:t>
      </w:r>
      <w:r w:rsidRPr="00BC7E58">
        <w:rPr>
          <w:rFonts w:cstheme="minorHAnsi"/>
        </w:rPr>
        <w:t xml:space="preserve"> Dorr, Chief of Party, SAFETI Project, Winrock International and coordinate with </w:t>
      </w:r>
      <w:r>
        <w:rPr>
          <w:rFonts w:cstheme="minorHAnsi"/>
        </w:rPr>
        <w:t xml:space="preserve">specified </w:t>
      </w:r>
      <w:proofErr w:type="spellStart"/>
      <w:r w:rsidRPr="00BC7E58">
        <w:rPr>
          <w:rFonts w:cstheme="minorHAnsi"/>
        </w:rPr>
        <w:t>DoF</w:t>
      </w:r>
      <w:proofErr w:type="spellEnd"/>
      <w:r>
        <w:rPr>
          <w:rFonts w:cstheme="minorHAnsi"/>
        </w:rPr>
        <w:t xml:space="preserve"> </w:t>
      </w:r>
      <w:r w:rsidRPr="00BC7E58">
        <w:rPr>
          <w:rFonts w:cstheme="minorHAnsi"/>
        </w:rPr>
        <w:t>staff.</w:t>
      </w:r>
    </w:p>
    <w:p w14:paraId="4D355754" w14:textId="77777777" w:rsidR="001C32A7" w:rsidRPr="00BC7E58" w:rsidRDefault="001C32A7" w:rsidP="001C32A7">
      <w:pPr>
        <w:spacing w:after="0" w:line="240" w:lineRule="auto"/>
        <w:rPr>
          <w:rFonts w:cstheme="minorHAnsi"/>
          <w:color w:val="0070C0"/>
        </w:rPr>
      </w:pPr>
    </w:p>
    <w:p w14:paraId="1264092F" w14:textId="77777777" w:rsidR="001C32A7" w:rsidRPr="00BC7E58" w:rsidRDefault="001C32A7" w:rsidP="001C32A7">
      <w:pPr>
        <w:pStyle w:val="ListParagraph"/>
        <w:numPr>
          <w:ilvl w:val="0"/>
          <w:numId w:val="4"/>
        </w:numPr>
        <w:spacing w:before="0" w:line="240" w:lineRule="auto"/>
        <w:ind w:left="284" w:hanging="284"/>
        <w:rPr>
          <w:rFonts w:cstheme="minorHAnsi"/>
          <w:b/>
          <w:color w:val="0070C0"/>
        </w:rPr>
      </w:pPr>
      <w:r w:rsidRPr="00BC7E58">
        <w:rPr>
          <w:rFonts w:cstheme="minorHAnsi"/>
          <w:b/>
          <w:color w:val="0070C0"/>
        </w:rPr>
        <w:t>QUALIFICATIONS AND EXPERIENCE OF THE CONSULTANT</w:t>
      </w:r>
    </w:p>
    <w:p w14:paraId="22C1177C" w14:textId="77777777" w:rsidR="001C32A7" w:rsidRPr="00BC7E58" w:rsidRDefault="001C32A7" w:rsidP="001C32A7">
      <w:pPr>
        <w:pStyle w:val="ListParagraph"/>
        <w:numPr>
          <w:ilvl w:val="0"/>
          <w:numId w:val="7"/>
        </w:numPr>
        <w:spacing w:before="0"/>
        <w:ind w:left="709" w:hanging="425"/>
      </w:pPr>
      <w:r w:rsidRPr="00BC7E58">
        <w:rPr>
          <w:rFonts w:cstheme="minorHAnsi"/>
          <w:lang w:val="en-GB"/>
        </w:rPr>
        <w:t xml:space="preserve">Advanced degree in chemistry, analytical chemistry, pharmacy, food science, fisheries or related subject. </w:t>
      </w:r>
    </w:p>
    <w:p w14:paraId="64AEA77E" w14:textId="77777777" w:rsidR="001C32A7" w:rsidRDefault="001C32A7" w:rsidP="001C32A7">
      <w:pPr>
        <w:pStyle w:val="ListParagraph"/>
        <w:numPr>
          <w:ilvl w:val="0"/>
          <w:numId w:val="7"/>
        </w:numPr>
        <w:spacing w:before="0"/>
        <w:ind w:left="709" w:hanging="425"/>
      </w:pPr>
      <w:r w:rsidRPr="00E671F8">
        <w:t>Proven experience in development</w:t>
      </w:r>
      <w:r>
        <w:t xml:space="preserve"> and</w:t>
      </w:r>
      <w:r w:rsidRPr="00E671F8">
        <w:t xml:space="preserve"> validation of method</w:t>
      </w:r>
      <w:r>
        <w:t xml:space="preserve">s </w:t>
      </w:r>
      <w:r>
        <w:rPr>
          <w:rFonts w:cstheme="minorHAnsi"/>
        </w:rPr>
        <w:t>in accordance with European Commission Decision 2002/657/EC</w:t>
      </w:r>
      <w:r>
        <w:t xml:space="preserve"> for analysis of</w:t>
      </w:r>
      <w:r w:rsidRPr="00E671F8">
        <w:t xml:space="preserve"> antibiotics, toxins, hormones</w:t>
      </w:r>
      <w:r>
        <w:t xml:space="preserve"> and</w:t>
      </w:r>
      <w:r w:rsidRPr="00E671F8">
        <w:t xml:space="preserve"> veterinary drug residues with </w:t>
      </w:r>
      <w:r>
        <w:t>l</w:t>
      </w:r>
      <w:r w:rsidRPr="00E671F8">
        <w:t>iquid chromatography-mass spectrometry (LCMS/MS) systems</w:t>
      </w:r>
      <w:r>
        <w:t xml:space="preserve"> preferably with Waters UPLC-</w:t>
      </w:r>
      <w:proofErr w:type="spellStart"/>
      <w:r>
        <w:t>Xevo</w:t>
      </w:r>
      <w:proofErr w:type="spellEnd"/>
      <w:r>
        <w:t xml:space="preserve"> TQD,</w:t>
      </w:r>
      <w:r w:rsidRPr="00E671F8">
        <w:t xml:space="preserve"> in fish, crustaceans and their feed matrices.</w:t>
      </w:r>
      <w:r>
        <w:t xml:space="preserve"> </w:t>
      </w:r>
    </w:p>
    <w:p w14:paraId="1B5C7680" w14:textId="77777777" w:rsidR="001C32A7" w:rsidRDefault="001C32A7" w:rsidP="001C32A7">
      <w:pPr>
        <w:pStyle w:val="ListParagraph"/>
        <w:numPr>
          <w:ilvl w:val="0"/>
          <w:numId w:val="7"/>
        </w:numPr>
        <w:spacing w:before="0"/>
        <w:ind w:left="709" w:hanging="425"/>
      </w:pPr>
      <w:r>
        <w:t xml:space="preserve">Good knowledge of EU legislation regarding food contaminants, residues etc. and their permitted limits. </w:t>
      </w:r>
    </w:p>
    <w:p w14:paraId="453ACB4A" w14:textId="77777777" w:rsidR="001C32A7" w:rsidRDefault="001C32A7" w:rsidP="001C32A7">
      <w:pPr>
        <w:pStyle w:val="ListParagraph"/>
        <w:numPr>
          <w:ilvl w:val="0"/>
          <w:numId w:val="7"/>
        </w:numPr>
        <w:spacing w:before="0"/>
        <w:ind w:left="709" w:hanging="425"/>
      </w:pPr>
      <w:r>
        <w:t>Good knowledge of EU requirements on method development, validation and analysis of contaminants, residues etc. in fish, crustaceans and their feeds.</w:t>
      </w:r>
    </w:p>
    <w:p w14:paraId="7B95B7F6" w14:textId="77777777" w:rsidR="001C32A7" w:rsidRDefault="001C32A7" w:rsidP="001C32A7">
      <w:pPr>
        <w:pStyle w:val="ListParagraph"/>
        <w:numPr>
          <w:ilvl w:val="0"/>
          <w:numId w:val="7"/>
        </w:numPr>
        <w:spacing w:before="0"/>
        <w:ind w:left="709" w:hanging="425"/>
      </w:pPr>
      <w:r>
        <w:t xml:space="preserve"> Good knowledge on international standard ISO/IEC 17025 on laboratory quality management and accreditation (preferably a certified auditor for this standard). </w:t>
      </w:r>
    </w:p>
    <w:p w14:paraId="39BF4FA7" w14:textId="77777777" w:rsidR="001C32A7" w:rsidRDefault="001C32A7" w:rsidP="001C32A7">
      <w:pPr>
        <w:pStyle w:val="ListParagraph"/>
        <w:numPr>
          <w:ilvl w:val="0"/>
          <w:numId w:val="7"/>
        </w:numPr>
        <w:spacing w:before="0"/>
        <w:ind w:left="709" w:hanging="425"/>
      </w:pPr>
      <w:r w:rsidRPr="000F50B0">
        <w:t xml:space="preserve">Fluent </w:t>
      </w:r>
      <w:r>
        <w:t xml:space="preserve">in </w:t>
      </w:r>
      <w:r w:rsidRPr="000F50B0">
        <w:t xml:space="preserve">English and </w:t>
      </w:r>
      <w:r>
        <w:t>a</w:t>
      </w:r>
      <w:r w:rsidRPr="000F50B0">
        <w:t>bility to communicate ideas effectively.</w:t>
      </w:r>
      <w:r>
        <w:t xml:space="preserve"> </w:t>
      </w:r>
    </w:p>
    <w:p w14:paraId="7B5F9A19" w14:textId="77777777" w:rsidR="001C32A7" w:rsidRDefault="001C32A7" w:rsidP="001C32A7"/>
    <w:p w14:paraId="1DA7A885" w14:textId="77777777" w:rsidR="001C32A7" w:rsidRDefault="001C32A7" w:rsidP="001C32A7"/>
    <w:p w14:paraId="43F8BE79" w14:textId="77777777" w:rsidR="001C32A7" w:rsidRDefault="001C32A7" w:rsidP="001C32A7">
      <w:pPr>
        <w:rPr>
          <w:rFonts w:cstheme="minorHAnsi"/>
        </w:rPr>
      </w:pPr>
      <w:r>
        <w:rPr>
          <w:rFonts w:cstheme="minorHAnsi"/>
        </w:rPr>
        <w:br w:type="page"/>
      </w:r>
    </w:p>
    <w:p w14:paraId="38AFFEBA" w14:textId="77777777" w:rsidR="001C32A7" w:rsidRDefault="001C32A7" w:rsidP="001C32A7">
      <w:pPr>
        <w:spacing w:after="0"/>
        <w:rPr>
          <w:rFonts w:cstheme="minorHAnsi"/>
        </w:rPr>
        <w:sectPr w:rsidR="001C32A7">
          <w:pgSz w:w="11906" w:h="16838"/>
          <w:pgMar w:top="1440" w:right="1440" w:bottom="1440" w:left="1440" w:header="708" w:footer="708" w:gutter="0"/>
          <w:cols w:space="708"/>
          <w:docGrid w:linePitch="360"/>
        </w:sectPr>
      </w:pPr>
    </w:p>
    <w:tbl>
      <w:tblPr>
        <w:tblpPr w:leftFromText="180" w:rightFromText="180" w:vertAnchor="text" w:tblpY="1"/>
        <w:tblOverlap w:val="never"/>
        <w:tblW w:w="14529" w:type="dxa"/>
        <w:tblLook w:val="04A0" w:firstRow="1" w:lastRow="0" w:firstColumn="1" w:lastColumn="0" w:noHBand="0" w:noVBand="1"/>
      </w:tblPr>
      <w:tblGrid>
        <w:gridCol w:w="14876"/>
        <w:gridCol w:w="4422"/>
        <w:gridCol w:w="1248"/>
        <w:gridCol w:w="1385"/>
        <w:gridCol w:w="4587"/>
        <w:gridCol w:w="1165"/>
        <w:gridCol w:w="888"/>
      </w:tblGrid>
      <w:tr w:rsidR="001C32A7" w:rsidRPr="00B97F33" w14:paraId="1696DC31" w14:textId="77777777" w:rsidTr="00954103">
        <w:trPr>
          <w:trHeight w:val="300"/>
        </w:trPr>
        <w:tc>
          <w:tcPr>
            <w:tcW w:w="834" w:type="dxa"/>
            <w:tcBorders>
              <w:top w:val="nil"/>
              <w:left w:val="nil"/>
              <w:bottom w:val="nil"/>
              <w:right w:val="nil"/>
            </w:tcBorders>
            <w:shd w:val="clear" w:color="auto" w:fill="auto"/>
            <w:noWrap/>
            <w:vAlign w:val="bottom"/>
            <w:hideMark/>
          </w:tcPr>
          <w:tbl>
            <w:tblPr>
              <w:tblW w:w="14220" w:type="dxa"/>
              <w:tblLook w:val="04A0" w:firstRow="1" w:lastRow="0" w:firstColumn="1" w:lastColumn="0" w:noHBand="0" w:noVBand="1"/>
            </w:tblPr>
            <w:tblGrid>
              <w:gridCol w:w="799"/>
              <w:gridCol w:w="6914"/>
              <w:gridCol w:w="1023"/>
              <w:gridCol w:w="1220"/>
              <w:gridCol w:w="2852"/>
              <w:gridCol w:w="891"/>
              <w:gridCol w:w="961"/>
            </w:tblGrid>
            <w:tr w:rsidR="001C32A7" w:rsidRPr="00B72DC4" w14:paraId="73469C87" w14:textId="77777777" w:rsidTr="00954103">
              <w:trPr>
                <w:trHeight w:val="300"/>
              </w:trPr>
              <w:tc>
                <w:tcPr>
                  <w:tcW w:w="14220" w:type="dxa"/>
                  <w:gridSpan w:val="7"/>
                  <w:tcBorders>
                    <w:top w:val="nil"/>
                    <w:left w:val="nil"/>
                    <w:bottom w:val="nil"/>
                    <w:right w:val="nil"/>
                  </w:tcBorders>
                  <w:shd w:val="clear" w:color="auto" w:fill="auto"/>
                  <w:noWrap/>
                  <w:vAlign w:val="center"/>
                  <w:hideMark/>
                </w:tcPr>
                <w:p w14:paraId="52CBE615"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b/>
                      <w:bCs/>
                      <w:color w:val="000000"/>
                      <w:lang w:eastAsia="en-GB"/>
                    </w:rPr>
                  </w:pPr>
                  <w:r w:rsidRPr="00B72DC4">
                    <w:rPr>
                      <w:rFonts w:ascii="Times New Roman" w:eastAsia="Times New Roman" w:hAnsi="Times New Roman" w:cs="Times New Roman"/>
                      <w:b/>
                      <w:bCs/>
                      <w:color w:val="000000"/>
                      <w:lang w:eastAsia="en-GB"/>
                    </w:rPr>
                    <w:lastRenderedPageBreak/>
                    <w:t xml:space="preserve">ANNEX 2:   List of materials required for FIQC laboratory training and capacity building </w:t>
                  </w:r>
                </w:p>
              </w:tc>
            </w:tr>
            <w:tr w:rsidR="001C32A7" w:rsidRPr="00B72DC4" w14:paraId="7E30D734" w14:textId="77777777" w:rsidTr="00954103">
              <w:trPr>
                <w:trHeight w:val="300"/>
              </w:trPr>
              <w:tc>
                <w:tcPr>
                  <w:tcW w:w="799" w:type="dxa"/>
                  <w:tcBorders>
                    <w:top w:val="nil"/>
                    <w:left w:val="nil"/>
                    <w:bottom w:val="nil"/>
                    <w:right w:val="nil"/>
                  </w:tcBorders>
                  <w:shd w:val="clear" w:color="auto" w:fill="auto"/>
                  <w:noWrap/>
                  <w:vAlign w:val="bottom"/>
                  <w:hideMark/>
                </w:tcPr>
                <w:p w14:paraId="76EFCC45"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b/>
                      <w:bCs/>
                      <w:color w:val="000000"/>
                      <w:lang w:eastAsia="en-GB"/>
                    </w:rPr>
                  </w:pPr>
                </w:p>
              </w:tc>
              <w:tc>
                <w:tcPr>
                  <w:tcW w:w="6914" w:type="dxa"/>
                  <w:tcBorders>
                    <w:top w:val="nil"/>
                    <w:left w:val="nil"/>
                    <w:bottom w:val="nil"/>
                    <w:right w:val="nil"/>
                  </w:tcBorders>
                  <w:shd w:val="clear" w:color="auto" w:fill="auto"/>
                  <w:noWrap/>
                  <w:vAlign w:val="center"/>
                  <w:hideMark/>
                </w:tcPr>
                <w:p w14:paraId="687C5C30"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lang w:eastAsia="en-GB"/>
                    </w:rPr>
                  </w:pPr>
                </w:p>
              </w:tc>
              <w:tc>
                <w:tcPr>
                  <w:tcW w:w="807" w:type="dxa"/>
                  <w:tcBorders>
                    <w:top w:val="nil"/>
                    <w:left w:val="nil"/>
                    <w:bottom w:val="nil"/>
                    <w:right w:val="nil"/>
                  </w:tcBorders>
                  <w:shd w:val="clear" w:color="auto" w:fill="auto"/>
                  <w:noWrap/>
                  <w:vAlign w:val="bottom"/>
                  <w:hideMark/>
                </w:tcPr>
                <w:p w14:paraId="05E997A6"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lang w:eastAsia="en-GB"/>
                    </w:rPr>
                  </w:pPr>
                </w:p>
              </w:tc>
              <w:tc>
                <w:tcPr>
                  <w:tcW w:w="996" w:type="dxa"/>
                  <w:tcBorders>
                    <w:top w:val="nil"/>
                    <w:left w:val="nil"/>
                    <w:bottom w:val="nil"/>
                    <w:right w:val="nil"/>
                  </w:tcBorders>
                  <w:shd w:val="clear" w:color="auto" w:fill="auto"/>
                  <w:noWrap/>
                  <w:vAlign w:val="bottom"/>
                  <w:hideMark/>
                </w:tcPr>
                <w:p w14:paraId="6D6B7898" w14:textId="77777777" w:rsidR="001C32A7" w:rsidRPr="00B72DC4" w:rsidRDefault="001C32A7" w:rsidP="00954103">
                  <w:pPr>
                    <w:framePr w:hSpace="180" w:wrap="around" w:vAnchor="text" w:hAnchor="text" w:y="1"/>
                    <w:spacing w:after="0" w:line="240" w:lineRule="auto"/>
                    <w:suppressOverlap/>
                    <w:jc w:val="center"/>
                    <w:rPr>
                      <w:rFonts w:ascii="Times New Roman" w:eastAsia="Times New Roman" w:hAnsi="Times New Roman" w:cs="Times New Roman"/>
                      <w:lang w:eastAsia="en-GB"/>
                    </w:rPr>
                  </w:pPr>
                </w:p>
              </w:tc>
              <w:tc>
                <w:tcPr>
                  <w:tcW w:w="2852" w:type="dxa"/>
                  <w:tcBorders>
                    <w:top w:val="nil"/>
                    <w:left w:val="nil"/>
                    <w:bottom w:val="nil"/>
                    <w:right w:val="nil"/>
                  </w:tcBorders>
                  <w:shd w:val="clear" w:color="auto" w:fill="auto"/>
                  <w:noWrap/>
                  <w:vAlign w:val="bottom"/>
                  <w:hideMark/>
                </w:tcPr>
                <w:p w14:paraId="4EFE4F63"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lang w:eastAsia="en-GB"/>
                    </w:rPr>
                  </w:pPr>
                </w:p>
              </w:tc>
              <w:tc>
                <w:tcPr>
                  <w:tcW w:w="891" w:type="dxa"/>
                  <w:tcBorders>
                    <w:top w:val="nil"/>
                    <w:left w:val="nil"/>
                    <w:bottom w:val="nil"/>
                    <w:right w:val="nil"/>
                  </w:tcBorders>
                  <w:shd w:val="clear" w:color="auto" w:fill="auto"/>
                  <w:noWrap/>
                  <w:vAlign w:val="bottom"/>
                  <w:hideMark/>
                </w:tcPr>
                <w:p w14:paraId="0D385FA9"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lang w:eastAsia="en-GB"/>
                    </w:rPr>
                  </w:pPr>
                </w:p>
              </w:tc>
              <w:tc>
                <w:tcPr>
                  <w:tcW w:w="961" w:type="dxa"/>
                  <w:tcBorders>
                    <w:top w:val="nil"/>
                    <w:left w:val="nil"/>
                    <w:bottom w:val="nil"/>
                    <w:right w:val="nil"/>
                  </w:tcBorders>
                  <w:shd w:val="clear" w:color="auto" w:fill="auto"/>
                  <w:noWrap/>
                  <w:vAlign w:val="bottom"/>
                  <w:hideMark/>
                </w:tcPr>
                <w:p w14:paraId="46BA8FF0"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lang w:eastAsia="en-GB"/>
                    </w:rPr>
                  </w:pPr>
                </w:p>
              </w:tc>
            </w:tr>
            <w:tr w:rsidR="001C32A7" w:rsidRPr="00B72DC4" w14:paraId="0367DD30" w14:textId="77777777" w:rsidTr="00954103">
              <w:trPr>
                <w:trHeight w:val="300"/>
              </w:trPr>
              <w:tc>
                <w:tcPr>
                  <w:tcW w:w="7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BCF11C"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Item No.</w:t>
                  </w:r>
                </w:p>
              </w:tc>
              <w:tc>
                <w:tcPr>
                  <w:tcW w:w="6914" w:type="dxa"/>
                  <w:tcBorders>
                    <w:top w:val="nil"/>
                    <w:left w:val="nil"/>
                    <w:bottom w:val="nil"/>
                    <w:right w:val="nil"/>
                  </w:tcBorders>
                  <w:shd w:val="clear" w:color="auto" w:fill="auto"/>
                  <w:noWrap/>
                  <w:vAlign w:val="bottom"/>
                  <w:hideMark/>
                </w:tcPr>
                <w:p w14:paraId="157A8588"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b/>
                      <w:bCs/>
                      <w:color w:val="000000"/>
                      <w:lang w:eastAsia="en-GB"/>
                    </w:rPr>
                  </w:pPr>
                </w:p>
              </w:tc>
              <w:tc>
                <w:tcPr>
                  <w:tcW w:w="807" w:type="dxa"/>
                  <w:tcBorders>
                    <w:top w:val="nil"/>
                    <w:left w:val="nil"/>
                    <w:bottom w:val="nil"/>
                    <w:right w:val="nil"/>
                  </w:tcBorders>
                  <w:shd w:val="clear" w:color="auto" w:fill="auto"/>
                  <w:noWrap/>
                  <w:vAlign w:val="bottom"/>
                  <w:hideMark/>
                </w:tcPr>
                <w:p w14:paraId="18617B64"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lang w:eastAsia="en-GB"/>
                    </w:rPr>
                  </w:pPr>
                </w:p>
              </w:tc>
              <w:tc>
                <w:tcPr>
                  <w:tcW w:w="996" w:type="dxa"/>
                  <w:tcBorders>
                    <w:top w:val="nil"/>
                    <w:left w:val="nil"/>
                    <w:bottom w:val="nil"/>
                    <w:right w:val="nil"/>
                  </w:tcBorders>
                  <w:shd w:val="clear" w:color="auto" w:fill="auto"/>
                  <w:noWrap/>
                  <w:vAlign w:val="bottom"/>
                  <w:hideMark/>
                </w:tcPr>
                <w:p w14:paraId="6EC75BA8" w14:textId="77777777" w:rsidR="001C32A7" w:rsidRPr="00B72DC4" w:rsidRDefault="001C32A7" w:rsidP="00954103">
                  <w:pPr>
                    <w:framePr w:hSpace="180" w:wrap="around" w:vAnchor="text" w:hAnchor="text" w:y="1"/>
                    <w:spacing w:after="0" w:line="240" w:lineRule="auto"/>
                    <w:suppressOverlap/>
                    <w:jc w:val="center"/>
                    <w:rPr>
                      <w:rFonts w:ascii="Times New Roman" w:eastAsia="Times New Roman" w:hAnsi="Times New Roman" w:cs="Times New Roman"/>
                      <w:lang w:eastAsia="en-GB"/>
                    </w:rPr>
                  </w:pPr>
                </w:p>
              </w:tc>
              <w:tc>
                <w:tcPr>
                  <w:tcW w:w="2852" w:type="dxa"/>
                  <w:tcBorders>
                    <w:top w:val="nil"/>
                    <w:left w:val="nil"/>
                    <w:bottom w:val="nil"/>
                    <w:right w:val="nil"/>
                  </w:tcBorders>
                  <w:shd w:val="clear" w:color="auto" w:fill="auto"/>
                  <w:noWrap/>
                  <w:vAlign w:val="bottom"/>
                  <w:hideMark/>
                </w:tcPr>
                <w:p w14:paraId="71141BF0" w14:textId="77777777" w:rsidR="001C32A7" w:rsidRPr="00B72DC4" w:rsidRDefault="001C32A7" w:rsidP="00954103">
                  <w:pPr>
                    <w:framePr w:hSpace="180" w:wrap="around" w:vAnchor="text" w:hAnchor="text" w:y="1"/>
                    <w:spacing w:after="0" w:line="240" w:lineRule="auto"/>
                    <w:suppressOverlap/>
                    <w:rPr>
                      <w:rFonts w:ascii="Times New Roman" w:eastAsia="Times New Roman" w:hAnsi="Times New Roman" w:cs="Times New Roman"/>
                      <w:lang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80B336"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Estimated</w:t>
                  </w:r>
                </w:p>
              </w:tc>
            </w:tr>
            <w:tr w:rsidR="001C32A7" w:rsidRPr="00B72DC4" w14:paraId="33A7169A" w14:textId="77777777" w:rsidTr="00954103">
              <w:trPr>
                <w:trHeight w:val="315"/>
              </w:trPr>
              <w:tc>
                <w:tcPr>
                  <w:tcW w:w="799" w:type="dxa"/>
                  <w:tcBorders>
                    <w:top w:val="nil"/>
                    <w:left w:val="single" w:sz="4" w:space="0" w:color="auto"/>
                    <w:bottom w:val="single" w:sz="4" w:space="0" w:color="auto"/>
                    <w:right w:val="single" w:sz="4" w:space="0" w:color="auto"/>
                  </w:tcBorders>
                  <w:shd w:val="clear" w:color="000000" w:fill="D9D9D9"/>
                  <w:noWrap/>
                  <w:vAlign w:val="bottom"/>
                  <w:hideMark/>
                </w:tcPr>
                <w:p w14:paraId="429D2140"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6914" w:type="dxa"/>
                  <w:tcBorders>
                    <w:top w:val="single" w:sz="4" w:space="0" w:color="auto"/>
                    <w:left w:val="nil"/>
                    <w:bottom w:val="single" w:sz="4" w:space="0" w:color="auto"/>
                    <w:right w:val="single" w:sz="4" w:space="0" w:color="auto"/>
                  </w:tcBorders>
                  <w:shd w:val="clear" w:color="000000" w:fill="D9D9D9"/>
                  <w:noWrap/>
                  <w:vAlign w:val="bottom"/>
                  <w:hideMark/>
                </w:tcPr>
                <w:p w14:paraId="2111718A"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Maintenance Kits</w:t>
                  </w:r>
                </w:p>
              </w:tc>
              <w:tc>
                <w:tcPr>
                  <w:tcW w:w="807" w:type="dxa"/>
                  <w:tcBorders>
                    <w:top w:val="single" w:sz="4" w:space="0" w:color="auto"/>
                    <w:left w:val="nil"/>
                    <w:bottom w:val="single" w:sz="4" w:space="0" w:color="auto"/>
                    <w:right w:val="single" w:sz="4" w:space="0" w:color="auto"/>
                  </w:tcBorders>
                  <w:shd w:val="clear" w:color="000000" w:fill="D9D9D9"/>
                  <w:noWrap/>
                  <w:vAlign w:val="bottom"/>
                  <w:hideMark/>
                </w:tcPr>
                <w:p w14:paraId="353D7414"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Quantity</w:t>
                  </w:r>
                </w:p>
              </w:tc>
              <w:tc>
                <w:tcPr>
                  <w:tcW w:w="996" w:type="dxa"/>
                  <w:tcBorders>
                    <w:top w:val="single" w:sz="4" w:space="0" w:color="auto"/>
                    <w:left w:val="nil"/>
                    <w:bottom w:val="single" w:sz="4" w:space="0" w:color="auto"/>
                    <w:right w:val="single" w:sz="4" w:space="0" w:color="auto"/>
                  </w:tcBorders>
                  <w:shd w:val="clear" w:color="000000" w:fill="D9D9D9"/>
                  <w:noWrap/>
                  <w:vAlign w:val="bottom"/>
                  <w:hideMark/>
                </w:tcPr>
                <w:p w14:paraId="119AFEE8"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 xml:space="preserve">Part No: </w:t>
                  </w:r>
                </w:p>
              </w:tc>
              <w:tc>
                <w:tcPr>
                  <w:tcW w:w="2852" w:type="dxa"/>
                  <w:tcBorders>
                    <w:top w:val="single" w:sz="4" w:space="0" w:color="auto"/>
                    <w:left w:val="nil"/>
                    <w:bottom w:val="single" w:sz="4" w:space="0" w:color="auto"/>
                    <w:right w:val="single" w:sz="4" w:space="0" w:color="auto"/>
                  </w:tcBorders>
                  <w:shd w:val="clear" w:color="000000" w:fill="D9D9D9"/>
                  <w:noWrap/>
                  <w:vAlign w:val="bottom"/>
                  <w:hideMark/>
                </w:tcPr>
                <w:p w14:paraId="0231C361"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Brand</w:t>
                  </w:r>
                </w:p>
              </w:tc>
              <w:tc>
                <w:tcPr>
                  <w:tcW w:w="891" w:type="dxa"/>
                  <w:tcBorders>
                    <w:top w:val="nil"/>
                    <w:left w:val="nil"/>
                    <w:bottom w:val="single" w:sz="4" w:space="0" w:color="auto"/>
                    <w:right w:val="single" w:sz="4" w:space="0" w:color="auto"/>
                  </w:tcBorders>
                  <w:shd w:val="clear" w:color="000000" w:fill="D9D9D9"/>
                  <w:noWrap/>
                  <w:vAlign w:val="bottom"/>
                  <w:hideMark/>
                </w:tcPr>
                <w:p w14:paraId="4A212373"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Unit Price</w:t>
                  </w:r>
                </w:p>
              </w:tc>
              <w:tc>
                <w:tcPr>
                  <w:tcW w:w="961" w:type="dxa"/>
                  <w:tcBorders>
                    <w:top w:val="nil"/>
                    <w:left w:val="nil"/>
                    <w:bottom w:val="single" w:sz="4" w:space="0" w:color="auto"/>
                    <w:right w:val="single" w:sz="4" w:space="0" w:color="auto"/>
                  </w:tcBorders>
                  <w:shd w:val="clear" w:color="000000" w:fill="D9D9D9"/>
                  <w:noWrap/>
                  <w:vAlign w:val="bottom"/>
                  <w:hideMark/>
                </w:tcPr>
                <w:p w14:paraId="7459C9FE"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Total Price</w:t>
                  </w:r>
                </w:p>
              </w:tc>
            </w:tr>
            <w:tr w:rsidR="001C32A7" w:rsidRPr="00B72DC4" w14:paraId="253906F7" w14:textId="77777777" w:rsidTr="00954103">
              <w:trPr>
                <w:trHeight w:val="3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2C1AD934"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6914" w:type="dxa"/>
                  <w:tcBorders>
                    <w:top w:val="nil"/>
                    <w:left w:val="nil"/>
                    <w:bottom w:val="single" w:sz="4" w:space="0" w:color="auto"/>
                    <w:right w:val="single" w:sz="4" w:space="0" w:color="auto"/>
                  </w:tcBorders>
                  <w:shd w:val="clear" w:color="auto" w:fill="auto"/>
                  <w:noWrap/>
                  <w:vAlign w:val="center"/>
                  <w:hideMark/>
                </w:tcPr>
                <w:p w14:paraId="1D0B6FC4"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proofErr w:type="spellStart"/>
                  <w:r w:rsidRPr="00B72DC4">
                    <w:rPr>
                      <w:rFonts w:ascii="Calibri" w:eastAsia="Times New Roman" w:hAnsi="Calibri" w:cs="Calibri"/>
                      <w:color w:val="000000"/>
                      <w:lang w:eastAsia="en-GB"/>
                    </w:rPr>
                    <w:t>Acquity</w:t>
                  </w:r>
                  <w:proofErr w:type="spellEnd"/>
                  <w:r w:rsidRPr="00B72DC4">
                    <w:rPr>
                      <w:rFonts w:ascii="Calibri" w:eastAsia="Times New Roman" w:hAnsi="Calibri" w:cs="Calibri"/>
                      <w:color w:val="000000"/>
                      <w:lang w:eastAsia="en-GB"/>
                    </w:rPr>
                    <w:t xml:space="preserve"> H </w:t>
                  </w:r>
                  <w:proofErr w:type="spellStart"/>
                  <w:r w:rsidRPr="00B72DC4">
                    <w:rPr>
                      <w:rFonts w:ascii="Calibri" w:eastAsia="Times New Roman" w:hAnsi="Calibri" w:cs="Calibri"/>
                      <w:color w:val="000000"/>
                      <w:lang w:eastAsia="en-GB"/>
                    </w:rPr>
                    <w:t>Qsm</w:t>
                  </w:r>
                  <w:proofErr w:type="spellEnd"/>
                  <w:r w:rsidRPr="00B72DC4">
                    <w:rPr>
                      <w:rFonts w:ascii="Calibri" w:eastAsia="Times New Roman" w:hAnsi="Calibri" w:cs="Calibri"/>
                      <w:color w:val="000000"/>
                      <w:lang w:eastAsia="en-GB"/>
                    </w:rPr>
                    <w:t xml:space="preserve"> Performance Maintenance Kit </w:t>
                  </w:r>
                </w:p>
              </w:tc>
              <w:tc>
                <w:tcPr>
                  <w:tcW w:w="807" w:type="dxa"/>
                  <w:tcBorders>
                    <w:top w:val="nil"/>
                    <w:left w:val="nil"/>
                    <w:bottom w:val="single" w:sz="4" w:space="0" w:color="auto"/>
                    <w:right w:val="single" w:sz="4" w:space="0" w:color="auto"/>
                  </w:tcBorders>
                  <w:shd w:val="clear" w:color="auto" w:fill="auto"/>
                  <w:noWrap/>
                  <w:vAlign w:val="center"/>
                  <w:hideMark/>
                </w:tcPr>
                <w:p w14:paraId="5ACB7DCE"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center"/>
                  <w:hideMark/>
                </w:tcPr>
                <w:p w14:paraId="4BA62C3D"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201000233</w:t>
                  </w:r>
                </w:p>
              </w:tc>
              <w:tc>
                <w:tcPr>
                  <w:tcW w:w="2852" w:type="dxa"/>
                  <w:tcBorders>
                    <w:top w:val="nil"/>
                    <w:left w:val="nil"/>
                    <w:bottom w:val="single" w:sz="4" w:space="0" w:color="auto"/>
                    <w:right w:val="single" w:sz="4" w:space="0" w:color="auto"/>
                  </w:tcBorders>
                  <w:shd w:val="clear" w:color="auto" w:fill="auto"/>
                  <w:noWrap/>
                  <w:vAlign w:val="center"/>
                  <w:hideMark/>
                </w:tcPr>
                <w:p w14:paraId="40FC0949"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 Waters, USA</w:t>
                  </w:r>
                </w:p>
              </w:tc>
              <w:tc>
                <w:tcPr>
                  <w:tcW w:w="891" w:type="dxa"/>
                  <w:tcBorders>
                    <w:top w:val="nil"/>
                    <w:left w:val="nil"/>
                    <w:bottom w:val="single" w:sz="4" w:space="0" w:color="auto"/>
                    <w:right w:val="single" w:sz="4" w:space="0" w:color="auto"/>
                  </w:tcBorders>
                  <w:shd w:val="clear" w:color="auto" w:fill="auto"/>
                  <w:noWrap/>
                  <w:vAlign w:val="bottom"/>
                  <w:hideMark/>
                </w:tcPr>
                <w:p w14:paraId="1FFD094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5A3892"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2C63C213" w14:textId="77777777" w:rsidTr="00954103">
              <w:trPr>
                <w:trHeight w:val="3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17CD07FA"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2</w:t>
                  </w:r>
                </w:p>
              </w:tc>
              <w:tc>
                <w:tcPr>
                  <w:tcW w:w="6914" w:type="dxa"/>
                  <w:tcBorders>
                    <w:top w:val="nil"/>
                    <w:left w:val="nil"/>
                    <w:bottom w:val="single" w:sz="4" w:space="0" w:color="auto"/>
                    <w:right w:val="single" w:sz="4" w:space="0" w:color="auto"/>
                  </w:tcBorders>
                  <w:shd w:val="clear" w:color="auto" w:fill="auto"/>
                  <w:noWrap/>
                  <w:vAlign w:val="center"/>
                  <w:hideMark/>
                </w:tcPr>
                <w:p w14:paraId="2FB7B7E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proofErr w:type="spellStart"/>
                  <w:r w:rsidRPr="00B72DC4">
                    <w:rPr>
                      <w:rFonts w:ascii="Calibri" w:eastAsia="Times New Roman" w:hAnsi="Calibri" w:cs="Calibri"/>
                      <w:color w:val="000000"/>
                      <w:lang w:eastAsia="en-GB"/>
                    </w:rPr>
                    <w:t>Acquity</w:t>
                  </w:r>
                  <w:proofErr w:type="spellEnd"/>
                  <w:r w:rsidRPr="00B72DC4">
                    <w:rPr>
                      <w:rFonts w:ascii="Calibri" w:eastAsia="Times New Roman" w:hAnsi="Calibri" w:cs="Calibri"/>
                      <w:color w:val="000000"/>
                      <w:lang w:eastAsia="en-GB"/>
                    </w:rPr>
                    <w:t xml:space="preserve"> H SM-FTN Performance </w:t>
                  </w:r>
                  <w:proofErr w:type="spellStart"/>
                  <w:r w:rsidRPr="00B72DC4">
                    <w:rPr>
                      <w:rFonts w:ascii="Calibri" w:eastAsia="Times New Roman" w:hAnsi="Calibri" w:cs="Calibri"/>
                      <w:color w:val="000000"/>
                      <w:lang w:eastAsia="en-GB"/>
                    </w:rPr>
                    <w:t>Maint</w:t>
                  </w:r>
                  <w:proofErr w:type="spellEnd"/>
                  <w:r w:rsidRPr="00B72DC4">
                    <w:rPr>
                      <w:rFonts w:ascii="Calibri" w:eastAsia="Times New Roman" w:hAnsi="Calibri" w:cs="Calibri"/>
                      <w:color w:val="000000"/>
                      <w:lang w:eastAsia="en-GB"/>
                    </w:rPr>
                    <w:t xml:space="preserve"> Kit </w:t>
                  </w:r>
                </w:p>
              </w:tc>
              <w:tc>
                <w:tcPr>
                  <w:tcW w:w="807" w:type="dxa"/>
                  <w:tcBorders>
                    <w:top w:val="nil"/>
                    <w:left w:val="nil"/>
                    <w:bottom w:val="single" w:sz="4" w:space="0" w:color="auto"/>
                    <w:right w:val="single" w:sz="4" w:space="0" w:color="auto"/>
                  </w:tcBorders>
                  <w:shd w:val="clear" w:color="auto" w:fill="auto"/>
                  <w:noWrap/>
                  <w:vAlign w:val="center"/>
                  <w:hideMark/>
                </w:tcPr>
                <w:p w14:paraId="361791C1"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center"/>
                  <w:hideMark/>
                </w:tcPr>
                <w:p w14:paraId="413F7BB8"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201000234</w:t>
                  </w:r>
                </w:p>
              </w:tc>
              <w:tc>
                <w:tcPr>
                  <w:tcW w:w="2852" w:type="dxa"/>
                  <w:tcBorders>
                    <w:top w:val="nil"/>
                    <w:left w:val="nil"/>
                    <w:bottom w:val="single" w:sz="4" w:space="0" w:color="auto"/>
                    <w:right w:val="single" w:sz="4" w:space="0" w:color="auto"/>
                  </w:tcBorders>
                  <w:shd w:val="clear" w:color="auto" w:fill="auto"/>
                  <w:noWrap/>
                  <w:vAlign w:val="center"/>
                  <w:hideMark/>
                </w:tcPr>
                <w:p w14:paraId="3B7A1D2F"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 Waters, USA</w:t>
                  </w:r>
                </w:p>
              </w:tc>
              <w:tc>
                <w:tcPr>
                  <w:tcW w:w="891" w:type="dxa"/>
                  <w:tcBorders>
                    <w:top w:val="nil"/>
                    <w:left w:val="nil"/>
                    <w:bottom w:val="single" w:sz="4" w:space="0" w:color="auto"/>
                    <w:right w:val="single" w:sz="4" w:space="0" w:color="auto"/>
                  </w:tcBorders>
                  <w:shd w:val="clear" w:color="auto" w:fill="auto"/>
                  <w:noWrap/>
                  <w:vAlign w:val="bottom"/>
                  <w:hideMark/>
                </w:tcPr>
                <w:p w14:paraId="56BE57A9"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F35C216"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35F5693D" w14:textId="77777777" w:rsidTr="00954103">
              <w:trPr>
                <w:trHeight w:val="3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0A1924F4"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3</w:t>
                  </w:r>
                </w:p>
              </w:tc>
              <w:tc>
                <w:tcPr>
                  <w:tcW w:w="6914" w:type="dxa"/>
                  <w:tcBorders>
                    <w:top w:val="nil"/>
                    <w:left w:val="nil"/>
                    <w:bottom w:val="single" w:sz="4" w:space="0" w:color="auto"/>
                    <w:right w:val="single" w:sz="4" w:space="0" w:color="auto"/>
                  </w:tcBorders>
                  <w:shd w:val="clear" w:color="auto" w:fill="auto"/>
                  <w:noWrap/>
                  <w:vAlign w:val="center"/>
                  <w:hideMark/>
                </w:tcPr>
                <w:p w14:paraId="01AB5426"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proofErr w:type="spellStart"/>
                  <w:r w:rsidRPr="00B72DC4">
                    <w:rPr>
                      <w:rFonts w:ascii="Calibri" w:eastAsia="Times New Roman" w:hAnsi="Calibri" w:cs="Calibri"/>
                      <w:color w:val="000000"/>
                      <w:lang w:eastAsia="en-GB"/>
                    </w:rPr>
                    <w:t>Xevo</w:t>
                  </w:r>
                  <w:proofErr w:type="spellEnd"/>
                  <w:r w:rsidRPr="00B72DC4">
                    <w:rPr>
                      <w:rFonts w:ascii="Calibri" w:eastAsia="Times New Roman" w:hAnsi="Calibri" w:cs="Calibri"/>
                      <w:color w:val="000000"/>
                      <w:lang w:eastAsia="en-GB"/>
                    </w:rPr>
                    <w:t xml:space="preserve"> TQD / SQD 2 (Rotary Pump) Performance Maintenance Kit,  </w:t>
                  </w:r>
                </w:p>
              </w:tc>
              <w:tc>
                <w:tcPr>
                  <w:tcW w:w="807" w:type="dxa"/>
                  <w:tcBorders>
                    <w:top w:val="nil"/>
                    <w:left w:val="nil"/>
                    <w:bottom w:val="single" w:sz="4" w:space="0" w:color="auto"/>
                    <w:right w:val="single" w:sz="4" w:space="0" w:color="auto"/>
                  </w:tcBorders>
                  <w:shd w:val="clear" w:color="auto" w:fill="auto"/>
                  <w:noWrap/>
                  <w:vAlign w:val="center"/>
                  <w:hideMark/>
                </w:tcPr>
                <w:p w14:paraId="24C7EF6D"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center"/>
                  <w:hideMark/>
                </w:tcPr>
                <w:p w14:paraId="2538F63A"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201000252</w:t>
                  </w:r>
                </w:p>
              </w:tc>
              <w:tc>
                <w:tcPr>
                  <w:tcW w:w="2852" w:type="dxa"/>
                  <w:tcBorders>
                    <w:top w:val="nil"/>
                    <w:left w:val="nil"/>
                    <w:bottom w:val="single" w:sz="4" w:space="0" w:color="auto"/>
                    <w:right w:val="single" w:sz="4" w:space="0" w:color="auto"/>
                  </w:tcBorders>
                  <w:shd w:val="clear" w:color="auto" w:fill="auto"/>
                  <w:noWrap/>
                  <w:vAlign w:val="center"/>
                  <w:hideMark/>
                </w:tcPr>
                <w:p w14:paraId="154AE072"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 Waters, USA</w:t>
                  </w:r>
                </w:p>
              </w:tc>
              <w:tc>
                <w:tcPr>
                  <w:tcW w:w="891" w:type="dxa"/>
                  <w:tcBorders>
                    <w:top w:val="nil"/>
                    <w:left w:val="nil"/>
                    <w:bottom w:val="single" w:sz="4" w:space="0" w:color="auto"/>
                    <w:right w:val="single" w:sz="4" w:space="0" w:color="auto"/>
                  </w:tcBorders>
                  <w:shd w:val="clear" w:color="auto" w:fill="auto"/>
                  <w:noWrap/>
                  <w:vAlign w:val="bottom"/>
                  <w:hideMark/>
                </w:tcPr>
                <w:p w14:paraId="749132ED"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15BB32D"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4DAAAA8C" w14:textId="77777777" w:rsidTr="00954103">
              <w:trPr>
                <w:trHeight w:val="3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22D3233A"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4</w:t>
                  </w:r>
                </w:p>
              </w:tc>
              <w:tc>
                <w:tcPr>
                  <w:tcW w:w="6914" w:type="dxa"/>
                  <w:tcBorders>
                    <w:top w:val="nil"/>
                    <w:left w:val="nil"/>
                    <w:bottom w:val="single" w:sz="4" w:space="0" w:color="auto"/>
                    <w:right w:val="single" w:sz="4" w:space="0" w:color="auto"/>
                  </w:tcBorders>
                  <w:shd w:val="clear" w:color="auto" w:fill="auto"/>
                  <w:noWrap/>
                  <w:vAlign w:val="center"/>
                  <w:hideMark/>
                </w:tcPr>
                <w:p w14:paraId="18FB33C0"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proofErr w:type="spellStart"/>
                  <w:r w:rsidRPr="00B72DC4">
                    <w:rPr>
                      <w:rFonts w:ascii="Calibri" w:eastAsia="Times New Roman" w:hAnsi="Calibri" w:cs="Calibri"/>
                      <w:color w:val="000000"/>
                      <w:lang w:eastAsia="en-GB"/>
                    </w:rPr>
                    <w:t>Xevo</w:t>
                  </w:r>
                  <w:proofErr w:type="spellEnd"/>
                  <w:r w:rsidRPr="00B72DC4">
                    <w:rPr>
                      <w:rFonts w:ascii="Calibri" w:eastAsia="Times New Roman" w:hAnsi="Calibri" w:cs="Calibri"/>
                      <w:color w:val="000000"/>
                      <w:lang w:eastAsia="en-GB"/>
                    </w:rPr>
                    <w:t xml:space="preserve"> TQD Standard Kit  </w:t>
                  </w:r>
                </w:p>
              </w:tc>
              <w:tc>
                <w:tcPr>
                  <w:tcW w:w="807" w:type="dxa"/>
                  <w:tcBorders>
                    <w:top w:val="nil"/>
                    <w:left w:val="nil"/>
                    <w:bottom w:val="single" w:sz="4" w:space="0" w:color="auto"/>
                    <w:right w:val="single" w:sz="4" w:space="0" w:color="auto"/>
                  </w:tcBorders>
                  <w:shd w:val="clear" w:color="auto" w:fill="auto"/>
                  <w:noWrap/>
                  <w:vAlign w:val="center"/>
                  <w:hideMark/>
                </w:tcPr>
                <w:p w14:paraId="77FD11C2"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center"/>
                  <w:hideMark/>
                </w:tcPr>
                <w:p w14:paraId="429F247B"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700006006</w:t>
                  </w:r>
                </w:p>
              </w:tc>
              <w:tc>
                <w:tcPr>
                  <w:tcW w:w="2852" w:type="dxa"/>
                  <w:tcBorders>
                    <w:top w:val="nil"/>
                    <w:left w:val="nil"/>
                    <w:bottom w:val="single" w:sz="4" w:space="0" w:color="auto"/>
                    <w:right w:val="single" w:sz="4" w:space="0" w:color="auto"/>
                  </w:tcBorders>
                  <w:shd w:val="clear" w:color="auto" w:fill="auto"/>
                  <w:noWrap/>
                  <w:vAlign w:val="center"/>
                  <w:hideMark/>
                </w:tcPr>
                <w:p w14:paraId="6E4756D3"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 Waters, USA</w:t>
                  </w:r>
                </w:p>
              </w:tc>
              <w:tc>
                <w:tcPr>
                  <w:tcW w:w="891" w:type="dxa"/>
                  <w:tcBorders>
                    <w:top w:val="nil"/>
                    <w:left w:val="nil"/>
                    <w:bottom w:val="single" w:sz="4" w:space="0" w:color="auto"/>
                    <w:right w:val="single" w:sz="4" w:space="0" w:color="auto"/>
                  </w:tcBorders>
                  <w:shd w:val="clear" w:color="auto" w:fill="auto"/>
                  <w:noWrap/>
                  <w:vAlign w:val="bottom"/>
                  <w:hideMark/>
                </w:tcPr>
                <w:p w14:paraId="41DADC2E"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43DB08C"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2343A373" w14:textId="77777777" w:rsidTr="00954103">
              <w:trPr>
                <w:trHeight w:val="3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275DA5D6"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5</w:t>
                  </w:r>
                </w:p>
              </w:tc>
              <w:tc>
                <w:tcPr>
                  <w:tcW w:w="6914" w:type="dxa"/>
                  <w:tcBorders>
                    <w:top w:val="nil"/>
                    <w:left w:val="nil"/>
                    <w:bottom w:val="single" w:sz="4" w:space="0" w:color="auto"/>
                    <w:right w:val="single" w:sz="4" w:space="0" w:color="auto"/>
                  </w:tcBorders>
                  <w:shd w:val="clear" w:color="auto" w:fill="auto"/>
                  <w:noWrap/>
                  <w:vAlign w:val="center"/>
                  <w:hideMark/>
                </w:tcPr>
                <w:p w14:paraId="4EAFC893"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ACQUITY UPLC HSS PFP/</w:t>
                  </w:r>
                  <w:proofErr w:type="spellStart"/>
                  <w:r w:rsidRPr="00B72DC4">
                    <w:rPr>
                      <w:rFonts w:ascii="Calibri" w:eastAsia="Times New Roman" w:hAnsi="Calibri" w:cs="Calibri"/>
                      <w:color w:val="000000"/>
                      <w:lang w:eastAsia="en-GB"/>
                    </w:rPr>
                    <w:t>Fluoro</w:t>
                  </w:r>
                  <w:proofErr w:type="spellEnd"/>
                  <w:r w:rsidRPr="00B72DC4">
                    <w:rPr>
                      <w:rFonts w:ascii="Calibri" w:eastAsia="Times New Roman" w:hAnsi="Calibri" w:cs="Calibri"/>
                      <w:color w:val="000000"/>
                      <w:lang w:eastAsia="en-GB"/>
                    </w:rPr>
                    <w:t>-Phenyl Column, 100Å, 1.8 µm, 2.1 mm X 100 mm</w:t>
                  </w:r>
                </w:p>
              </w:tc>
              <w:tc>
                <w:tcPr>
                  <w:tcW w:w="807" w:type="dxa"/>
                  <w:tcBorders>
                    <w:top w:val="nil"/>
                    <w:left w:val="nil"/>
                    <w:bottom w:val="single" w:sz="4" w:space="0" w:color="auto"/>
                    <w:right w:val="single" w:sz="4" w:space="0" w:color="auto"/>
                  </w:tcBorders>
                  <w:shd w:val="clear" w:color="auto" w:fill="auto"/>
                  <w:noWrap/>
                  <w:vAlign w:val="center"/>
                  <w:hideMark/>
                </w:tcPr>
                <w:p w14:paraId="48AE9455"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 pack</w:t>
                  </w:r>
                </w:p>
              </w:tc>
              <w:tc>
                <w:tcPr>
                  <w:tcW w:w="996" w:type="dxa"/>
                  <w:tcBorders>
                    <w:top w:val="nil"/>
                    <w:left w:val="nil"/>
                    <w:bottom w:val="single" w:sz="4" w:space="0" w:color="auto"/>
                    <w:right w:val="single" w:sz="4" w:space="0" w:color="auto"/>
                  </w:tcBorders>
                  <w:shd w:val="clear" w:color="auto" w:fill="auto"/>
                  <w:noWrap/>
                  <w:vAlign w:val="center"/>
                  <w:hideMark/>
                </w:tcPr>
                <w:p w14:paraId="6C7D4E0D"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186005967</w:t>
                  </w:r>
                </w:p>
              </w:tc>
              <w:tc>
                <w:tcPr>
                  <w:tcW w:w="2852" w:type="dxa"/>
                  <w:tcBorders>
                    <w:top w:val="nil"/>
                    <w:left w:val="nil"/>
                    <w:bottom w:val="single" w:sz="4" w:space="0" w:color="auto"/>
                    <w:right w:val="single" w:sz="4" w:space="0" w:color="auto"/>
                  </w:tcBorders>
                  <w:shd w:val="clear" w:color="auto" w:fill="auto"/>
                  <w:noWrap/>
                  <w:vAlign w:val="center"/>
                  <w:hideMark/>
                </w:tcPr>
                <w:p w14:paraId="1E284C60"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 Waters, USA</w:t>
                  </w:r>
                </w:p>
              </w:tc>
              <w:tc>
                <w:tcPr>
                  <w:tcW w:w="891" w:type="dxa"/>
                  <w:tcBorders>
                    <w:top w:val="nil"/>
                    <w:left w:val="nil"/>
                    <w:bottom w:val="single" w:sz="4" w:space="0" w:color="auto"/>
                    <w:right w:val="single" w:sz="4" w:space="0" w:color="auto"/>
                  </w:tcBorders>
                  <w:shd w:val="clear" w:color="auto" w:fill="auto"/>
                  <w:noWrap/>
                  <w:vAlign w:val="bottom"/>
                  <w:hideMark/>
                </w:tcPr>
                <w:p w14:paraId="0B06B7E6"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BC9AECD"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165BDD30" w14:textId="77777777" w:rsidTr="00954103">
              <w:trPr>
                <w:trHeight w:val="3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74E2365C"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6</w:t>
                  </w:r>
                </w:p>
              </w:tc>
              <w:tc>
                <w:tcPr>
                  <w:tcW w:w="6914" w:type="dxa"/>
                  <w:tcBorders>
                    <w:top w:val="nil"/>
                    <w:left w:val="nil"/>
                    <w:bottom w:val="single" w:sz="4" w:space="0" w:color="auto"/>
                    <w:right w:val="single" w:sz="4" w:space="0" w:color="auto"/>
                  </w:tcBorders>
                  <w:shd w:val="clear" w:color="auto" w:fill="auto"/>
                  <w:noWrap/>
                  <w:vAlign w:val="center"/>
                  <w:hideMark/>
                </w:tcPr>
                <w:p w14:paraId="254C617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ACQUITYUPLC® BEH C18 1.7 µm2.1 X100 mm column</w:t>
                  </w:r>
                </w:p>
              </w:tc>
              <w:tc>
                <w:tcPr>
                  <w:tcW w:w="807" w:type="dxa"/>
                  <w:tcBorders>
                    <w:top w:val="nil"/>
                    <w:left w:val="nil"/>
                    <w:bottom w:val="single" w:sz="4" w:space="0" w:color="auto"/>
                    <w:right w:val="single" w:sz="4" w:space="0" w:color="auto"/>
                  </w:tcBorders>
                  <w:shd w:val="clear" w:color="auto" w:fill="auto"/>
                  <w:noWrap/>
                  <w:vAlign w:val="center"/>
                  <w:hideMark/>
                </w:tcPr>
                <w:p w14:paraId="7E448179"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center"/>
                  <w:hideMark/>
                </w:tcPr>
                <w:p w14:paraId="2527FE56"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186002352</w:t>
                  </w:r>
                </w:p>
              </w:tc>
              <w:tc>
                <w:tcPr>
                  <w:tcW w:w="2852" w:type="dxa"/>
                  <w:tcBorders>
                    <w:top w:val="nil"/>
                    <w:left w:val="nil"/>
                    <w:bottom w:val="single" w:sz="4" w:space="0" w:color="auto"/>
                    <w:right w:val="single" w:sz="4" w:space="0" w:color="auto"/>
                  </w:tcBorders>
                  <w:shd w:val="clear" w:color="auto" w:fill="auto"/>
                  <w:noWrap/>
                  <w:vAlign w:val="center"/>
                  <w:hideMark/>
                </w:tcPr>
                <w:p w14:paraId="0A54FAFE"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 Waters, USA</w:t>
                  </w:r>
                </w:p>
              </w:tc>
              <w:tc>
                <w:tcPr>
                  <w:tcW w:w="891" w:type="dxa"/>
                  <w:tcBorders>
                    <w:top w:val="nil"/>
                    <w:left w:val="nil"/>
                    <w:bottom w:val="single" w:sz="4" w:space="0" w:color="auto"/>
                    <w:right w:val="single" w:sz="4" w:space="0" w:color="auto"/>
                  </w:tcBorders>
                  <w:shd w:val="clear" w:color="auto" w:fill="auto"/>
                  <w:noWrap/>
                  <w:vAlign w:val="bottom"/>
                  <w:hideMark/>
                </w:tcPr>
                <w:p w14:paraId="792D9C44"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5D0CD2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6A4B1BEB" w14:textId="77777777" w:rsidTr="00954103">
              <w:trPr>
                <w:trHeight w:val="315"/>
              </w:trPr>
              <w:tc>
                <w:tcPr>
                  <w:tcW w:w="799" w:type="dxa"/>
                  <w:tcBorders>
                    <w:top w:val="nil"/>
                    <w:left w:val="single" w:sz="4" w:space="0" w:color="auto"/>
                    <w:bottom w:val="single" w:sz="4" w:space="0" w:color="auto"/>
                    <w:right w:val="single" w:sz="4" w:space="0" w:color="auto"/>
                  </w:tcBorders>
                  <w:shd w:val="clear" w:color="000000" w:fill="D9D9D9"/>
                  <w:noWrap/>
                  <w:vAlign w:val="center"/>
                  <w:hideMark/>
                </w:tcPr>
                <w:p w14:paraId="5D4149DC"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p>
              </w:tc>
              <w:tc>
                <w:tcPr>
                  <w:tcW w:w="6914" w:type="dxa"/>
                  <w:tcBorders>
                    <w:top w:val="nil"/>
                    <w:left w:val="nil"/>
                    <w:bottom w:val="single" w:sz="4" w:space="0" w:color="auto"/>
                    <w:right w:val="single" w:sz="4" w:space="0" w:color="auto"/>
                  </w:tcBorders>
                  <w:shd w:val="clear" w:color="000000" w:fill="D9D9D9"/>
                  <w:noWrap/>
                  <w:vAlign w:val="center"/>
                  <w:hideMark/>
                </w:tcPr>
                <w:p w14:paraId="2CBB6B71"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Chemicals</w:t>
                  </w:r>
                </w:p>
              </w:tc>
              <w:tc>
                <w:tcPr>
                  <w:tcW w:w="807" w:type="dxa"/>
                  <w:tcBorders>
                    <w:top w:val="nil"/>
                    <w:left w:val="nil"/>
                    <w:bottom w:val="single" w:sz="4" w:space="0" w:color="auto"/>
                    <w:right w:val="single" w:sz="4" w:space="0" w:color="auto"/>
                  </w:tcBorders>
                  <w:shd w:val="clear" w:color="000000" w:fill="D9D9D9"/>
                  <w:noWrap/>
                  <w:vAlign w:val="center"/>
                  <w:hideMark/>
                </w:tcPr>
                <w:p w14:paraId="2D15A4D2"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p>
              </w:tc>
              <w:tc>
                <w:tcPr>
                  <w:tcW w:w="996" w:type="dxa"/>
                  <w:tcBorders>
                    <w:top w:val="nil"/>
                    <w:left w:val="nil"/>
                    <w:bottom w:val="single" w:sz="4" w:space="0" w:color="auto"/>
                    <w:right w:val="single" w:sz="4" w:space="0" w:color="auto"/>
                  </w:tcBorders>
                  <w:shd w:val="clear" w:color="000000" w:fill="D9D9D9"/>
                  <w:noWrap/>
                  <w:vAlign w:val="bottom"/>
                  <w:hideMark/>
                </w:tcPr>
                <w:p w14:paraId="3260CCCE"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000000" w:fill="D9D9D9"/>
                  <w:noWrap/>
                  <w:vAlign w:val="center"/>
                  <w:hideMark/>
                </w:tcPr>
                <w:p w14:paraId="469DBD5F"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891" w:type="dxa"/>
                  <w:tcBorders>
                    <w:top w:val="nil"/>
                    <w:left w:val="nil"/>
                    <w:bottom w:val="single" w:sz="4" w:space="0" w:color="auto"/>
                    <w:right w:val="single" w:sz="4" w:space="0" w:color="auto"/>
                  </w:tcBorders>
                  <w:shd w:val="clear" w:color="000000" w:fill="D9D9D9"/>
                  <w:noWrap/>
                  <w:vAlign w:val="bottom"/>
                  <w:hideMark/>
                </w:tcPr>
                <w:p w14:paraId="2C76CABE"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000000" w:fill="D9D9D9"/>
                  <w:noWrap/>
                  <w:vAlign w:val="bottom"/>
                  <w:hideMark/>
                </w:tcPr>
                <w:p w14:paraId="644C9DB5"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0AE70DD6" w14:textId="77777777" w:rsidTr="00954103">
              <w:trPr>
                <w:trHeight w:val="48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5E7AE72D"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7</w:t>
                  </w:r>
                </w:p>
              </w:tc>
              <w:tc>
                <w:tcPr>
                  <w:tcW w:w="6914" w:type="dxa"/>
                  <w:tcBorders>
                    <w:top w:val="nil"/>
                    <w:left w:val="nil"/>
                    <w:bottom w:val="single" w:sz="4" w:space="0" w:color="auto"/>
                    <w:right w:val="single" w:sz="4" w:space="0" w:color="auto"/>
                  </w:tcBorders>
                  <w:shd w:val="clear" w:color="auto" w:fill="auto"/>
                  <w:noWrap/>
                  <w:vAlign w:val="center"/>
                  <w:hideMark/>
                </w:tcPr>
                <w:p w14:paraId="2C039D43"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Formic acid for mass spectrometry, ~98%, 50ml CAS Number: 64-18-6</w:t>
                  </w:r>
                </w:p>
              </w:tc>
              <w:tc>
                <w:tcPr>
                  <w:tcW w:w="807" w:type="dxa"/>
                  <w:tcBorders>
                    <w:top w:val="nil"/>
                    <w:left w:val="nil"/>
                    <w:bottom w:val="single" w:sz="4" w:space="0" w:color="auto"/>
                    <w:right w:val="single" w:sz="4" w:space="0" w:color="auto"/>
                  </w:tcBorders>
                  <w:shd w:val="clear" w:color="auto" w:fill="auto"/>
                  <w:noWrap/>
                  <w:vAlign w:val="center"/>
                  <w:hideMark/>
                </w:tcPr>
                <w:p w14:paraId="21B4ED1B"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2</w:t>
                  </w:r>
                </w:p>
              </w:tc>
              <w:tc>
                <w:tcPr>
                  <w:tcW w:w="996" w:type="dxa"/>
                  <w:tcBorders>
                    <w:top w:val="nil"/>
                    <w:left w:val="nil"/>
                    <w:bottom w:val="single" w:sz="4" w:space="0" w:color="auto"/>
                    <w:right w:val="single" w:sz="4" w:space="0" w:color="auto"/>
                  </w:tcBorders>
                  <w:shd w:val="clear" w:color="auto" w:fill="auto"/>
                  <w:noWrap/>
                  <w:vAlign w:val="bottom"/>
                  <w:hideMark/>
                </w:tcPr>
                <w:p w14:paraId="34F8EF83"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auto" w:fill="auto"/>
                  <w:vAlign w:val="center"/>
                  <w:hideMark/>
                </w:tcPr>
                <w:p w14:paraId="4D09521A"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Sigma-Aldrich/Honeywell/ </w:t>
                  </w:r>
                  <w:proofErr w:type="spellStart"/>
                  <w:r w:rsidRPr="00B72DC4">
                    <w:rPr>
                      <w:rFonts w:ascii="Calibri" w:eastAsia="Times New Roman" w:hAnsi="Calibri" w:cs="Calibri"/>
                      <w:color w:val="000000"/>
                      <w:lang w:eastAsia="en-GB"/>
                    </w:rPr>
                    <w:t>Dr.</w:t>
                  </w:r>
                  <w:proofErr w:type="spellEnd"/>
                  <w:r w:rsidRPr="00B72DC4">
                    <w:rPr>
                      <w:rFonts w:ascii="Calibri" w:eastAsia="Times New Roman" w:hAnsi="Calibri" w:cs="Calibri"/>
                      <w:color w:val="000000"/>
                      <w:lang w:eastAsia="en-GB"/>
                    </w:rPr>
                    <w:t xml:space="preserve"> </w:t>
                  </w:r>
                  <w:proofErr w:type="spellStart"/>
                  <w:r w:rsidRPr="00B72DC4">
                    <w:rPr>
                      <w:rFonts w:ascii="Calibri" w:eastAsia="Times New Roman" w:hAnsi="Calibri" w:cs="Calibri"/>
                      <w:color w:val="000000"/>
                      <w:lang w:eastAsia="en-GB"/>
                    </w:rPr>
                    <w:t>Ehrenstorfer</w:t>
                  </w:r>
                  <w:proofErr w:type="spellEnd"/>
                  <w:r w:rsidRPr="00B72DC4">
                    <w:rPr>
                      <w:rFonts w:ascii="Calibri" w:eastAsia="Times New Roman" w:hAnsi="Calibri" w:cs="Calibri"/>
                      <w:color w:val="000000"/>
                      <w:lang w:eastAsia="en-GB"/>
                    </w:rPr>
                    <w:t>/</w:t>
                  </w:r>
                  <w:proofErr w:type="spellStart"/>
                  <w:r w:rsidRPr="00B72DC4">
                    <w:rPr>
                      <w:rFonts w:ascii="Calibri" w:eastAsia="Times New Roman" w:hAnsi="Calibri" w:cs="Calibri"/>
                      <w:color w:val="000000"/>
                      <w:lang w:eastAsia="en-GB"/>
                    </w:rPr>
                    <w:t>Restek</w:t>
                  </w:r>
                  <w:proofErr w:type="spellEnd"/>
                  <w:r w:rsidRPr="00B72DC4">
                    <w:rPr>
                      <w:rFonts w:ascii="Calibri" w:eastAsia="Times New Roman" w:hAnsi="Calibri" w:cs="Calibri"/>
                      <w:color w:val="000000"/>
                      <w:lang w:eastAsia="en-GB"/>
                    </w:rPr>
                    <w:t>/BOC</w:t>
                  </w:r>
                </w:p>
              </w:tc>
              <w:tc>
                <w:tcPr>
                  <w:tcW w:w="891" w:type="dxa"/>
                  <w:tcBorders>
                    <w:top w:val="nil"/>
                    <w:left w:val="nil"/>
                    <w:bottom w:val="single" w:sz="4" w:space="0" w:color="auto"/>
                    <w:right w:val="single" w:sz="4" w:space="0" w:color="auto"/>
                  </w:tcBorders>
                  <w:shd w:val="clear" w:color="auto" w:fill="auto"/>
                  <w:noWrap/>
                  <w:vAlign w:val="bottom"/>
                  <w:hideMark/>
                </w:tcPr>
                <w:p w14:paraId="799F7D4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6969BE1"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630D93AE" w14:textId="77777777" w:rsidTr="00954103">
              <w:trPr>
                <w:trHeight w:val="48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5D0A9166"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8</w:t>
                  </w:r>
                </w:p>
              </w:tc>
              <w:tc>
                <w:tcPr>
                  <w:tcW w:w="6914" w:type="dxa"/>
                  <w:tcBorders>
                    <w:top w:val="nil"/>
                    <w:left w:val="nil"/>
                    <w:bottom w:val="single" w:sz="4" w:space="0" w:color="auto"/>
                    <w:right w:val="single" w:sz="4" w:space="0" w:color="auto"/>
                  </w:tcBorders>
                  <w:shd w:val="clear" w:color="auto" w:fill="auto"/>
                  <w:vAlign w:val="center"/>
                  <w:hideMark/>
                </w:tcPr>
                <w:p w14:paraId="7978DAE8"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Gentamicin </w:t>
                  </w:r>
                  <w:proofErr w:type="spellStart"/>
                  <w:r w:rsidRPr="00B72DC4">
                    <w:rPr>
                      <w:rFonts w:ascii="Calibri" w:eastAsia="Times New Roman" w:hAnsi="Calibri" w:cs="Calibri"/>
                      <w:color w:val="000000"/>
                      <w:lang w:eastAsia="en-GB"/>
                    </w:rPr>
                    <w:t>sulfate</w:t>
                  </w:r>
                  <w:proofErr w:type="spellEnd"/>
                  <w:r w:rsidRPr="00B72DC4">
                    <w:rPr>
                      <w:rFonts w:ascii="Calibri" w:eastAsia="Times New Roman" w:hAnsi="Calibri" w:cs="Calibri"/>
                      <w:color w:val="000000"/>
                      <w:lang w:eastAsia="en-GB"/>
                    </w:rPr>
                    <w:t xml:space="preserve"> salt </w:t>
                  </w:r>
                  <w:proofErr w:type="spellStart"/>
                  <w:r w:rsidRPr="00B72DC4">
                    <w:rPr>
                      <w:rFonts w:ascii="Calibri" w:eastAsia="Times New Roman" w:hAnsi="Calibri" w:cs="Calibri"/>
                      <w:color w:val="000000"/>
                      <w:lang w:eastAsia="en-GB"/>
                    </w:rPr>
                    <w:t>hydrateVETRANAL</w:t>
                  </w:r>
                  <w:proofErr w:type="spellEnd"/>
                  <w:r w:rsidRPr="00B72DC4">
                    <w:rPr>
                      <w:rFonts w:ascii="Calibri" w:eastAsia="Times New Roman" w:hAnsi="Calibri" w:cs="Calibri"/>
                      <w:color w:val="000000"/>
                      <w:lang w:eastAsia="en-GB"/>
                    </w:rPr>
                    <w:t>™, 250 mg analytical standard application(s) HPLC: suitable gas chromatography (GC): suitable storage temp. 2-8°C</w:t>
                  </w:r>
                </w:p>
              </w:tc>
              <w:tc>
                <w:tcPr>
                  <w:tcW w:w="807" w:type="dxa"/>
                  <w:tcBorders>
                    <w:top w:val="nil"/>
                    <w:left w:val="nil"/>
                    <w:bottom w:val="single" w:sz="4" w:space="0" w:color="auto"/>
                    <w:right w:val="single" w:sz="4" w:space="0" w:color="auto"/>
                  </w:tcBorders>
                  <w:shd w:val="clear" w:color="auto" w:fill="auto"/>
                  <w:noWrap/>
                  <w:vAlign w:val="center"/>
                  <w:hideMark/>
                </w:tcPr>
                <w:p w14:paraId="2C72E2DB"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bottom"/>
                  <w:hideMark/>
                </w:tcPr>
                <w:p w14:paraId="4E75A6AD"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auto" w:fill="auto"/>
                  <w:vAlign w:val="center"/>
                  <w:hideMark/>
                </w:tcPr>
                <w:p w14:paraId="128820C1"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Sigma-Aldrich/Honeywell/ </w:t>
                  </w:r>
                  <w:proofErr w:type="spellStart"/>
                  <w:r w:rsidRPr="00B72DC4">
                    <w:rPr>
                      <w:rFonts w:ascii="Calibri" w:eastAsia="Times New Roman" w:hAnsi="Calibri" w:cs="Calibri"/>
                      <w:color w:val="000000"/>
                      <w:lang w:eastAsia="en-GB"/>
                    </w:rPr>
                    <w:t>Dr.</w:t>
                  </w:r>
                  <w:proofErr w:type="spellEnd"/>
                  <w:r w:rsidRPr="00B72DC4">
                    <w:rPr>
                      <w:rFonts w:ascii="Calibri" w:eastAsia="Times New Roman" w:hAnsi="Calibri" w:cs="Calibri"/>
                      <w:color w:val="000000"/>
                      <w:lang w:eastAsia="en-GB"/>
                    </w:rPr>
                    <w:t xml:space="preserve"> </w:t>
                  </w:r>
                  <w:proofErr w:type="spellStart"/>
                  <w:r w:rsidRPr="00B72DC4">
                    <w:rPr>
                      <w:rFonts w:ascii="Calibri" w:eastAsia="Times New Roman" w:hAnsi="Calibri" w:cs="Calibri"/>
                      <w:color w:val="000000"/>
                      <w:lang w:eastAsia="en-GB"/>
                    </w:rPr>
                    <w:t>Ehrenstorfer</w:t>
                  </w:r>
                  <w:proofErr w:type="spellEnd"/>
                  <w:r w:rsidRPr="00B72DC4">
                    <w:rPr>
                      <w:rFonts w:ascii="Calibri" w:eastAsia="Times New Roman" w:hAnsi="Calibri" w:cs="Calibri"/>
                      <w:color w:val="000000"/>
                      <w:lang w:eastAsia="en-GB"/>
                    </w:rPr>
                    <w:t>/</w:t>
                  </w:r>
                  <w:proofErr w:type="spellStart"/>
                  <w:r w:rsidRPr="00B72DC4">
                    <w:rPr>
                      <w:rFonts w:ascii="Calibri" w:eastAsia="Times New Roman" w:hAnsi="Calibri" w:cs="Calibri"/>
                      <w:color w:val="000000"/>
                      <w:lang w:eastAsia="en-GB"/>
                    </w:rPr>
                    <w:t>Restek</w:t>
                  </w:r>
                  <w:proofErr w:type="spellEnd"/>
                  <w:r w:rsidRPr="00B72DC4">
                    <w:rPr>
                      <w:rFonts w:ascii="Calibri" w:eastAsia="Times New Roman" w:hAnsi="Calibri" w:cs="Calibri"/>
                      <w:color w:val="000000"/>
                      <w:lang w:eastAsia="en-GB"/>
                    </w:rPr>
                    <w:t>/BOC</w:t>
                  </w:r>
                </w:p>
              </w:tc>
              <w:tc>
                <w:tcPr>
                  <w:tcW w:w="891" w:type="dxa"/>
                  <w:tcBorders>
                    <w:top w:val="nil"/>
                    <w:left w:val="nil"/>
                    <w:bottom w:val="single" w:sz="4" w:space="0" w:color="auto"/>
                    <w:right w:val="single" w:sz="4" w:space="0" w:color="auto"/>
                  </w:tcBorders>
                  <w:shd w:val="clear" w:color="auto" w:fill="auto"/>
                  <w:noWrap/>
                  <w:vAlign w:val="bottom"/>
                  <w:hideMark/>
                </w:tcPr>
                <w:p w14:paraId="0B5D40C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38B5376"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32689513" w14:textId="77777777" w:rsidTr="00954103">
              <w:trPr>
                <w:trHeight w:val="48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1AE774CC"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9</w:t>
                  </w:r>
                </w:p>
              </w:tc>
              <w:tc>
                <w:tcPr>
                  <w:tcW w:w="6914" w:type="dxa"/>
                  <w:tcBorders>
                    <w:top w:val="nil"/>
                    <w:left w:val="nil"/>
                    <w:bottom w:val="single" w:sz="4" w:space="0" w:color="auto"/>
                    <w:right w:val="single" w:sz="4" w:space="0" w:color="auto"/>
                  </w:tcBorders>
                  <w:shd w:val="clear" w:color="auto" w:fill="auto"/>
                  <w:noWrap/>
                  <w:vAlign w:val="center"/>
                  <w:hideMark/>
                </w:tcPr>
                <w:p w14:paraId="3C786FE1"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proofErr w:type="spellStart"/>
                  <w:r w:rsidRPr="00B72DC4">
                    <w:rPr>
                      <w:rFonts w:ascii="Calibri" w:eastAsia="Times New Roman" w:hAnsi="Calibri" w:cs="Calibri"/>
                      <w:color w:val="000000"/>
                      <w:lang w:eastAsia="en-GB"/>
                    </w:rPr>
                    <w:t>Sulfonamides</w:t>
                  </w:r>
                  <w:proofErr w:type="spellEnd"/>
                  <w:r w:rsidRPr="00B72DC4">
                    <w:rPr>
                      <w:rFonts w:ascii="Calibri" w:eastAsia="Times New Roman" w:hAnsi="Calibri" w:cs="Calibri"/>
                      <w:color w:val="000000"/>
                      <w:lang w:eastAsia="en-GB"/>
                    </w:rPr>
                    <w:t xml:space="preserve"> Mixture</w:t>
                  </w:r>
                </w:p>
              </w:tc>
              <w:tc>
                <w:tcPr>
                  <w:tcW w:w="807" w:type="dxa"/>
                  <w:tcBorders>
                    <w:top w:val="nil"/>
                    <w:left w:val="nil"/>
                    <w:bottom w:val="single" w:sz="4" w:space="0" w:color="auto"/>
                    <w:right w:val="single" w:sz="4" w:space="0" w:color="auto"/>
                  </w:tcBorders>
                  <w:shd w:val="clear" w:color="auto" w:fill="auto"/>
                  <w:noWrap/>
                  <w:vAlign w:val="center"/>
                  <w:hideMark/>
                </w:tcPr>
                <w:p w14:paraId="7368E64C"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bottom"/>
                  <w:hideMark/>
                </w:tcPr>
                <w:p w14:paraId="1A57F077"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auto" w:fill="auto"/>
                  <w:vAlign w:val="center"/>
                  <w:hideMark/>
                </w:tcPr>
                <w:p w14:paraId="3AB0CCA3"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Sigma-Aldrich/Honeywell/ </w:t>
                  </w:r>
                  <w:proofErr w:type="spellStart"/>
                  <w:r w:rsidRPr="00B72DC4">
                    <w:rPr>
                      <w:rFonts w:ascii="Calibri" w:eastAsia="Times New Roman" w:hAnsi="Calibri" w:cs="Calibri"/>
                      <w:color w:val="000000"/>
                      <w:lang w:eastAsia="en-GB"/>
                    </w:rPr>
                    <w:t>Dr.</w:t>
                  </w:r>
                  <w:proofErr w:type="spellEnd"/>
                  <w:r w:rsidRPr="00B72DC4">
                    <w:rPr>
                      <w:rFonts w:ascii="Calibri" w:eastAsia="Times New Roman" w:hAnsi="Calibri" w:cs="Calibri"/>
                      <w:color w:val="000000"/>
                      <w:lang w:eastAsia="en-GB"/>
                    </w:rPr>
                    <w:t xml:space="preserve"> </w:t>
                  </w:r>
                  <w:proofErr w:type="spellStart"/>
                  <w:r w:rsidRPr="00B72DC4">
                    <w:rPr>
                      <w:rFonts w:ascii="Calibri" w:eastAsia="Times New Roman" w:hAnsi="Calibri" w:cs="Calibri"/>
                      <w:color w:val="000000"/>
                      <w:lang w:eastAsia="en-GB"/>
                    </w:rPr>
                    <w:t>Ehrenstorfer</w:t>
                  </w:r>
                  <w:proofErr w:type="spellEnd"/>
                  <w:r w:rsidRPr="00B72DC4">
                    <w:rPr>
                      <w:rFonts w:ascii="Calibri" w:eastAsia="Times New Roman" w:hAnsi="Calibri" w:cs="Calibri"/>
                      <w:color w:val="000000"/>
                      <w:lang w:eastAsia="en-GB"/>
                    </w:rPr>
                    <w:t>/</w:t>
                  </w:r>
                  <w:proofErr w:type="spellStart"/>
                  <w:r w:rsidRPr="00B72DC4">
                    <w:rPr>
                      <w:rFonts w:ascii="Calibri" w:eastAsia="Times New Roman" w:hAnsi="Calibri" w:cs="Calibri"/>
                      <w:color w:val="000000"/>
                      <w:lang w:eastAsia="en-GB"/>
                    </w:rPr>
                    <w:t>Restek</w:t>
                  </w:r>
                  <w:proofErr w:type="spellEnd"/>
                  <w:r w:rsidRPr="00B72DC4">
                    <w:rPr>
                      <w:rFonts w:ascii="Calibri" w:eastAsia="Times New Roman" w:hAnsi="Calibri" w:cs="Calibri"/>
                      <w:color w:val="000000"/>
                      <w:lang w:eastAsia="en-GB"/>
                    </w:rPr>
                    <w:t>/BOC</w:t>
                  </w:r>
                </w:p>
              </w:tc>
              <w:tc>
                <w:tcPr>
                  <w:tcW w:w="891" w:type="dxa"/>
                  <w:tcBorders>
                    <w:top w:val="nil"/>
                    <w:left w:val="nil"/>
                    <w:bottom w:val="single" w:sz="4" w:space="0" w:color="auto"/>
                    <w:right w:val="single" w:sz="4" w:space="0" w:color="auto"/>
                  </w:tcBorders>
                  <w:shd w:val="clear" w:color="auto" w:fill="auto"/>
                  <w:noWrap/>
                  <w:vAlign w:val="bottom"/>
                  <w:hideMark/>
                </w:tcPr>
                <w:p w14:paraId="2BA76707"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0283AE7"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1742A2E8" w14:textId="77777777" w:rsidTr="00954103">
              <w:trPr>
                <w:trHeight w:val="315"/>
              </w:trPr>
              <w:tc>
                <w:tcPr>
                  <w:tcW w:w="799" w:type="dxa"/>
                  <w:tcBorders>
                    <w:top w:val="nil"/>
                    <w:left w:val="single" w:sz="4" w:space="0" w:color="auto"/>
                    <w:bottom w:val="single" w:sz="4" w:space="0" w:color="auto"/>
                    <w:right w:val="single" w:sz="4" w:space="0" w:color="auto"/>
                  </w:tcBorders>
                  <w:shd w:val="clear" w:color="000000" w:fill="D9D9D9"/>
                  <w:noWrap/>
                  <w:vAlign w:val="center"/>
                  <w:hideMark/>
                </w:tcPr>
                <w:p w14:paraId="712BB59E"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p>
              </w:tc>
              <w:tc>
                <w:tcPr>
                  <w:tcW w:w="6914" w:type="dxa"/>
                  <w:tcBorders>
                    <w:top w:val="nil"/>
                    <w:left w:val="nil"/>
                    <w:bottom w:val="single" w:sz="4" w:space="0" w:color="auto"/>
                    <w:right w:val="single" w:sz="4" w:space="0" w:color="auto"/>
                  </w:tcBorders>
                  <w:shd w:val="clear" w:color="000000" w:fill="D9D9D9"/>
                  <w:noWrap/>
                  <w:vAlign w:val="center"/>
                  <w:hideMark/>
                </w:tcPr>
                <w:p w14:paraId="34E365AF"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Internal Standard MS Grade</w:t>
                  </w:r>
                </w:p>
              </w:tc>
              <w:tc>
                <w:tcPr>
                  <w:tcW w:w="807" w:type="dxa"/>
                  <w:tcBorders>
                    <w:top w:val="nil"/>
                    <w:left w:val="nil"/>
                    <w:bottom w:val="single" w:sz="4" w:space="0" w:color="auto"/>
                    <w:right w:val="single" w:sz="4" w:space="0" w:color="auto"/>
                  </w:tcBorders>
                  <w:shd w:val="clear" w:color="000000" w:fill="D9D9D9"/>
                  <w:noWrap/>
                  <w:vAlign w:val="center"/>
                  <w:hideMark/>
                </w:tcPr>
                <w:p w14:paraId="12C0CB03"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p>
              </w:tc>
              <w:tc>
                <w:tcPr>
                  <w:tcW w:w="996" w:type="dxa"/>
                  <w:tcBorders>
                    <w:top w:val="nil"/>
                    <w:left w:val="nil"/>
                    <w:bottom w:val="single" w:sz="4" w:space="0" w:color="auto"/>
                    <w:right w:val="single" w:sz="4" w:space="0" w:color="auto"/>
                  </w:tcBorders>
                  <w:shd w:val="clear" w:color="000000" w:fill="D9D9D9"/>
                  <w:noWrap/>
                  <w:vAlign w:val="bottom"/>
                  <w:hideMark/>
                </w:tcPr>
                <w:p w14:paraId="0938DCCD"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000000" w:fill="D9D9D9"/>
                  <w:vAlign w:val="center"/>
                  <w:hideMark/>
                </w:tcPr>
                <w:p w14:paraId="657B6C7A"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891" w:type="dxa"/>
                  <w:tcBorders>
                    <w:top w:val="nil"/>
                    <w:left w:val="nil"/>
                    <w:bottom w:val="single" w:sz="4" w:space="0" w:color="auto"/>
                    <w:right w:val="single" w:sz="4" w:space="0" w:color="auto"/>
                  </w:tcBorders>
                  <w:shd w:val="clear" w:color="000000" w:fill="D9D9D9"/>
                  <w:noWrap/>
                  <w:vAlign w:val="bottom"/>
                  <w:hideMark/>
                </w:tcPr>
                <w:p w14:paraId="4AFD7383"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000000" w:fill="D9D9D9"/>
                  <w:noWrap/>
                  <w:vAlign w:val="bottom"/>
                  <w:hideMark/>
                </w:tcPr>
                <w:p w14:paraId="784557B5"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0FA434F5" w14:textId="77777777" w:rsidTr="00954103">
              <w:trPr>
                <w:trHeight w:val="49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72706456"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10</w:t>
                  </w:r>
                </w:p>
              </w:tc>
              <w:tc>
                <w:tcPr>
                  <w:tcW w:w="6914" w:type="dxa"/>
                  <w:tcBorders>
                    <w:top w:val="nil"/>
                    <w:left w:val="nil"/>
                    <w:bottom w:val="single" w:sz="4" w:space="0" w:color="auto"/>
                    <w:right w:val="single" w:sz="4" w:space="0" w:color="auto"/>
                  </w:tcBorders>
                  <w:shd w:val="clear" w:color="auto" w:fill="auto"/>
                  <w:noWrap/>
                  <w:vAlign w:val="center"/>
                  <w:hideMark/>
                </w:tcPr>
                <w:p w14:paraId="5CC63113"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proofErr w:type="spellStart"/>
                  <w:r w:rsidRPr="00B72DC4">
                    <w:rPr>
                      <w:rFonts w:ascii="Calibri" w:eastAsia="Times New Roman" w:hAnsi="Calibri" w:cs="Calibri"/>
                      <w:color w:val="000000"/>
                      <w:lang w:eastAsia="en-GB"/>
                    </w:rPr>
                    <w:t>Sulfamerazine</w:t>
                  </w:r>
                  <w:proofErr w:type="spellEnd"/>
                  <w:r w:rsidRPr="00B72DC4">
                    <w:rPr>
                      <w:rFonts w:ascii="Calibri" w:eastAsia="Times New Roman" w:hAnsi="Calibri" w:cs="Calibri"/>
                      <w:color w:val="000000"/>
                      <w:lang w:eastAsia="en-GB"/>
                    </w:rPr>
                    <w:t xml:space="preserve"> - D4</w:t>
                  </w:r>
                </w:p>
              </w:tc>
              <w:tc>
                <w:tcPr>
                  <w:tcW w:w="807" w:type="dxa"/>
                  <w:tcBorders>
                    <w:top w:val="nil"/>
                    <w:left w:val="nil"/>
                    <w:bottom w:val="single" w:sz="4" w:space="0" w:color="auto"/>
                    <w:right w:val="single" w:sz="4" w:space="0" w:color="auto"/>
                  </w:tcBorders>
                  <w:shd w:val="clear" w:color="auto" w:fill="auto"/>
                  <w:noWrap/>
                  <w:vAlign w:val="center"/>
                  <w:hideMark/>
                </w:tcPr>
                <w:p w14:paraId="3A558D3B"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bottom"/>
                  <w:hideMark/>
                </w:tcPr>
                <w:p w14:paraId="7F17D66A"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auto" w:fill="auto"/>
                  <w:vAlign w:val="center"/>
                  <w:hideMark/>
                </w:tcPr>
                <w:p w14:paraId="5089935F"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Sigma-Aldrich/Honeywell/ </w:t>
                  </w:r>
                  <w:proofErr w:type="spellStart"/>
                  <w:r w:rsidRPr="00B72DC4">
                    <w:rPr>
                      <w:rFonts w:ascii="Calibri" w:eastAsia="Times New Roman" w:hAnsi="Calibri" w:cs="Calibri"/>
                      <w:color w:val="000000"/>
                      <w:lang w:eastAsia="en-GB"/>
                    </w:rPr>
                    <w:t>Dr.</w:t>
                  </w:r>
                  <w:proofErr w:type="spellEnd"/>
                  <w:r w:rsidRPr="00B72DC4">
                    <w:rPr>
                      <w:rFonts w:ascii="Calibri" w:eastAsia="Times New Roman" w:hAnsi="Calibri" w:cs="Calibri"/>
                      <w:color w:val="000000"/>
                      <w:lang w:eastAsia="en-GB"/>
                    </w:rPr>
                    <w:t xml:space="preserve"> </w:t>
                  </w:r>
                  <w:proofErr w:type="spellStart"/>
                  <w:r w:rsidRPr="00B72DC4">
                    <w:rPr>
                      <w:rFonts w:ascii="Calibri" w:eastAsia="Times New Roman" w:hAnsi="Calibri" w:cs="Calibri"/>
                      <w:color w:val="000000"/>
                      <w:lang w:eastAsia="en-GB"/>
                    </w:rPr>
                    <w:t>Ehrenstorfer</w:t>
                  </w:r>
                  <w:proofErr w:type="spellEnd"/>
                  <w:r w:rsidRPr="00B72DC4">
                    <w:rPr>
                      <w:rFonts w:ascii="Calibri" w:eastAsia="Times New Roman" w:hAnsi="Calibri" w:cs="Calibri"/>
                      <w:color w:val="000000"/>
                      <w:lang w:eastAsia="en-GB"/>
                    </w:rPr>
                    <w:t>/</w:t>
                  </w:r>
                  <w:proofErr w:type="spellStart"/>
                  <w:r w:rsidRPr="00B72DC4">
                    <w:rPr>
                      <w:rFonts w:ascii="Calibri" w:eastAsia="Times New Roman" w:hAnsi="Calibri" w:cs="Calibri"/>
                      <w:color w:val="000000"/>
                      <w:lang w:eastAsia="en-GB"/>
                    </w:rPr>
                    <w:t>Restek</w:t>
                  </w:r>
                  <w:proofErr w:type="spellEnd"/>
                  <w:r w:rsidRPr="00B72DC4">
                    <w:rPr>
                      <w:rFonts w:ascii="Calibri" w:eastAsia="Times New Roman" w:hAnsi="Calibri" w:cs="Calibri"/>
                      <w:color w:val="000000"/>
                      <w:lang w:eastAsia="en-GB"/>
                    </w:rPr>
                    <w:t>/BOC</w:t>
                  </w:r>
                </w:p>
              </w:tc>
              <w:tc>
                <w:tcPr>
                  <w:tcW w:w="891" w:type="dxa"/>
                  <w:tcBorders>
                    <w:top w:val="nil"/>
                    <w:left w:val="nil"/>
                    <w:bottom w:val="single" w:sz="4" w:space="0" w:color="auto"/>
                    <w:right w:val="single" w:sz="4" w:space="0" w:color="auto"/>
                  </w:tcBorders>
                  <w:shd w:val="clear" w:color="auto" w:fill="auto"/>
                  <w:noWrap/>
                  <w:vAlign w:val="bottom"/>
                  <w:hideMark/>
                </w:tcPr>
                <w:p w14:paraId="48E78EE2"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661591A"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6306EADA" w14:textId="77777777" w:rsidTr="00954103">
              <w:trPr>
                <w:trHeight w:val="49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29904DE2"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11</w:t>
                  </w:r>
                </w:p>
              </w:tc>
              <w:tc>
                <w:tcPr>
                  <w:tcW w:w="6914" w:type="dxa"/>
                  <w:tcBorders>
                    <w:top w:val="nil"/>
                    <w:left w:val="nil"/>
                    <w:bottom w:val="single" w:sz="4" w:space="0" w:color="auto"/>
                    <w:right w:val="single" w:sz="4" w:space="0" w:color="auto"/>
                  </w:tcBorders>
                  <w:shd w:val="clear" w:color="auto" w:fill="auto"/>
                  <w:noWrap/>
                  <w:vAlign w:val="center"/>
                  <w:hideMark/>
                </w:tcPr>
                <w:p w14:paraId="20089764"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Sulfathiazole - D4, 2.5mg</w:t>
                  </w:r>
                </w:p>
              </w:tc>
              <w:tc>
                <w:tcPr>
                  <w:tcW w:w="807" w:type="dxa"/>
                  <w:tcBorders>
                    <w:top w:val="nil"/>
                    <w:left w:val="nil"/>
                    <w:bottom w:val="single" w:sz="4" w:space="0" w:color="auto"/>
                    <w:right w:val="single" w:sz="4" w:space="0" w:color="auto"/>
                  </w:tcBorders>
                  <w:shd w:val="clear" w:color="auto" w:fill="auto"/>
                  <w:noWrap/>
                  <w:vAlign w:val="center"/>
                  <w:hideMark/>
                </w:tcPr>
                <w:p w14:paraId="04A4AB54"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bottom"/>
                  <w:hideMark/>
                </w:tcPr>
                <w:p w14:paraId="3C4D5A62"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auto" w:fill="auto"/>
                  <w:vAlign w:val="center"/>
                  <w:hideMark/>
                </w:tcPr>
                <w:p w14:paraId="7E912329"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Sigma-Aldrich/Honeywell/ </w:t>
                  </w:r>
                  <w:proofErr w:type="spellStart"/>
                  <w:r w:rsidRPr="00B72DC4">
                    <w:rPr>
                      <w:rFonts w:ascii="Calibri" w:eastAsia="Times New Roman" w:hAnsi="Calibri" w:cs="Calibri"/>
                      <w:color w:val="000000"/>
                      <w:lang w:eastAsia="en-GB"/>
                    </w:rPr>
                    <w:t>Dr.</w:t>
                  </w:r>
                  <w:proofErr w:type="spellEnd"/>
                  <w:r w:rsidRPr="00B72DC4">
                    <w:rPr>
                      <w:rFonts w:ascii="Calibri" w:eastAsia="Times New Roman" w:hAnsi="Calibri" w:cs="Calibri"/>
                      <w:color w:val="000000"/>
                      <w:lang w:eastAsia="en-GB"/>
                    </w:rPr>
                    <w:t xml:space="preserve"> </w:t>
                  </w:r>
                  <w:proofErr w:type="spellStart"/>
                  <w:r w:rsidRPr="00B72DC4">
                    <w:rPr>
                      <w:rFonts w:ascii="Calibri" w:eastAsia="Times New Roman" w:hAnsi="Calibri" w:cs="Calibri"/>
                      <w:color w:val="000000"/>
                      <w:lang w:eastAsia="en-GB"/>
                    </w:rPr>
                    <w:t>Ehrenstorfer</w:t>
                  </w:r>
                  <w:proofErr w:type="spellEnd"/>
                  <w:r w:rsidRPr="00B72DC4">
                    <w:rPr>
                      <w:rFonts w:ascii="Calibri" w:eastAsia="Times New Roman" w:hAnsi="Calibri" w:cs="Calibri"/>
                      <w:color w:val="000000"/>
                      <w:lang w:eastAsia="en-GB"/>
                    </w:rPr>
                    <w:t>/</w:t>
                  </w:r>
                  <w:proofErr w:type="spellStart"/>
                  <w:r w:rsidRPr="00B72DC4">
                    <w:rPr>
                      <w:rFonts w:ascii="Calibri" w:eastAsia="Times New Roman" w:hAnsi="Calibri" w:cs="Calibri"/>
                      <w:color w:val="000000"/>
                      <w:lang w:eastAsia="en-GB"/>
                    </w:rPr>
                    <w:t>Restek</w:t>
                  </w:r>
                  <w:proofErr w:type="spellEnd"/>
                  <w:r w:rsidRPr="00B72DC4">
                    <w:rPr>
                      <w:rFonts w:ascii="Calibri" w:eastAsia="Times New Roman" w:hAnsi="Calibri" w:cs="Calibri"/>
                      <w:color w:val="000000"/>
                      <w:lang w:eastAsia="en-GB"/>
                    </w:rPr>
                    <w:t>/BOC</w:t>
                  </w:r>
                </w:p>
              </w:tc>
              <w:tc>
                <w:tcPr>
                  <w:tcW w:w="891" w:type="dxa"/>
                  <w:tcBorders>
                    <w:top w:val="nil"/>
                    <w:left w:val="nil"/>
                    <w:bottom w:val="single" w:sz="4" w:space="0" w:color="auto"/>
                    <w:right w:val="single" w:sz="4" w:space="0" w:color="auto"/>
                  </w:tcBorders>
                  <w:shd w:val="clear" w:color="auto" w:fill="auto"/>
                  <w:noWrap/>
                  <w:vAlign w:val="bottom"/>
                  <w:hideMark/>
                </w:tcPr>
                <w:p w14:paraId="20FED9A0"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BEFA12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1C6E2F94" w14:textId="77777777" w:rsidTr="00954103">
              <w:trPr>
                <w:trHeight w:val="49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1B6C8D55"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12</w:t>
                  </w:r>
                </w:p>
              </w:tc>
              <w:tc>
                <w:tcPr>
                  <w:tcW w:w="6914" w:type="dxa"/>
                  <w:tcBorders>
                    <w:top w:val="nil"/>
                    <w:left w:val="nil"/>
                    <w:bottom w:val="single" w:sz="4" w:space="0" w:color="auto"/>
                    <w:right w:val="single" w:sz="4" w:space="0" w:color="auto"/>
                  </w:tcBorders>
                  <w:shd w:val="clear" w:color="auto" w:fill="auto"/>
                  <w:noWrap/>
                  <w:vAlign w:val="center"/>
                  <w:hideMark/>
                </w:tcPr>
                <w:p w14:paraId="2E76AB14"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Tobramycin, 50 mg</w:t>
                  </w:r>
                </w:p>
              </w:tc>
              <w:tc>
                <w:tcPr>
                  <w:tcW w:w="807" w:type="dxa"/>
                  <w:tcBorders>
                    <w:top w:val="nil"/>
                    <w:left w:val="nil"/>
                    <w:bottom w:val="single" w:sz="4" w:space="0" w:color="auto"/>
                    <w:right w:val="single" w:sz="4" w:space="0" w:color="auto"/>
                  </w:tcBorders>
                  <w:shd w:val="clear" w:color="auto" w:fill="auto"/>
                  <w:noWrap/>
                  <w:vAlign w:val="center"/>
                  <w:hideMark/>
                </w:tcPr>
                <w:p w14:paraId="198DF6C2"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bottom"/>
                  <w:hideMark/>
                </w:tcPr>
                <w:p w14:paraId="764037CE"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auto" w:fill="auto"/>
                  <w:vAlign w:val="center"/>
                  <w:hideMark/>
                </w:tcPr>
                <w:p w14:paraId="18A9D70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xml:space="preserve">Sigma-Aldrich/Honeywell/ </w:t>
                  </w:r>
                  <w:proofErr w:type="spellStart"/>
                  <w:r w:rsidRPr="00B72DC4">
                    <w:rPr>
                      <w:rFonts w:ascii="Calibri" w:eastAsia="Times New Roman" w:hAnsi="Calibri" w:cs="Calibri"/>
                      <w:color w:val="000000"/>
                      <w:lang w:eastAsia="en-GB"/>
                    </w:rPr>
                    <w:t>Dr.</w:t>
                  </w:r>
                  <w:proofErr w:type="spellEnd"/>
                  <w:r w:rsidRPr="00B72DC4">
                    <w:rPr>
                      <w:rFonts w:ascii="Calibri" w:eastAsia="Times New Roman" w:hAnsi="Calibri" w:cs="Calibri"/>
                      <w:color w:val="000000"/>
                      <w:lang w:eastAsia="en-GB"/>
                    </w:rPr>
                    <w:t xml:space="preserve"> </w:t>
                  </w:r>
                  <w:proofErr w:type="spellStart"/>
                  <w:r w:rsidRPr="00B72DC4">
                    <w:rPr>
                      <w:rFonts w:ascii="Calibri" w:eastAsia="Times New Roman" w:hAnsi="Calibri" w:cs="Calibri"/>
                      <w:color w:val="000000"/>
                      <w:lang w:eastAsia="en-GB"/>
                    </w:rPr>
                    <w:t>Ehrenstorfer</w:t>
                  </w:r>
                  <w:proofErr w:type="spellEnd"/>
                  <w:r w:rsidRPr="00B72DC4">
                    <w:rPr>
                      <w:rFonts w:ascii="Calibri" w:eastAsia="Times New Roman" w:hAnsi="Calibri" w:cs="Calibri"/>
                      <w:color w:val="000000"/>
                      <w:lang w:eastAsia="en-GB"/>
                    </w:rPr>
                    <w:t>/</w:t>
                  </w:r>
                  <w:proofErr w:type="spellStart"/>
                  <w:r w:rsidRPr="00B72DC4">
                    <w:rPr>
                      <w:rFonts w:ascii="Calibri" w:eastAsia="Times New Roman" w:hAnsi="Calibri" w:cs="Calibri"/>
                      <w:color w:val="000000"/>
                      <w:lang w:eastAsia="en-GB"/>
                    </w:rPr>
                    <w:t>Restek</w:t>
                  </w:r>
                  <w:proofErr w:type="spellEnd"/>
                  <w:r w:rsidRPr="00B72DC4">
                    <w:rPr>
                      <w:rFonts w:ascii="Calibri" w:eastAsia="Times New Roman" w:hAnsi="Calibri" w:cs="Calibri"/>
                      <w:color w:val="000000"/>
                      <w:lang w:eastAsia="en-GB"/>
                    </w:rPr>
                    <w:t>/BOC</w:t>
                  </w:r>
                </w:p>
              </w:tc>
              <w:tc>
                <w:tcPr>
                  <w:tcW w:w="891" w:type="dxa"/>
                  <w:tcBorders>
                    <w:top w:val="nil"/>
                    <w:left w:val="nil"/>
                    <w:bottom w:val="single" w:sz="4" w:space="0" w:color="auto"/>
                    <w:right w:val="single" w:sz="4" w:space="0" w:color="auto"/>
                  </w:tcBorders>
                  <w:shd w:val="clear" w:color="auto" w:fill="auto"/>
                  <w:noWrap/>
                  <w:vAlign w:val="bottom"/>
                  <w:hideMark/>
                </w:tcPr>
                <w:p w14:paraId="46AB888D"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DA274F8"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491E191C" w14:textId="77777777" w:rsidTr="00954103">
              <w:trPr>
                <w:trHeight w:val="315"/>
              </w:trPr>
              <w:tc>
                <w:tcPr>
                  <w:tcW w:w="799" w:type="dxa"/>
                  <w:tcBorders>
                    <w:top w:val="nil"/>
                    <w:left w:val="single" w:sz="4" w:space="0" w:color="auto"/>
                    <w:bottom w:val="single" w:sz="4" w:space="0" w:color="auto"/>
                    <w:right w:val="single" w:sz="4" w:space="0" w:color="auto"/>
                  </w:tcBorders>
                  <w:shd w:val="clear" w:color="000000" w:fill="D9D9D9"/>
                  <w:noWrap/>
                  <w:vAlign w:val="center"/>
                  <w:hideMark/>
                </w:tcPr>
                <w:p w14:paraId="4A24004E"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p>
              </w:tc>
              <w:tc>
                <w:tcPr>
                  <w:tcW w:w="6914" w:type="dxa"/>
                  <w:tcBorders>
                    <w:top w:val="nil"/>
                    <w:left w:val="nil"/>
                    <w:bottom w:val="single" w:sz="4" w:space="0" w:color="auto"/>
                    <w:right w:val="single" w:sz="4" w:space="0" w:color="auto"/>
                  </w:tcBorders>
                  <w:shd w:val="clear" w:color="000000" w:fill="D9D9D9"/>
                  <w:noWrap/>
                  <w:vAlign w:val="center"/>
                  <w:hideMark/>
                </w:tcPr>
                <w:p w14:paraId="622C8B5F"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b/>
                      <w:bCs/>
                      <w:color w:val="000000"/>
                      <w:lang w:eastAsia="en-GB"/>
                    </w:rPr>
                  </w:pPr>
                  <w:r w:rsidRPr="00B72DC4">
                    <w:rPr>
                      <w:rFonts w:ascii="Calibri" w:eastAsia="Times New Roman" w:hAnsi="Calibri" w:cs="Calibri"/>
                      <w:b/>
                      <w:bCs/>
                      <w:color w:val="000000"/>
                      <w:lang w:eastAsia="en-GB"/>
                    </w:rPr>
                    <w:t>Miscellaneous</w:t>
                  </w:r>
                </w:p>
              </w:tc>
              <w:tc>
                <w:tcPr>
                  <w:tcW w:w="807" w:type="dxa"/>
                  <w:tcBorders>
                    <w:top w:val="nil"/>
                    <w:left w:val="nil"/>
                    <w:bottom w:val="single" w:sz="4" w:space="0" w:color="auto"/>
                    <w:right w:val="single" w:sz="4" w:space="0" w:color="auto"/>
                  </w:tcBorders>
                  <w:shd w:val="clear" w:color="000000" w:fill="D9D9D9"/>
                  <w:noWrap/>
                  <w:vAlign w:val="center"/>
                  <w:hideMark/>
                </w:tcPr>
                <w:p w14:paraId="61EBAFF3"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p>
              </w:tc>
              <w:tc>
                <w:tcPr>
                  <w:tcW w:w="996" w:type="dxa"/>
                  <w:tcBorders>
                    <w:top w:val="nil"/>
                    <w:left w:val="nil"/>
                    <w:bottom w:val="single" w:sz="4" w:space="0" w:color="auto"/>
                    <w:right w:val="single" w:sz="4" w:space="0" w:color="auto"/>
                  </w:tcBorders>
                  <w:shd w:val="clear" w:color="000000" w:fill="D9D9D9"/>
                  <w:noWrap/>
                  <w:vAlign w:val="bottom"/>
                  <w:hideMark/>
                </w:tcPr>
                <w:p w14:paraId="29C9E175"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000000" w:fill="D9D9D9"/>
                  <w:noWrap/>
                  <w:vAlign w:val="bottom"/>
                  <w:hideMark/>
                </w:tcPr>
                <w:p w14:paraId="40DB19B9"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891" w:type="dxa"/>
                  <w:tcBorders>
                    <w:top w:val="nil"/>
                    <w:left w:val="nil"/>
                    <w:bottom w:val="single" w:sz="4" w:space="0" w:color="auto"/>
                    <w:right w:val="single" w:sz="4" w:space="0" w:color="auto"/>
                  </w:tcBorders>
                  <w:shd w:val="clear" w:color="000000" w:fill="D9D9D9"/>
                  <w:noWrap/>
                  <w:vAlign w:val="bottom"/>
                  <w:hideMark/>
                </w:tcPr>
                <w:p w14:paraId="3076AE57"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000000" w:fill="D9D9D9"/>
                  <w:noWrap/>
                  <w:vAlign w:val="bottom"/>
                  <w:hideMark/>
                </w:tcPr>
                <w:p w14:paraId="540B1B2B"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r w:rsidR="001C32A7" w:rsidRPr="00B72DC4" w14:paraId="16CAD047" w14:textId="77777777" w:rsidTr="00954103">
              <w:trPr>
                <w:trHeight w:val="3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22B634DE"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13</w:t>
                  </w:r>
                </w:p>
              </w:tc>
              <w:tc>
                <w:tcPr>
                  <w:tcW w:w="6914" w:type="dxa"/>
                  <w:tcBorders>
                    <w:top w:val="nil"/>
                    <w:left w:val="nil"/>
                    <w:bottom w:val="single" w:sz="4" w:space="0" w:color="auto"/>
                    <w:right w:val="single" w:sz="4" w:space="0" w:color="auto"/>
                  </w:tcBorders>
                  <w:shd w:val="clear" w:color="auto" w:fill="auto"/>
                  <w:noWrap/>
                  <w:vAlign w:val="center"/>
                  <w:hideMark/>
                </w:tcPr>
                <w:p w14:paraId="4316FF7E"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0.2 um, 25 mm PVDF Syringe filter, 150/pk</w:t>
                  </w:r>
                </w:p>
              </w:tc>
              <w:tc>
                <w:tcPr>
                  <w:tcW w:w="807" w:type="dxa"/>
                  <w:tcBorders>
                    <w:top w:val="nil"/>
                    <w:left w:val="nil"/>
                    <w:bottom w:val="single" w:sz="4" w:space="0" w:color="auto"/>
                    <w:right w:val="single" w:sz="4" w:space="0" w:color="auto"/>
                  </w:tcBorders>
                  <w:shd w:val="clear" w:color="auto" w:fill="auto"/>
                  <w:noWrap/>
                  <w:vAlign w:val="center"/>
                  <w:hideMark/>
                </w:tcPr>
                <w:p w14:paraId="64544C41" w14:textId="77777777" w:rsidR="001C32A7" w:rsidRPr="00B72DC4" w:rsidRDefault="001C32A7" w:rsidP="00954103">
                  <w:pPr>
                    <w:framePr w:hSpace="180" w:wrap="around" w:vAnchor="text" w:hAnchor="text" w:y="1"/>
                    <w:spacing w:after="0" w:line="240" w:lineRule="auto"/>
                    <w:suppressOverlap/>
                    <w:jc w:val="center"/>
                    <w:rPr>
                      <w:rFonts w:ascii="Calibri" w:eastAsia="Times New Roman" w:hAnsi="Calibri" w:cs="Calibri"/>
                      <w:color w:val="000000"/>
                      <w:lang w:eastAsia="en-GB"/>
                    </w:rPr>
                  </w:pPr>
                  <w:r w:rsidRPr="00B72DC4">
                    <w:rPr>
                      <w:rFonts w:ascii="Calibri" w:eastAsia="Times New Roman" w:hAnsi="Calibri" w:cs="Calibri"/>
                      <w:color w:val="000000"/>
                      <w:lang w:eastAsia="en-GB"/>
                    </w:rPr>
                    <w:t>1</w:t>
                  </w:r>
                </w:p>
              </w:tc>
              <w:tc>
                <w:tcPr>
                  <w:tcW w:w="996" w:type="dxa"/>
                  <w:tcBorders>
                    <w:top w:val="nil"/>
                    <w:left w:val="nil"/>
                    <w:bottom w:val="single" w:sz="4" w:space="0" w:color="auto"/>
                    <w:right w:val="single" w:sz="4" w:space="0" w:color="auto"/>
                  </w:tcBorders>
                  <w:shd w:val="clear" w:color="auto" w:fill="auto"/>
                  <w:noWrap/>
                  <w:vAlign w:val="bottom"/>
                  <w:hideMark/>
                </w:tcPr>
                <w:p w14:paraId="10FE3E65"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2852" w:type="dxa"/>
                  <w:tcBorders>
                    <w:top w:val="nil"/>
                    <w:left w:val="nil"/>
                    <w:bottom w:val="single" w:sz="4" w:space="0" w:color="auto"/>
                    <w:right w:val="single" w:sz="4" w:space="0" w:color="auto"/>
                  </w:tcBorders>
                  <w:shd w:val="clear" w:color="auto" w:fill="auto"/>
                  <w:noWrap/>
                  <w:vAlign w:val="bottom"/>
                  <w:hideMark/>
                </w:tcPr>
                <w:p w14:paraId="04AC67EF"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51BFAFD"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D789A77" w14:textId="77777777" w:rsidR="001C32A7" w:rsidRPr="00B72DC4" w:rsidRDefault="001C32A7" w:rsidP="00954103">
                  <w:pPr>
                    <w:framePr w:hSpace="180" w:wrap="around" w:vAnchor="text" w:hAnchor="text" w:y="1"/>
                    <w:spacing w:after="0" w:line="240" w:lineRule="auto"/>
                    <w:suppressOverlap/>
                    <w:rPr>
                      <w:rFonts w:ascii="Calibri" w:eastAsia="Times New Roman" w:hAnsi="Calibri" w:cs="Calibri"/>
                      <w:color w:val="000000"/>
                      <w:lang w:eastAsia="en-GB"/>
                    </w:rPr>
                  </w:pPr>
                  <w:r w:rsidRPr="00B72DC4">
                    <w:rPr>
                      <w:rFonts w:ascii="Calibri" w:eastAsia="Times New Roman" w:hAnsi="Calibri" w:cs="Calibri"/>
                      <w:color w:val="000000"/>
                      <w:lang w:eastAsia="en-GB"/>
                    </w:rPr>
                    <w:t> </w:t>
                  </w:r>
                </w:p>
              </w:tc>
            </w:tr>
          </w:tbl>
          <w:p w14:paraId="7DA4EFCF" w14:textId="77777777" w:rsidR="001C32A7" w:rsidRPr="00B97F33" w:rsidRDefault="001C32A7" w:rsidP="00954103">
            <w:pPr>
              <w:spacing w:after="0" w:line="240" w:lineRule="auto"/>
              <w:rPr>
                <w:rFonts w:ascii="Times New Roman" w:eastAsia="Times New Roman" w:hAnsi="Times New Roman" w:cs="Times New Roman"/>
                <w:sz w:val="24"/>
                <w:szCs w:val="24"/>
                <w:lang w:eastAsia="en-GB"/>
              </w:rPr>
            </w:pPr>
          </w:p>
        </w:tc>
        <w:tc>
          <w:tcPr>
            <w:tcW w:w="4422" w:type="dxa"/>
            <w:tcBorders>
              <w:top w:val="nil"/>
              <w:left w:val="nil"/>
              <w:bottom w:val="nil"/>
              <w:right w:val="nil"/>
            </w:tcBorders>
            <w:shd w:val="clear" w:color="auto" w:fill="auto"/>
            <w:noWrap/>
            <w:vAlign w:val="bottom"/>
            <w:hideMark/>
          </w:tcPr>
          <w:p w14:paraId="3B90C4FF" w14:textId="77777777" w:rsidR="001C32A7" w:rsidRPr="00B97F33" w:rsidRDefault="001C32A7" w:rsidP="00954103">
            <w:pPr>
              <w:spacing w:after="0" w:line="240" w:lineRule="auto"/>
              <w:rPr>
                <w:rFonts w:ascii="Times New Roman" w:eastAsia="Times New Roman" w:hAnsi="Times New Roman" w:cs="Times New Roman"/>
                <w:sz w:val="20"/>
                <w:szCs w:val="20"/>
                <w:lang w:eastAsia="en-GB"/>
              </w:rPr>
            </w:pPr>
          </w:p>
        </w:tc>
        <w:tc>
          <w:tcPr>
            <w:tcW w:w="1248" w:type="dxa"/>
            <w:tcBorders>
              <w:top w:val="nil"/>
              <w:left w:val="nil"/>
              <w:bottom w:val="nil"/>
              <w:right w:val="nil"/>
            </w:tcBorders>
            <w:shd w:val="clear" w:color="auto" w:fill="auto"/>
            <w:noWrap/>
            <w:vAlign w:val="bottom"/>
            <w:hideMark/>
          </w:tcPr>
          <w:p w14:paraId="3BE23A96" w14:textId="77777777" w:rsidR="001C32A7" w:rsidRPr="00B97F33" w:rsidRDefault="001C32A7" w:rsidP="0095410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14:paraId="70EE5F0F" w14:textId="77777777" w:rsidR="001C32A7" w:rsidRPr="00B97F33" w:rsidRDefault="001C32A7" w:rsidP="00954103">
            <w:pPr>
              <w:spacing w:after="0" w:line="240" w:lineRule="auto"/>
              <w:jc w:val="center"/>
              <w:rPr>
                <w:rFonts w:ascii="Times New Roman" w:eastAsia="Times New Roman" w:hAnsi="Times New Roman" w:cs="Times New Roman"/>
                <w:sz w:val="20"/>
                <w:szCs w:val="20"/>
                <w:lang w:eastAsia="en-GB"/>
              </w:rPr>
            </w:pPr>
          </w:p>
        </w:tc>
        <w:tc>
          <w:tcPr>
            <w:tcW w:w="4587" w:type="dxa"/>
            <w:tcBorders>
              <w:top w:val="nil"/>
              <w:left w:val="nil"/>
              <w:bottom w:val="nil"/>
              <w:right w:val="nil"/>
            </w:tcBorders>
            <w:shd w:val="clear" w:color="auto" w:fill="auto"/>
            <w:noWrap/>
            <w:vAlign w:val="bottom"/>
            <w:hideMark/>
          </w:tcPr>
          <w:p w14:paraId="03C1C919" w14:textId="77777777" w:rsidR="001C32A7" w:rsidRPr="00B97F33" w:rsidRDefault="001C32A7" w:rsidP="00954103">
            <w:pPr>
              <w:spacing w:after="0" w:line="240" w:lineRule="auto"/>
              <w:ind w:right="2089"/>
              <w:rPr>
                <w:rFonts w:ascii="Times New Roman" w:eastAsia="Times New Roman" w:hAnsi="Times New Roman" w:cs="Times New Roman"/>
                <w:sz w:val="20"/>
                <w:szCs w:val="20"/>
                <w:lang w:eastAsia="en-GB"/>
              </w:rPr>
            </w:pPr>
          </w:p>
        </w:tc>
        <w:tc>
          <w:tcPr>
            <w:tcW w:w="1165" w:type="dxa"/>
            <w:tcBorders>
              <w:top w:val="nil"/>
              <w:left w:val="nil"/>
              <w:bottom w:val="nil"/>
              <w:right w:val="nil"/>
            </w:tcBorders>
            <w:shd w:val="clear" w:color="auto" w:fill="auto"/>
            <w:noWrap/>
            <w:vAlign w:val="bottom"/>
            <w:hideMark/>
          </w:tcPr>
          <w:p w14:paraId="3C4C874B" w14:textId="77777777" w:rsidR="001C32A7" w:rsidRPr="00B97F33" w:rsidRDefault="001C32A7" w:rsidP="00954103">
            <w:pPr>
              <w:spacing w:after="0" w:line="240" w:lineRule="auto"/>
              <w:rPr>
                <w:rFonts w:ascii="Times New Roman" w:eastAsia="Times New Roman" w:hAnsi="Times New Roman" w:cs="Times New Roman"/>
                <w:sz w:val="20"/>
                <w:szCs w:val="20"/>
                <w:lang w:eastAsia="en-GB"/>
              </w:rPr>
            </w:pPr>
          </w:p>
        </w:tc>
        <w:tc>
          <w:tcPr>
            <w:tcW w:w="888" w:type="dxa"/>
            <w:tcBorders>
              <w:top w:val="nil"/>
              <w:left w:val="nil"/>
              <w:bottom w:val="nil"/>
              <w:right w:val="nil"/>
            </w:tcBorders>
            <w:shd w:val="clear" w:color="auto" w:fill="auto"/>
            <w:noWrap/>
            <w:vAlign w:val="bottom"/>
            <w:hideMark/>
          </w:tcPr>
          <w:p w14:paraId="5EEF1F76" w14:textId="77777777" w:rsidR="001C32A7" w:rsidRPr="00B97F33" w:rsidRDefault="001C32A7" w:rsidP="00954103">
            <w:pPr>
              <w:spacing w:after="0" w:line="240" w:lineRule="auto"/>
              <w:rPr>
                <w:rFonts w:ascii="Times New Roman" w:eastAsia="Times New Roman" w:hAnsi="Times New Roman" w:cs="Times New Roman"/>
                <w:sz w:val="20"/>
                <w:szCs w:val="20"/>
                <w:lang w:eastAsia="en-GB"/>
              </w:rPr>
            </w:pPr>
          </w:p>
        </w:tc>
      </w:tr>
    </w:tbl>
    <w:p w14:paraId="6657DAD0" w14:textId="77777777" w:rsidR="00787469" w:rsidRDefault="001C32A7">
      <w:bookmarkStart w:id="2" w:name="_GoBack"/>
      <w:bookmarkEnd w:id="2"/>
    </w:p>
    <w:sectPr w:rsidR="00787469" w:rsidSect="005A241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6D46"/>
    <w:multiLevelType w:val="hybridMultilevel"/>
    <w:tmpl w:val="B75E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D28F4"/>
    <w:multiLevelType w:val="hybridMultilevel"/>
    <w:tmpl w:val="AE522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E17CB"/>
    <w:multiLevelType w:val="hybridMultilevel"/>
    <w:tmpl w:val="E7FC7350"/>
    <w:lvl w:ilvl="0" w:tplc="8CDA1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C95E6C"/>
    <w:multiLevelType w:val="hybridMultilevel"/>
    <w:tmpl w:val="41F4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F3E89"/>
    <w:multiLevelType w:val="hybridMultilevel"/>
    <w:tmpl w:val="49129786"/>
    <w:lvl w:ilvl="0" w:tplc="DCCC1F0A">
      <w:start w:val="1"/>
      <w:numFmt w:val="lowerRoman"/>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A44A52"/>
    <w:multiLevelType w:val="hybridMultilevel"/>
    <w:tmpl w:val="ACA0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516A3"/>
    <w:multiLevelType w:val="hybridMultilevel"/>
    <w:tmpl w:val="8D54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6222"/>
    <w:multiLevelType w:val="hybridMultilevel"/>
    <w:tmpl w:val="16B09C4C"/>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5E51591"/>
    <w:multiLevelType w:val="hybridMultilevel"/>
    <w:tmpl w:val="3CAE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6"/>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A7"/>
    <w:rsid w:val="001C32A7"/>
    <w:rsid w:val="0045674A"/>
    <w:rsid w:val="00817D64"/>
    <w:rsid w:val="00A23708"/>
    <w:rsid w:val="00AE5A9B"/>
    <w:rsid w:val="00CE36CE"/>
    <w:rsid w:val="00F6762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FF0C"/>
  <w15:chartTrackingRefBased/>
  <w15:docId w15:val="{24CE9C28-2F31-46FE-94FB-E79492A8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2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2A7"/>
    <w:rPr>
      <w:color w:val="0563C1" w:themeColor="hyperlink"/>
      <w:u w:val="single"/>
    </w:rPr>
  </w:style>
  <w:style w:type="paragraph" w:styleId="ListParagraph">
    <w:name w:val="List Paragraph"/>
    <w:basedOn w:val="Normal"/>
    <w:uiPriority w:val="34"/>
    <w:qFormat/>
    <w:rsid w:val="001C32A7"/>
    <w:pPr>
      <w:spacing w:before="120" w:after="0"/>
      <w:ind w:left="720"/>
    </w:pPr>
    <w:rPr>
      <w:lang w:val="en-US"/>
    </w:rPr>
  </w:style>
  <w:style w:type="paragraph" w:styleId="NoSpacing">
    <w:name w:val="No Spacing"/>
    <w:link w:val="NoSpacingChar"/>
    <w:uiPriority w:val="1"/>
    <w:qFormat/>
    <w:rsid w:val="001C32A7"/>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1C32A7"/>
    <w:rPr>
      <w:rFonts w:ascii="Calibri" w:eastAsia="Calibri" w:hAnsi="Calibri" w:cs="Times New Roman"/>
      <w:lang w:val="en-GB"/>
    </w:rPr>
  </w:style>
  <w:style w:type="table" w:styleId="TableGrid">
    <w:name w:val="Table Grid"/>
    <w:basedOn w:val="TableNormal"/>
    <w:uiPriority w:val="59"/>
    <w:rsid w:val="001C32A7"/>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orr@winrock.org" TargetMode="External"/><Relationship Id="rId5" Type="http://schemas.openxmlformats.org/officeDocument/2006/relationships/hyperlink" Target="mailto:JDorr@winro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Atiqur</dc:creator>
  <cp:keywords/>
  <dc:description/>
  <cp:lastModifiedBy>Rahman, Atiqur</cp:lastModifiedBy>
  <cp:revision>1</cp:revision>
  <dcterms:created xsi:type="dcterms:W3CDTF">2020-02-23T04:03:00Z</dcterms:created>
  <dcterms:modified xsi:type="dcterms:W3CDTF">2020-02-23T04:03:00Z</dcterms:modified>
</cp:coreProperties>
</file>