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D989" w14:textId="61AB986F" w:rsidR="00C77BFC" w:rsidRDefault="00C77BFC" w:rsidP="00157963">
      <w:pPr>
        <w:spacing w:after="0" w:line="276" w:lineRule="auto"/>
        <w:jc w:val="center"/>
        <w:rPr>
          <w:b/>
          <w:bCs/>
          <w:color w:val="156082" w:themeColor="accent1"/>
          <w:sz w:val="28"/>
          <w:szCs w:val="28"/>
        </w:rPr>
      </w:pPr>
      <w:r w:rsidRPr="00681785">
        <w:rPr>
          <w:b/>
          <w:bCs/>
          <w:color w:val="156082" w:themeColor="accent1"/>
          <w:sz w:val="28"/>
          <w:szCs w:val="28"/>
        </w:rPr>
        <w:t>Terms of Reference (ToR)</w:t>
      </w:r>
    </w:p>
    <w:p w14:paraId="49221FA1" w14:textId="0DF56A43" w:rsidR="007A44B2" w:rsidRDefault="007A44B2" w:rsidP="572D6331">
      <w:pPr>
        <w:pBdr>
          <w:bottom w:val="single" w:sz="12" w:space="1" w:color="auto"/>
        </w:pBdr>
        <w:spacing w:after="0" w:line="276" w:lineRule="auto"/>
        <w:jc w:val="center"/>
        <w:rPr>
          <w:rFonts w:ascii="Aptos" w:eastAsia="Aptos" w:hAnsi="Aptos" w:cs="Aptos"/>
          <w:sz w:val="24"/>
          <w:szCs w:val="24"/>
        </w:rPr>
      </w:pPr>
    </w:p>
    <w:p w14:paraId="3F10E8C9" w14:textId="3D8BDB6D" w:rsidR="00157963" w:rsidRPr="00287EF3" w:rsidRDefault="00181699" w:rsidP="00287EF3">
      <w:pPr>
        <w:pBdr>
          <w:bottom w:val="single" w:sz="12" w:space="1" w:color="auto"/>
        </w:pBdr>
        <w:spacing w:after="0" w:line="276" w:lineRule="auto"/>
        <w:jc w:val="center"/>
        <w:rPr>
          <w:rFonts w:ascii="Aptos" w:eastAsia="Aptos" w:hAnsi="Aptos" w:cs="Aptos"/>
          <w:color w:val="EE0000"/>
          <w:sz w:val="24"/>
          <w:szCs w:val="24"/>
        </w:rPr>
      </w:pPr>
      <w:r w:rsidRPr="00181699">
        <w:rPr>
          <w:rFonts w:ascii="Aptos" w:eastAsia="Aptos" w:hAnsi="Aptos" w:cs="Aptos"/>
          <w:sz w:val="24"/>
          <w:szCs w:val="24"/>
        </w:rPr>
        <w:t xml:space="preserve">Documenting Learning from the </w:t>
      </w:r>
      <w:r w:rsidR="00A44D11">
        <w:rPr>
          <w:rFonts w:ascii="Aptos" w:eastAsia="Aptos" w:hAnsi="Aptos" w:cs="Aptos"/>
          <w:sz w:val="24"/>
          <w:szCs w:val="24"/>
        </w:rPr>
        <w:t xml:space="preserve">Bangla </w:t>
      </w:r>
      <w:r w:rsidRPr="00181699">
        <w:rPr>
          <w:rFonts w:ascii="Aptos" w:eastAsia="Aptos" w:hAnsi="Aptos" w:cs="Aptos"/>
          <w:sz w:val="24"/>
          <w:szCs w:val="24"/>
        </w:rPr>
        <w:t>LED Model: Process</w:t>
      </w:r>
      <w:r w:rsidR="006B3750">
        <w:rPr>
          <w:rFonts w:ascii="Aptos" w:eastAsia="Aptos" w:hAnsi="Aptos" w:cs="Aptos"/>
          <w:sz w:val="24"/>
          <w:szCs w:val="24"/>
        </w:rPr>
        <w:t>, Stakeholder engagement</w:t>
      </w:r>
      <w:r w:rsidRPr="00181699">
        <w:rPr>
          <w:rFonts w:ascii="Aptos" w:eastAsia="Aptos" w:hAnsi="Aptos" w:cs="Aptos"/>
          <w:sz w:val="24"/>
          <w:szCs w:val="24"/>
        </w:rPr>
        <w:t xml:space="preserve"> and </w:t>
      </w:r>
      <w:r w:rsidRPr="00287EF3">
        <w:rPr>
          <w:rFonts w:ascii="Aptos" w:eastAsia="Aptos" w:hAnsi="Aptos" w:cs="Aptos"/>
          <w:sz w:val="24"/>
          <w:szCs w:val="24"/>
        </w:rPr>
        <w:t>Sustainability Outcomes</w:t>
      </w:r>
    </w:p>
    <w:p w14:paraId="03DA8B7A"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Introduction</w:t>
      </w:r>
    </w:p>
    <w:p w14:paraId="72256D62" w14:textId="77777777" w:rsidR="00C77BFC" w:rsidRDefault="00C77BFC" w:rsidP="00A6364F">
      <w:pPr>
        <w:spacing w:after="0" w:line="276" w:lineRule="auto"/>
        <w:jc w:val="both"/>
        <w:rPr>
          <w:rFonts w:cs="Arial"/>
          <w:b/>
          <w:bCs/>
          <w:lang w:val="en-GB"/>
        </w:rPr>
      </w:pPr>
      <w:r w:rsidRPr="00681785">
        <w:rPr>
          <w:rFonts w:cs="Arial"/>
          <w:lang w:val="en-GB"/>
        </w:rPr>
        <w:t xml:space="preserve">PRABRIDDHI is a Local Economic Development (LED) project, funded by the Governments of Bangladesh and Switzerland, co-implemented by the Local Government Division (LGD) and Swisscontact. The current phase of the project (September 2020 – August 2025) focuses on further developing the LED approach in participating municipalities of Bangladesh, capacity building of stakeholders and facilitators of LED and anchoring of the approach on national level.  The project is being implemented in seven municipalities - </w:t>
      </w:r>
      <w:r w:rsidRPr="00681785">
        <w:rPr>
          <w:rFonts w:cs="Arial"/>
          <w:b/>
          <w:bCs/>
          <w:lang w:val="en-GB"/>
        </w:rPr>
        <w:t>Shibganj, Jashore, Bogura,</w:t>
      </w:r>
      <w:r w:rsidRPr="00681785">
        <w:rPr>
          <w:rFonts w:cs="Arial"/>
          <w:lang w:val="en-GB"/>
        </w:rPr>
        <w:t xml:space="preserve"> </w:t>
      </w:r>
      <w:r w:rsidRPr="00681785">
        <w:rPr>
          <w:rFonts w:cs="Arial"/>
          <w:b/>
          <w:bCs/>
          <w:lang w:val="en-GB"/>
        </w:rPr>
        <w:t xml:space="preserve">Bhairab, Dinajpur, Kushtia and Cox’s Bazar </w:t>
      </w:r>
      <w:r w:rsidRPr="00681785">
        <w:rPr>
          <w:rFonts w:cs="Arial"/>
          <w:lang w:val="en-GB"/>
        </w:rPr>
        <w:t>respectively</w:t>
      </w:r>
      <w:r w:rsidRPr="00681785">
        <w:rPr>
          <w:rFonts w:cs="Arial"/>
          <w:b/>
          <w:bCs/>
          <w:lang w:val="en-GB"/>
        </w:rPr>
        <w:t xml:space="preserve">. </w:t>
      </w:r>
    </w:p>
    <w:p w14:paraId="20E22CEF" w14:textId="77777777" w:rsidR="00C77BFC" w:rsidRPr="00681785" w:rsidRDefault="00C77BFC" w:rsidP="00A6364F">
      <w:pPr>
        <w:spacing w:after="0" w:line="276" w:lineRule="auto"/>
        <w:jc w:val="both"/>
        <w:rPr>
          <w:rFonts w:cs="Arial"/>
          <w:lang w:val="en-GB"/>
        </w:rPr>
      </w:pPr>
    </w:p>
    <w:p w14:paraId="1FE288B2"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sz w:val="24"/>
          <w:szCs w:val="24"/>
          <w:lang w:val="en-GB"/>
          <w14:ligatures w14:val="none"/>
        </w:rPr>
      </w:pPr>
      <w:r w:rsidRPr="006B2A5F">
        <w:rPr>
          <w:rFonts w:eastAsia="Times New Roman" w:cs="Arial"/>
          <w:b/>
          <w:bCs/>
          <w:color w:val="156082" w:themeColor="accent1"/>
          <w:sz w:val="24"/>
          <w:szCs w:val="24"/>
          <w:lang w:val="en-GB"/>
          <w14:ligatures w14:val="none"/>
        </w:rPr>
        <w:t>Background and Project Overview</w:t>
      </w:r>
    </w:p>
    <w:p w14:paraId="10A57617" w14:textId="6A60BF6F" w:rsidR="00C77BFC" w:rsidRPr="00681785" w:rsidRDefault="00C77BFC" w:rsidP="00A6364F">
      <w:pPr>
        <w:spacing w:after="0" w:line="276" w:lineRule="auto"/>
        <w:jc w:val="both"/>
        <w:rPr>
          <w:rFonts w:cs="Arial"/>
          <w:lang w:val="en-GB"/>
        </w:rPr>
      </w:pPr>
      <w:r w:rsidRPr="00681785">
        <w:rPr>
          <w:rFonts w:cs="Arial"/>
          <w:lang w:val="en-GB"/>
        </w:rPr>
        <w:t xml:space="preserve">The PRABRIDDHI project aims to create an improved Business Enabling Environment and support inclusive services for key actors by the municipalities and other providers. A “territorial change management initiative” will be induced to foster Local Economic Development.  The project supports the municipalities and local businesses to create a common platform and processes for identifying the key blockages for business growth which impacts wealth and employment generation. At this moment, multiple projects, and investments (financed by the government of Bangladesh as well as development partners) are focusing on the evolvement of municipalities and to upgrade the infrastructure at municipal level. PRABRIDDHI complements these investments by utilising human and financial resources to enhance the competitiveness of municipalities and induce business growth. It also supports private companies through partnerships to reduce the risks associated in piloting new business strategies that create economic opportunities for women, men, and marginalised groups. The project also encourages businesses to adopt green practices and develop sustainable business models, which in turn stimulates economic growth while safeguarding the environment. </w:t>
      </w:r>
    </w:p>
    <w:p w14:paraId="36AFFBD1" w14:textId="77777777" w:rsidR="00C77BFC" w:rsidRDefault="00C77BFC" w:rsidP="00A6364F">
      <w:pPr>
        <w:spacing w:after="0" w:line="276" w:lineRule="auto"/>
        <w:jc w:val="both"/>
        <w:rPr>
          <w:rFonts w:cs="Arial"/>
          <w:lang w:val="en-GB"/>
        </w:rPr>
      </w:pPr>
      <w:r w:rsidRPr="00681785">
        <w:rPr>
          <w:rFonts w:cs="Arial"/>
          <w:lang w:val="en-GB"/>
        </w:rPr>
        <w:t xml:space="preserve">An integral component of the PRABRIDDHI project's strategy is the implementation of the Bangla LED model. This model emphasizes participatory planning, bottom-up development, and public-private collaboration, aiming to create a competitive advantage for local enterprises and enhance communities' economic and social well-being within the target municipalities. The Bangla LED Model aims to foster sustainable economic growth, leveraging local resources and engaging community stakeholders in development. </w:t>
      </w:r>
    </w:p>
    <w:p w14:paraId="2B121C80" w14:textId="4E5D6D81" w:rsidR="00CE4594" w:rsidRPr="00911CDE" w:rsidRDefault="00CE4594" w:rsidP="00A6364F">
      <w:pPr>
        <w:spacing w:line="276" w:lineRule="auto"/>
      </w:pPr>
      <w:r w:rsidRPr="00911CDE">
        <w:t xml:space="preserve">The PRABRIDDHI project is entering its final phase, with implementation concluding in December 2025. As the project </w:t>
      </w:r>
      <w:r w:rsidR="006366C2" w:rsidRPr="00911CDE">
        <w:t>draws</w:t>
      </w:r>
      <w:r w:rsidRPr="00911CDE">
        <w:t xml:space="preserve"> </w:t>
      </w:r>
      <w:r w:rsidR="006366C2">
        <w:t>to an end</w:t>
      </w:r>
      <w:r w:rsidRPr="00911CDE">
        <w:t>, it is essential to document its key achievements, insights, and effects at the municipal</w:t>
      </w:r>
      <w:r w:rsidR="00F40FF4">
        <w:t xml:space="preserve"> level</w:t>
      </w:r>
      <w:r w:rsidRPr="00911CDE">
        <w:t>. Such documentation will help ensure:</w:t>
      </w:r>
    </w:p>
    <w:p w14:paraId="70DC2B58" w14:textId="67EE35E2" w:rsidR="00CE4594" w:rsidRPr="00911CDE" w:rsidRDefault="00CE4594" w:rsidP="00A6364F">
      <w:pPr>
        <w:numPr>
          <w:ilvl w:val="0"/>
          <w:numId w:val="10"/>
        </w:numPr>
        <w:spacing w:line="276" w:lineRule="auto"/>
      </w:pPr>
      <w:r w:rsidRPr="00911CDE">
        <w:rPr>
          <w:b/>
          <w:bCs/>
        </w:rPr>
        <w:t>Sustainability:</w:t>
      </w:r>
      <w:r w:rsidRPr="00911CDE">
        <w:t xml:space="preserve"> Identification of mechanisms that can be maintained </w:t>
      </w:r>
      <w:r w:rsidR="00345617">
        <w:t>by local stakeholders</w:t>
      </w:r>
      <w:r w:rsidRPr="00911CDE">
        <w:t xml:space="preserve"> beyond the project’s lifespan.</w:t>
      </w:r>
    </w:p>
    <w:p w14:paraId="239AF446" w14:textId="7F465ED9" w:rsidR="00EC4F9F" w:rsidRPr="00911CDE" w:rsidRDefault="00EC4F9F" w:rsidP="00A6364F">
      <w:pPr>
        <w:numPr>
          <w:ilvl w:val="0"/>
          <w:numId w:val="10"/>
        </w:numPr>
        <w:spacing w:line="276" w:lineRule="auto"/>
      </w:pPr>
      <w:r>
        <w:rPr>
          <w:b/>
          <w:bCs/>
        </w:rPr>
        <w:lastRenderedPageBreak/>
        <w:t>Scalability:</w:t>
      </w:r>
      <w:r>
        <w:t xml:space="preserve"> Identification of mechanisms that can be </w:t>
      </w:r>
      <w:r w:rsidR="006033CF">
        <w:t xml:space="preserve">scaled </w:t>
      </w:r>
      <w:r w:rsidR="00E9745E">
        <w:t xml:space="preserve">up </w:t>
      </w:r>
      <w:r w:rsidR="00E1073F">
        <w:t xml:space="preserve">by relevant stakeholders </w:t>
      </w:r>
      <w:r w:rsidR="00116A57">
        <w:t>organically and beyond the project’s</w:t>
      </w:r>
      <w:r w:rsidR="00E1073F">
        <w:t xml:space="preserve"> </w:t>
      </w:r>
      <w:r w:rsidR="00647902">
        <w:t>lifespan.</w:t>
      </w:r>
    </w:p>
    <w:p w14:paraId="4977CECC" w14:textId="77777777" w:rsidR="00CE4594" w:rsidRPr="00911CDE" w:rsidRDefault="00CE4594" w:rsidP="00A6364F">
      <w:pPr>
        <w:numPr>
          <w:ilvl w:val="0"/>
          <w:numId w:val="10"/>
        </w:numPr>
        <w:spacing w:line="276" w:lineRule="auto"/>
      </w:pPr>
      <w:r w:rsidRPr="00911CDE">
        <w:rPr>
          <w:b/>
          <w:bCs/>
        </w:rPr>
        <w:t>Cohesion and Legacy:</w:t>
      </w:r>
      <w:r w:rsidRPr="00911CDE">
        <w:t xml:space="preserve"> Understanding how various interventions have reinforced one another and contributed to a durable “Local Economic Development” (LED) model.</w:t>
      </w:r>
    </w:p>
    <w:p w14:paraId="14453D75" w14:textId="77777777" w:rsidR="00CE4594" w:rsidRPr="00911CDE" w:rsidRDefault="00CE4594" w:rsidP="00A6364F">
      <w:pPr>
        <w:numPr>
          <w:ilvl w:val="0"/>
          <w:numId w:val="10"/>
        </w:numPr>
        <w:spacing w:line="276" w:lineRule="auto"/>
      </w:pPr>
      <w:r w:rsidRPr="00911CDE">
        <w:rPr>
          <w:b/>
          <w:bCs/>
        </w:rPr>
        <w:t>Policy Influence and Replication:</w:t>
      </w:r>
      <w:r w:rsidRPr="00911CDE">
        <w:t xml:space="preserve"> Confirmation of results and attribution evidence that can inform policy decisions and encourage replication of the Bangla LED approach in other secondary cities.</w:t>
      </w:r>
    </w:p>
    <w:p w14:paraId="06D4EDA0" w14:textId="48B6530A" w:rsidR="00432744" w:rsidRDefault="00432744" w:rsidP="00432744">
      <w:pPr>
        <w:spacing w:after="0" w:line="276" w:lineRule="auto"/>
        <w:jc w:val="both"/>
      </w:pPr>
      <w:r>
        <w:t>To advance its strategic objectives, PRABRIDDHI intends to commission a qualified firm to conduct a process-level learning assessment across all partner municipalities, focusing on the implementation of the Bangla Local Economic Development (LED) model. This assessment is designed to generate structured learning on how the LED process has evolved over time and how it has contributed to enhancing local economic competitiveness.</w:t>
      </w:r>
    </w:p>
    <w:p w14:paraId="31ACCA80" w14:textId="0AFCFC25" w:rsidR="00432744" w:rsidRDefault="00432744" w:rsidP="00432744">
      <w:pPr>
        <w:spacing w:after="0" w:line="276" w:lineRule="auto"/>
        <w:jc w:val="both"/>
      </w:pPr>
      <w:r>
        <w:t xml:space="preserve">The primary objective is to analyze the processes through which the LED model has been operationalized—capturing </w:t>
      </w:r>
      <w:r w:rsidR="008F3B75">
        <w:t xml:space="preserve">the learning on </w:t>
      </w:r>
      <w:r>
        <w:t>how programmatic interventions have shaped municipal decision-making, strengthened public-private collaboration, and opened new avenues for local stakeholders to drive sustainable development. Additionally, this assessment will particularly emphasize learning derived from implementation experiences, enabling a better understanding of the enabling and constraining factors encountered throughout the LED journey.</w:t>
      </w:r>
    </w:p>
    <w:p w14:paraId="7B60E21C" w14:textId="77777777" w:rsidR="000F7A19" w:rsidRPr="00681785" w:rsidRDefault="000F7A19" w:rsidP="00D3160E">
      <w:pPr>
        <w:spacing w:after="0" w:line="276" w:lineRule="auto"/>
        <w:jc w:val="both"/>
        <w:rPr>
          <w:rFonts w:cs="Arial"/>
          <w:lang w:val="en-GB"/>
        </w:rPr>
      </w:pPr>
    </w:p>
    <w:p w14:paraId="26588DD0" w14:textId="77777777" w:rsidR="00C77BFC"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 xml:space="preserve">Scope of Work </w:t>
      </w:r>
    </w:p>
    <w:p w14:paraId="1D2996F5" w14:textId="77777777" w:rsidR="00643F8E" w:rsidRPr="00643F8E" w:rsidRDefault="00643F8E" w:rsidP="00395AC1">
      <w:pPr>
        <w:spacing w:after="0"/>
      </w:pPr>
      <w:r w:rsidRPr="00643F8E">
        <w:t>This assessment is designed to surface practical insights from PRABRIDDHI’s Bangla Local Economic Development (LED) rollout across partner municipalities. The study will focus on three core areas:</w:t>
      </w:r>
    </w:p>
    <w:p w14:paraId="5F90F1D8" w14:textId="77777777" w:rsidR="00643F8E" w:rsidRPr="00643F8E" w:rsidRDefault="00643F8E" w:rsidP="007079F0">
      <w:pPr>
        <w:spacing w:after="0"/>
      </w:pPr>
      <w:r w:rsidRPr="00643F8E">
        <w:rPr>
          <w:b/>
          <w:bCs/>
        </w:rPr>
        <w:t>1. Process Review of the Bangla LED Model</w:t>
      </w:r>
      <w:r w:rsidRPr="00643F8E">
        <w:br/>
        <w:t>The assessment will examine each phase of the LED cycle—research and stakeholder consultation, awareness</w:t>
      </w:r>
      <w:r w:rsidRPr="00643F8E">
        <w:noBreakHyphen/>
        <w:t>raising, Rapid Economic Appraisal (REA), quick</w:t>
      </w:r>
      <w:r w:rsidRPr="00643F8E">
        <w:noBreakHyphen/>
        <w:t>win initiatives, and long</w:t>
      </w:r>
      <w:r w:rsidRPr="00643F8E">
        <w:noBreakHyphen/>
        <w:t>term planning—to determine what worked, what didn’t, and why. To achieve this, the consultant agency will:</w:t>
      </w:r>
    </w:p>
    <w:p w14:paraId="569AD830" w14:textId="77777777" w:rsidR="00643F8E" w:rsidRPr="00643F8E" w:rsidRDefault="00643F8E" w:rsidP="00643F8E">
      <w:pPr>
        <w:numPr>
          <w:ilvl w:val="0"/>
          <w:numId w:val="24"/>
        </w:numPr>
        <w:spacing w:after="0"/>
      </w:pPr>
      <w:r w:rsidRPr="00643F8E">
        <w:rPr>
          <w:b/>
          <w:bCs/>
        </w:rPr>
        <w:t>Conduct a desk review</w:t>
      </w:r>
      <w:r w:rsidRPr="00643F8E">
        <w:t xml:space="preserve"> of PRABRIDDHI program materials (project documents, intervention plans, </w:t>
      </w:r>
      <w:proofErr w:type="spellStart"/>
      <w:r w:rsidRPr="00643F8E">
        <w:t>logframes</w:t>
      </w:r>
      <w:proofErr w:type="spellEnd"/>
      <w:r w:rsidRPr="00643F8E">
        <w:t>, reports, and studies) to trace the implementation journey and surface documented evidence.</w:t>
      </w:r>
    </w:p>
    <w:p w14:paraId="0D6498C9" w14:textId="77777777" w:rsidR="00643F8E" w:rsidRPr="00643F8E" w:rsidRDefault="00643F8E" w:rsidP="00643F8E">
      <w:pPr>
        <w:numPr>
          <w:ilvl w:val="0"/>
          <w:numId w:val="24"/>
        </w:numPr>
        <w:spacing w:after="0"/>
      </w:pPr>
      <w:r w:rsidRPr="00643F8E">
        <w:rPr>
          <w:b/>
          <w:bCs/>
        </w:rPr>
        <w:t>Interview key stakeholders</w:t>
      </w:r>
      <w:r w:rsidRPr="00643F8E">
        <w:t>—municipal partners, LGD representatives, private</w:t>
      </w:r>
      <w:r w:rsidRPr="00643F8E">
        <w:noBreakHyphen/>
        <w:t>sector actors, and local entrepreneurs—to gather real</w:t>
      </w:r>
      <w:r w:rsidRPr="00643F8E">
        <w:noBreakHyphen/>
        <w:t>world examples, capture emerging best practices, and identify scalable innovations.</w:t>
      </w:r>
    </w:p>
    <w:p w14:paraId="67460759" w14:textId="77777777" w:rsidR="00643F8E" w:rsidRPr="00643F8E" w:rsidRDefault="00643F8E" w:rsidP="00643F8E">
      <w:pPr>
        <w:numPr>
          <w:ilvl w:val="0"/>
          <w:numId w:val="24"/>
        </w:numPr>
        <w:spacing w:after="0"/>
      </w:pPr>
      <w:r w:rsidRPr="00643F8E">
        <w:rPr>
          <w:b/>
          <w:bCs/>
        </w:rPr>
        <w:t>Hold expert consultations</w:t>
      </w:r>
      <w:r w:rsidRPr="00643F8E">
        <w:t xml:space="preserve"> (Key Informant Interviews) with the LED project’s core technical team (Team Leader, Advisor, long</w:t>
      </w:r>
      <w:r w:rsidRPr="00643F8E">
        <w:noBreakHyphen/>
        <w:t>term consultants, etc.) to deepen understanding of lessons learned and inform next steps.</w:t>
      </w:r>
    </w:p>
    <w:p w14:paraId="0494C13F" w14:textId="77777777" w:rsidR="00643F8E" w:rsidRPr="00643F8E" w:rsidRDefault="00643F8E" w:rsidP="007079F0">
      <w:pPr>
        <w:spacing w:after="0"/>
      </w:pPr>
      <w:r w:rsidRPr="00643F8E">
        <w:rPr>
          <w:b/>
          <w:bCs/>
        </w:rPr>
        <w:t>2. Knowledge Capture and Adaptation</w:t>
      </w:r>
      <w:r w:rsidRPr="00643F8E">
        <w:br/>
        <w:t>The assessment will document how each municipality adopted and adapted the Bangla LED process—highlighting enabling factors, encountered challenges, and context</w:t>
      </w:r>
      <w:r w:rsidRPr="00643F8E">
        <w:noBreakHyphen/>
        <w:t>driven solutions. This “living” knowledge base will distill both immediate takeaways and longer</w:t>
      </w:r>
      <w:r w:rsidRPr="00643F8E">
        <w:noBreakHyphen/>
        <w:t xml:space="preserve">term strategic insights, </w:t>
      </w:r>
      <w:r w:rsidRPr="00643F8E">
        <w:lastRenderedPageBreak/>
        <w:t>providing donors and practitioners with clear guidance on designing, replicating, and scaling LED initiatives.</w:t>
      </w:r>
    </w:p>
    <w:p w14:paraId="59C62E2E" w14:textId="4334BEEC" w:rsidR="00643F8E" w:rsidRPr="00395AC1" w:rsidRDefault="00643F8E" w:rsidP="005D6742">
      <w:pPr>
        <w:spacing w:after="0"/>
        <w:rPr>
          <w:color w:val="215E99" w:themeColor="text2" w:themeTint="BF"/>
        </w:rPr>
      </w:pPr>
      <w:r w:rsidRPr="00643F8E">
        <w:rPr>
          <w:b/>
          <w:bCs/>
        </w:rPr>
        <w:t>3. Targeted Recommendations</w:t>
      </w:r>
      <w:r w:rsidRPr="00643F8E">
        <w:br/>
      </w:r>
      <w:r w:rsidR="005D6742" w:rsidRPr="005D6742">
        <w:t>Based on its findings, the consultant agency will provide forward-looking recommendations to strengthen the institutionalization of the LED process. These insights will also inform a roadmap for replicating the Bangla LED model in other secondary cities in Bangladesh and beyond</w:t>
      </w:r>
      <w:r w:rsidR="005D6742">
        <w:rPr>
          <w:b/>
          <w:bCs/>
        </w:rPr>
        <w:t xml:space="preserve">. </w:t>
      </w:r>
    </w:p>
    <w:p w14:paraId="22E67F91" w14:textId="4B7E8A96" w:rsidR="00643F8E" w:rsidRPr="00643F8E" w:rsidRDefault="00643F8E" w:rsidP="00395AC1">
      <w:pPr>
        <w:spacing w:after="0"/>
      </w:pPr>
      <w:r w:rsidRPr="00643F8E">
        <w:t>Together, these three pillars will ensure the assessment delivers actionable learning and a clear path to more effective, sustainable local economic development.</w:t>
      </w:r>
    </w:p>
    <w:p w14:paraId="618B08A5" w14:textId="601869F2" w:rsidR="00AF4128" w:rsidRPr="00D62DB3" w:rsidRDefault="00AF4128" w:rsidP="00AF4128">
      <w:pPr>
        <w:spacing w:after="0"/>
        <w:ind w:left="720"/>
      </w:pPr>
    </w:p>
    <w:p w14:paraId="4ED9E407" w14:textId="7BC86432" w:rsidR="00787959" w:rsidRPr="00787959" w:rsidRDefault="00787959" w:rsidP="00787959">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787959">
        <w:rPr>
          <w:rFonts w:eastAsia="Times New Roman" w:cs="Arial"/>
          <w:b/>
          <w:bCs/>
          <w:color w:val="156082" w:themeColor="accent1"/>
          <w:sz w:val="24"/>
          <w:szCs w:val="24"/>
          <w:lang w:val="en-GB"/>
          <w14:ligatures w14:val="none"/>
        </w:rPr>
        <w:t>Duration of the Contract</w:t>
      </w:r>
    </w:p>
    <w:p w14:paraId="180DADDF" w14:textId="77777777" w:rsidR="00787959" w:rsidRPr="00681785" w:rsidRDefault="00787959" w:rsidP="00787959">
      <w:pPr>
        <w:spacing w:after="0" w:line="276" w:lineRule="auto"/>
        <w:jc w:val="both"/>
        <w:rPr>
          <w:b/>
          <w:bCs/>
        </w:rPr>
      </w:pPr>
      <w:r w:rsidRPr="00681785">
        <w:t>The duration of the assignment will be from</w:t>
      </w:r>
      <w:r w:rsidRPr="00681785">
        <w:rPr>
          <w:b/>
          <w:bCs/>
        </w:rPr>
        <w:t xml:space="preserve"> </w:t>
      </w:r>
      <w:r>
        <w:rPr>
          <w:b/>
          <w:bCs/>
        </w:rPr>
        <w:t>August 1</w:t>
      </w:r>
      <w:r w:rsidRPr="00681785">
        <w:rPr>
          <w:b/>
          <w:bCs/>
        </w:rPr>
        <w:t xml:space="preserve"> – </w:t>
      </w:r>
      <w:r>
        <w:rPr>
          <w:b/>
          <w:bCs/>
        </w:rPr>
        <w:t>30 October</w:t>
      </w:r>
      <w:r w:rsidRPr="00681785">
        <w:rPr>
          <w:b/>
          <w:bCs/>
        </w:rPr>
        <w:t xml:space="preserve"> 2025.</w:t>
      </w:r>
    </w:p>
    <w:p w14:paraId="5FD408DF" w14:textId="77777777" w:rsidR="00787959" w:rsidRDefault="00787959" w:rsidP="00787959">
      <w:pPr>
        <w:spacing w:after="0" w:line="276" w:lineRule="auto"/>
        <w:jc w:val="both"/>
        <w:outlineLvl w:val="2"/>
        <w:rPr>
          <w:rFonts w:eastAsia="Times New Roman" w:cs="Arial"/>
          <w:b/>
          <w:bCs/>
          <w:color w:val="156082" w:themeColor="accent1"/>
          <w:lang w:val="en-GB"/>
          <w14:ligatures w14:val="none"/>
        </w:rPr>
      </w:pPr>
    </w:p>
    <w:p w14:paraId="64652A14" w14:textId="5EA0518D" w:rsidR="00787959" w:rsidRPr="00787959" w:rsidRDefault="00787959" w:rsidP="00787959">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787959">
        <w:rPr>
          <w:rFonts w:eastAsia="Times New Roman" w:cs="Arial"/>
          <w:b/>
          <w:bCs/>
          <w:color w:val="156082" w:themeColor="accent1"/>
          <w:sz w:val="24"/>
          <w:szCs w:val="24"/>
          <w:lang w:val="en-GB"/>
          <w14:ligatures w14:val="none"/>
        </w:rPr>
        <w:t>Geographic Location</w:t>
      </w:r>
      <w:r w:rsidR="006A705A">
        <w:rPr>
          <w:rFonts w:eastAsia="Times New Roman" w:cs="Arial"/>
          <w:b/>
          <w:bCs/>
          <w:color w:val="156082" w:themeColor="accent1"/>
          <w:sz w:val="24"/>
          <w:szCs w:val="24"/>
          <w:lang w:val="en-GB"/>
          <w14:ligatures w14:val="none"/>
        </w:rPr>
        <w:t xml:space="preserve"> and Sector focused </w:t>
      </w:r>
    </w:p>
    <w:p w14:paraId="7F3FBD77" w14:textId="08D100E8" w:rsidR="00787959" w:rsidRDefault="00787959" w:rsidP="00787959">
      <w:pPr>
        <w:spacing w:after="0" w:line="276" w:lineRule="auto"/>
        <w:jc w:val="both"/>
        <w:outlineLvl w:val="2"/>
        <w:rPr>
          <w:rFonts w:eastAsia="Times New Roman" w:cs="Arial"/>
          <w14:ligatures w14:val="none"/>
        </w:rPr>
      </w:pPr>
      <w:r w:rsidRPr="00681785">
        <w:rPr>
          <w:rFonts w:eastAsia="Times New Roman" w:cs="Arial"/>
          <w14:ligatures w14:val="none"/>
        </w:rPr>
        <w:t xml:space="preserve">The assignments will be carried out in </w:t>
      </w:r>
      <w:r w:rsidR="00D62DB3">
        <w:rPr>
          <w:rFonts w:eastAsia="Times New Roman" w:cs="Arial"/>
          <w14:ligatures w14:val="none"/>
        </w:rPr>
        <w:t xml:space="preserve">all Municipalities: </w:t>
      </w:r>
    </w:p>
    <w:tbl>
      <w:tblPr>
        <w:tblStyle w:val="TableGrid"/>
        <w:tblW w:w="9362" w:type="dxa"/>
        <w:tblLook w:val="04A0" w:firstRow="1" w:lastRow="0" w:firstColumn="1" w:lastColumn="0" w:noHBand="0" w:noVBand="1"/>
      </w:tblPr>
      <w:tblGrid>
        <w:gridCol w:w="4135"/>
        <w:gridCol w:w="5227"/>
      </w:tblGrid>
      <w:tr w:rsidR="006A705A" w:rsidRPr="006A705A" w14:paraId="28FCD2A9" w14:textId="139DFAAD" w:rsidTr="007079F0">
        <w:trPr>
          <w:trHeight w:val="288"/>
        </w:trPr>
        <w:tc>
          <w:tcPr>
            <w:tcW w:w="4135" w:type="dxa"/>
          </w:tcPr>
          <w:p w14:paraId="5448F315" w14:textId="3037D80D" w:rsidR="006A705A" w:rsidRPr="006A705A" w:rsidRDefault="006A705A" w:rsidP="00787959">
            <w:pPr>
              <w:spacing w:line="276" w:lineRule="auto"/>
              <w:jc w:val="both"/>
              <w:outlineLvl w:val="2"/>
              <w:rPr>
                <w:rFonts w:eastAsia="Times New Roman" w:cs="Arial"/>
                <w:b/>
                <w:bCs/>
                <w14:ligatures w14:val="none"/>
              </w:rPr>
            </w:pPr>
            <w:r w:rsidRPr="006A705A">
              <w:rPr>
                <w:rFonts w:eastAsia="Times New Roman" w:cs="Arial"/>
                <w:b/>
                <w:bCs/>
                <w14:ligatures w14:val="none"/>
              </w:rPr>
              <w:t>District</w:t>
            </w:r>
          </w:p>
        </w:tc>
        <w:tc>
          <w:tcPr>
            <w:tcW w:w="5227" w:type="dxa"/>
          </w:tcPr>
          <w:p w14:paraId="0DA25E00" w14:textId="20B40AB0" w:rsidR="006A705A" w:rsidRPr="006A705A" w:rsidRDefault="006A705A" w:rsidP="00787959">
            <w:pPr>
              <w:spacing w:line="276" w:lineRule="auto"/>
              <w:jc w:val="both"/>
              <w:outlineLvl w:val="2"/>
              <w:rPr>
                <w:rFonts w:eastAsia="Times New Roman" w:cs="Arial"/>
                <w:b/>
                <w:bCs/>
                <w14:ligatures w14:val="none"/>
              </w:rPr>
            </w:pPr>
            <w:r w:rsidRPr="006A705A">
              <w:rPr>
                <w:rFonts w:eastAsia="Times New Roman" w:cs="Arial"/>
                <w:b/>
                <w:bCs/>
                <w14:ligatures w14:val="none"/>
              </w:rPr>
              <w:t>Municipality</w:t>
            </w:r>
          </w:p>
        </w:tc>
      </w:tr>
      <w:tr w:rsidR="006A705A" w14:paraId="78724887" w14:textId="44B5D238" w:rsidTr="007079F0">
        <w:trPr>
          <w:trHeight w:val="288"/>
        </w:trPr>
        <w:tc>
          <w:tcPr>
            <w:tcW w:w="4135" w:type="dxa"/>
          </w:tcPr>
          <w:p w14:paraId="062A5AC4" w14:textId="48F8716F" w:rsidR="006A705A" w:rsidRDefault="006A705A" w:rsidP="00787959">
            <w:pPr>
              <w:spacing w:line="276" w:lineRule="auto"/>
              <w:jc w:val="both"/>
              <w:outlineLvl w:val="2"/>
              <w:rPr>
                <w:rFonts w:eastAsia="Times New Roman" w:cs="Arial"/>
                <w14:ligatures w14:val="none"/>
              </w:rPr>
            </w:pPr>
            <w:proofErr w:type="spellStart"/>
            <w:r>
              <w:rPr>
                <w:rFonts w:eastAsia="Times New Roman" w:cs="Arial"/>
                <w14:ligatures w14:val="none"/>
              </w:rPr>
              <w:t>Chapinawabganj</w:t>
            </w:r>
            <w:proofErr w:type="spellEnd"/>
          </w:p>
        </w:tc>
        <w:tc>
          <w:tcPr>
            <w:tcW w:w="5227" w:type="dxa"/>
          </w:tcPr>
          <w:p w14:paraId="21E8BB9D" w14:textId="1FFDBE5E"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 xml:space="preserve">Shibganj </w:t>
            </w:r>
          </w:p>
        </w:tc>
      </w:tr>
      <w:tr w:rsidR="006A705A" w14:paraId="1139171B" w14:textId="742D575E" w:rsidTr="007079F0">
        <w:trPr>
          <w:trHeight w:val="288"/>
        </w:trPr>
        <w:tc>
          <w:tcPr>
            <w:tcW w:w="4135" w:type="dxa"/>
          </w:tcPr>
          <w:p w14:paraId="535562B8" w14:textId="06BCE3B0"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Dinajpur</w:t>
            </w:r>
          </w:p>
        </w:tc>
        <w:tc>
          <w:tcPr>
            <w:tcW w:w="5227" w:type="dxa"/>
          </w:tcPr>
          <w:p w14:paraId="0DB91A78" w14:textId="11B1E162"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Dinajpur</w:t>
            </w:r>
          </w:p>
        </w:tc>
      </w:tr>
      <w:tr w:rsidR="006A705A" w14:paraId="315145FC" w14:textId="0FEA7F66" w:rsidTr="007079F0">
        <w:trPr>
          <w:trHeight w:val="288"/>
        </w:trPr>
        <w:tc>
          <w:tcPr>
            <w:tcW w:w="4135" w:type="dxa"/>
          </w:tcPr>
          <w:p w14:paraId="56383269" w14:textId="383AE545"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Cox’s bazar</w:t>
            </w:r>
          </w:p>
        </w:tc>
        <w:tc>
          <w:tcPr>
            <w:tcW w:w="5227" w:type="dxa"/>
          </w:tcPr>
          <w:p w14:paraId="44F2CA8C" w14:textId="723C1ACD"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Cox’s bazar</w:t>
            </w:r>
          </w:p>
        </w:tc>
      </w:tr>
      <w:tr w:rsidR="006A705A" w14:paraId="59D80E76" w14:textId="7BC553E0" w:rsidTr="007079F0">
        <w:trPr>
          <w:trHeight w:val="279"/>
        </w:trPr>
        <w:tc>
          <w:tcPr>
            <w:tcW w:w="4135" w:type="dxa"/>
          </w:tcPr>
          <w:p w14:paraId="15F6A852" w14:textId="5EC9D6E6"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Bogura</w:t>
            </w:r>
          </w:p>
        </w:tc>
        <w:tc>
          <w:tcPr>
            <w:tcW w:w="5227" w:type="dxa"/>
          </w:tcPr>
          <w:p w14:paraId="32A4081D" w14:textId="3512290E"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Bogura</w:t>
            </w:r>
          </w:p>
        </w:tc>
      </w:tr>
      <w:tr w:rsidR="006A705A" w14:paraId="1CBAEF3D" w14:textId="2EB76CDB" w:rsidTr="007079F0">
        <w:trPr>
          <w:trHeight w:val="288"/>
        </w:trPr>
        <w:tc>
          <w:tcPr>
            <w:tcW w:w="4135" w:type="dxa"/>
          </w:tcPr>
          <w:p w14:paraId="50AF9B1C" w14:textId="3D6816B5"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 xml:space="preserve">Jashore </w:t>
            </w:r>
          </w:p>
        </w:tc>
        <w:tc>
          <w:tcPr>
            <w:tcW w:w="5227" w:type="dxa"/>
          </w:tcPr>
          <w:p w14:paraId="7BDE5DA1" w14:textId="27C8C14E"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 xml:space="preserve">Jashore </w:t>
            </w:r>
          </w:p>
        </w:tc>
      </w:tr>
      <w:tr w:rsidR="006A705A" w14:paraId="1E15863C" w14:textId="6B964B19" w:rsidTr="007079F0">
        <w:trPr>
          <w:trHeight w:val="288"/>
        </w:trPr>
        <w:tc>
          <w:tcPr>
            <w:tcW w:w="4135" w:type="dxa"/>
          </w:tcPr>
          <w:p w14:paraId="32FCF6DD" w14:textId="2B583EC3"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 xml:space="preserve">Kushtia </w:t>
            </w:r>
          </w:p>
        </w:tc>
        <w:tc>
          <w:tcPr>
            <w:tcW w:w="5227" w:type="dxa"/>
          </w:tcPr>
          <w:p w14:paraId="2D973D40" w14:textId="465C3C48"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 xml:space="preserve">Kushtia </w:t>
            </w:r>
          </w:p>
        </w:tc>
      </w:tr>
      <w:tr w:rsidR="006A705A" w14:paraId="315C2607" w14:textId="5017E5FE" w:rsidTr="007079F0">
        <w:trPr>
          <w:trHeight w:val="288"/>
        </w:trPr>
        <w:tc>
          <w:tcPr>
            <w:tcW w:w="4135" w:type="dxa"/>
          </w:tcPr>
          <w:p w14:paraId="71CBD1B6" w14:textId="6FC91B2A"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 xml:space="preserve">Kishoreganj </w:t>
            </w:r>
          </w:p>
        </w:tc>
        <w:tc>
          <w:tcPr>
            <w:tcW w:w="5227" w:type="dxa"/>
          </w:tcPr>
          <w:p w14:paraId="33391EB7" w14:textId="795CB559" w:rsidR="006A705A" w:rsidRDefault="006A705A" w:rsidP="00787959">
            <w:pPr>
              <w:spacing w:line="276" w:lineRule="auto"/>
              <w:jc w:val="both"/>
              <w:outlineLvl w:val="2"/>
              <w:rPr>
                <w:rFonts w:eastAsia="Times New Roman" w:cs="Arial"/>
                <w14:ligatures w14:val="none"/>
              </w:rPr>
            </w:pPr>
            <w:r>
              <w:rPr>
                <w:rFonts w:eastAsia="Times New Roman" w:cs="Arial"/>
                <w14:ligatures w14:val="none"/>
              </w:rPr>
              <w:t>Bhairab</w:t>
            </w:r>
          </w:p>
        </w:tc>
      </w:tr>
    </w:tbl>
    <w:p w14:paraId="40F735F7" w14:textId="77777777" w:rsidR="00D62DB3" w:rsidRPr="00787959" w:rsidRDefault="00D62DB3" w:rsidP="00787959">
      <w:pPr>
        <w:spacing w:after="0" w:line="276" w:lineRule="auto"/>
        <w:jc w:val="both"/>
        <w:outlineLvl w:val="2"/>
        <w:rPr>
          <w:rFonts w:eastAsia="Times New Roman" w:cs="Arial"/>
          <w14:ligatures w14:val="none"/>
        </w:rPr>
      </w:pPr>
    </w:p>
    <w:p w14:paraId="1FC1DF90" w14:textId="176C05DC"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Major Tasks</w:t>
      </w:r>
      <w:r w:rsidR="00CE4594">
        <w:rPr>
          <w:rFonts w:eastAsia="Times New Roman" w:cs="Arial"/>
          <w:b/>
          <w:bCs/>
          <w:color w:val="156082" w:themeColor="accent1"/>
          <w:sz w:val="24"/>
          <w:szCs w:val="24"/>
          <w:lang w:val="en-GB"/>
          <w14:ligatures w14:val="none"/>
        </w:rPr>
        <w:t xml:space="preserve"> and deliverables</w:t>
      </w:r>
    </w:p>
    <w:tbl>
      <w:tblPr>
        <w:tblStyle w:val="TableGridLight"/>
        <w:tblW w:w="0" w:type="auto"/>
        <w:tblLook w:val="04A0" w:firstRow="1" w:lastRow="0" w:firstColumn="1" w:lastColumn="0" w:noHBand="0" w:noVBand="1"/>
      </w:tblPr>
      <w:tblGrid>
        <w:gridCol w:w="1723"/>
        <w:gridCol w:w="1530"/>
        <w:gridCol w:w="3121"/>
        <w:gridCol w:w="1955"/>
        <w:gridCol w:w="1021"/>
      </w:tblGrid>
      <w:tr w:rsidR="00787959" w:rsidRPr="00787959" w14:paraId="186B9271" w14:textId="77777777" w:rsidTr="006A705A">
        <w:trPr>
          <w:tblHeader/>
        </w:trPr>
        <w:tc>
          <w:tcPr>
            <w:tcW w:w="0" w:type="auto"/>
            <w:hideMark/>
          </w:tcPr>
          <w:p w14:paraId="5506E2CF" w14:textId="77777777" w:rsidR="00787959" w:rsidRPr="00787959" w:rsidRDefault="00787959">
            <w:pPr>
              <w:jc w:val="center"/>
              <w:rPr>
                <w:b/>
                <w:bCs/>
                <w:sz w:val="20"/>
                <w:szCs w:val="20"/>
              </w:rPr>
            </w:pPr>
            <w:r w:rsidRPr="00787959">
              <w:rPr>
                <w:rStyle w:val="Strong"/>
                <w:sz w:val="20"/>
                <w:szCs w:val="20"/>
              </w:rPr>
              <w:t>Major Tasks</w:t>
            </w:r>
          </w:p>
        </w:tc>
        <w:tc>
          <w:tcPr>
            <w:tcW w:w="0" w:type="auto"/>
            <w:hideMark/>
          </w:tcPr>
          <w:p w14:paraId="043802EF" w14:textId="77777777" w:rsidR="00787959" w:rsidRPr="00787959" w:rsidRDefault="00787959">
            <w:pPr>
              <w:jc w:val="center"/>
              <w:rPr>
                <w:b/>
                <w:bCs/>
                <w:sz w:val="20"/>
                <w:szCs w:val="20"/>
              </w:rPr>
            </w:pPr>
            <w:r w:rsidRPr="00787959">
              <w:rPr>
                <w:rStyle w:val="Strong"/>
                <w:sz w:val="20"/>
                <w:szCs w:val="20"/>
              </w:rPr>
              <w:t>Key Deliverables</w:t>
            </w:r>
          </w:p>
        </w:tc>
        <w:tc>
          <w:tcPr>
            <w:tcW w:w="0" w:type="auto"/>
            <w:hideMark/>
          </w:tcPr>
          <w:p w14:paraId="73D5353B" w14:textId="77777777" w:rsidR="00787959" w:rsidRPr="00787959" w:rsidRDefault="00787959">
            <w:pPr>
              <w:jc w:val="center"/>
              <w:rPr>
                <w:b/>
                <w:bCs/>
                <w:sz w:val="20"/>
                <w:szCs w:val="20"/>
              </w:rPr>
            </w:pPr>
            <w:r w:rsidRPr="00787959">
              <w:rPr>
                <w:rStyle w:val="Strong"/>
                <w:sz w:val="20"/>
                <w:szCs w:val="20"/>
              </w:rPr>
              <w:t>Brief Description of Deliverable</w:t>
            </w:r>
          </w:p>
        </w:tc>
        <w:tc>
          <w:tcPr>
            <w:tcW w:w="0" w:type="auto"/>
            <w:hideMark/>
          </w:tcPr>
          <w:p w14:paraId="5568114B" w14:textId="77777777" w:rsidR="00787959" w:rsidRPr="00787959" w:rsidRDefault="00787959">
            <w:pPr>
              <w:jc w:val="center"/>
              <w:rPr>
                <w:b/>
                <w:bCs/>
                <w:sz w:val="20"/>
                <w:szCs w:val="20"/>
              </w:rPr>
            </w:pPr>
            <w:r w:rsidRPr="00787959">
              <w:rPr>
                <w:rStyle w:val="Strong"/>
                <w:sz w:val="20"/>
                <w:szCs w:val="20"/>
              </w:rPr>
              <w:t>Measurable Indicators</w:t>
            </w:r>
          </w:p>
        </w:tc>
        <w:tc>
          <w:tcPr>
            <w:tcW w:w="0" w:type="auto"/>
            <w:hideMark/>
          </w:tcPr>
          <w:p w14:paraId="146C43A3" w14:textId="77777777" w:rsidR="00787959" w:rsidRPr="00787959" w:rsidRDefault="00787959">
            <w:pPr>
              <w:jc w:val="center"/>
              <w:rPr>
                <w:b/>
                <w:bCs/>
                <w:sz w:val="20"/>
                <w:szCs w:val="20"/>
              </w:rPr>
            </w:pPr>
            <w:r w:rsidRPr="00787959">
              <w:rPr>
                <w:rStyle w:val="Strong"/>
                <w:sz w:val="20"/>
                <w:szCs w:val="20"/>
              </w:rPr>
              <w:t>Timeline</w:t>
            </w:r>
          </w:p>
        </w:tc>
      </w:tr>
      <w:tr w:rsidR="00787959" w:rsidRPr="00787959" w14:paraId="450F2027" w14:textId="77777777" w:rsidTr="00787959">
        <w:tc>
          <w:tcPr>
            <w:tcW w:w="0" w:type="auto"/>
            <w:hideMark/>
          </w:tcPr>
          <w:p w14:paraId="71DDC4CD" w14:textId="77777777" w:rsidR="00787959" w:rsidRPr="00787959" w:rsidRDefault="00787959">
            <w:pPr>
              <w:rPr>
                <w:sz w:val="20"/>
                <w:szCs w:val="20"/>
              </w:rPr>
            </w:pPr>
            <w:r w:rsidRPr="00787959">
              <w:rPr>
                <w:rStyle w:val="Strong"/>
                <w:sz w:val="20"/>
                <w:szCs w:val="20"/>
              </w:rPr>
              <w:t>1. Inception and Planning</w:t>
            </w:r>
          </w:p>
        </w:tc>
        <w:tc>
          <w:tcPr>
            <w:tcW w:w="0" w:type="auto"/>
            <w:hideMark/>
          </w:tcPr>
          <w:p w14:paraId="63D3DED0" w14:textId="77777777" w:rsidR="00787959" w:rsidRPr="00787959" w:rsidRDefault="00787959">
            <w:pPr>
              <w:rPr>
                <w:sz w:val="20"/>
                <w:szCs w:val="20"/>
              </w:rPr>
            </w:pPr>
            <w:r w:rsidRPr="00787959">
              <w:rPr>
                <w:rStyle w:val="Strong"/>
                <w:sz w:val="20"/>
                <w:szCs w:val="20"/>
              </w:rPr>
              <w:t>Inception Report</w:t>
            </w:r>
          </w:p>
        </w:tc>
        <w:tc>
          <w:tcPr>
            <w:tcW w:w="0" w:type="auto"/>
            <w:hideMark/>
          </w:tcPr>
          <w:p w14:paraId="5217B298" w14:textId="77777777" w:rsidR="00787959" w:rsidRPr="00787959" w:rsidRDefault="00787959">
            <w:pPr>
              <w:rPr>
                <w:sz w:val="20"/>
                <w:szCs w:val="20"/>
              </w:rPr>
            </w:pPr>
            <w:r w:rsidRPr="00787959">
              <w:rPr>
                <w:sz w:val="20"/>
                <w:szCs w:val="20"/>
              </w:rPr>
              <w:t>A detailed plan outlining objectives, methodology, tools, timeline, and roles to guide the assessment.</w:t>
            </w:r>
          </w:p>
        </w:tc>
        <w:tc>
          <w:tcPr>
            <w:tcW w:w="0" w:type="auto"/>
            <w:hideMark/>
          </w:tcPr>
          <w:p w14:paraId="722B53AC" w14:textId="77777777" w:rsidR="00787959" w:rsidRPr="00787959" w:rsidRDefault="00787959">
            <w:pPr>
              <w:rPr>
                <w:sz w:val="20"/>
                <w:szCs w:val="20"/>
              </w:rPr>
            </w:pPr>
            <w:r w:rsidRPr="00787959">
              <w:rPr>
                <w:sz w:val="20"/>
                <w:szCs w:val="20"/>
              </w:rPr>
              <w:t>Report submitted and approved by PRABRIDDHI</w:t>
            </w:r>
          </w:p>
        </w:tc>
        <w:tc>
          <w:tcPr>
            <w:tcW w:w="0" w:type="auto"/>
            <w:hideMark/>
          </w:tcPr>
          <w:p w14:paraId="0335E141" w14:textId="7A3B20B4" w:rsidR="00787959" w:rsidRPr="00787959" w:rsidRDefault="00787959">
            <w:pPr>
              <w:rPr>
                <w:sz w:val="20"/>
                <w:szCs w:val="20"/>
              </w:rPr>
            </w:pPr>
            <w:r w:rsidRPr="00787959">
              <w:rPr>
                <w:sz w:val="20"/>
                <w:szCs w:val="20"/>
              </w:rPr>
              <w:t xml:space="preserve">1 Weeks </w:t>
            </w:r>
          </w:p>
        </w:tc>
      </w:tr>
      <w:tr w:rsidR="00787959" w:rsidRPr="00787959" w14:paraId="0061EC59" w14:textId="77777777" w:rsidTr="00787959">
        <w:tc>
          <w:tcPr>
            <w:tcW w:w="0" w:type="auto"/>
            <w:hideMark/>
          </w:tcPr>
          <w:p w14:paraId="70515215" w14:textId="77777777" w:rsidR="00787959" w:rsidRPr="00787959" w:rsidRDefault="00787959">
            <w:pPr>
              <w:rPr>
                <w:sz w:val="20"/>
                <w:szCs w:val="20"/>
              </w:rPr>
            </w:pPr>
            <w:r w:rsidRPr="00787959">
              <w:rPr>
                <w:rStyle w:val="Strong"/>
                <w:sz w:val="20"/>
                <w:szCs w:val="20"/>
              </w:rPr>
              <w:t>2. Desk Review and Tool Finalization</w:t>
            </w:r>
          </w:p>
        </w:tc>
        <w:tc>
          <w:tcPr>
            <w:tcW w:w="0" w:type="auto"/>
            <w:hideMark/>
          </w:tcPr>
          <w:p w14:paraId="7AC6DF45" w14:textId="77777777" w:rsidR="00787959" w:rsidRPr="00787959" w:rsidRDefault="00787959">
            <w:pPr>
              <w:rPr>
                <w:sz w:val="20"/>
                <w:szCs w:val="20"/>
              </w:rPr>
            </w:pPr>
            <w:r w:rsidRPr="00787959">
              <w:rPr>
                <w:rStyle w:val="Strong"/>
                <w:sz w:val="20"/>
                <w:szCs w:val="20"/>
              </w:rPr>
              <w:t>Assessment Tools</w:t>
            </w:r>
          </w:p>
        </w:tc>
        <w:tc>
          <w:tcPr>
            <w:tcW w:w="0" w:type="auto"/>
            <w:hideMark/>
          </w:tcPr>
          <w:p w14:paraId="3A704CC8" w14:textId="6E722452" w:rsidR="00787959" w:rsidRPr="00787959" w:rsidRDefault="00787959">
            <w:pPr>
              <w:rPr>
                <w:sz w:val="20"/>
                <w:szCs w:val="20"/>
              </w:rPr>
            </w:pPr>
            <w:r w:rsidRPr="00787959">
              <w:rPr>
                <w:sz w:val="20"/>
                <w:szCs w:val="20"/>
              </w:rPr>
              <w:t xml:space="preserve">Finalized tools, including KII guides, FGD checklists, </w:t>
            </w:r>
            <w:r w:rsidR="00A65261">
              <w:rPr>
                <w:sz w:val="20"/>
                <w:szCs w:val="20"/>
              </w:rPr>
              <w:t xml:space="preserve">questionnaires </w:t>
            </w:r>
            <w:r w:rsidRPr="00787959">
              <w:rPr>
                <w:sz w:val="20"/>
                <w:szCs w:val="20"/>
              </w:rPr>
              <w:t>and consent forms to be used during fieldwork.</w:t>
            </w:r>
          </w:p>
        </w:tc>
        <w:tc>
          <w:tcPr>
            <w:tcW w:w="0" w:type="auto"/>
            <w:hideMark/>
          </w:tcPr>
          <w:p w14:paraId="013E7219" w14:textId="77777777" w:rsidR="00787959" w:rsidRPr="00787959" w:rsidRDefault="00787959">
            <w:pPr>
              <w:rPr>
                <w:sz w:val="20"/>
                <w:szCs w:val="20"/>
              </w:rPr>
            </w:pPr>
            <w:r w:rsidRPr="00787959">
              <w:rPr>
                <w:sz w:val="20"/>
                <w:szCs w:val="20"/>
              </w:rPr>
              <w:t>Set of tools submitted and approved</w:t>
            </w:r>
          </w:p>
        </w:tc>
        <w:tc>
          <w:tcPr>
            <w:tcW w:w="0" w:type="auto"/>
            <w:hideMark/>
          </w:tcPr>
          <w:p w14:paraId="53ABC99A" w14:textId="042C16AF" w:rsidR="00787959" w:rsidRPr="00787959" w:rsidRDefault="00787959">
            <w:pPr>
              <w:rPr>
                <w:sz w:val="20"/>
                <w:szCs w:val="20"/>
              </w:rPr>
            </w:pPr>
            <w:r w:rsidRPr="00787959">
              <w:rPr>
                <w:sz w:val="20"/>
                <w:szCs w:val="20"/>
              </w:rPr>
              <w:t xml:space="preserve">1 Weeks </w:t>
            </w:r>
          </w:p>
        </w:tc>
      </w:tr>
      <w:tr w:rsidR="00787959" w:rsidRPr="00787959" w14:paraId="6CBC0E19" w14:textId="77777777" w:rsidTr="00787959">
        <w:tc>
          <w:tcPr>
            <w:tcW w:w="0" w:type="auto"/>
            <w:hideMark/>
          </w:tcPr>
          <w:p w14:paraId="47B4B147" w14:textId="77777777" w:rsidR="00787959" w:rsidRPr="00787959" w:rsidRDefault="00787959">
            <w:pPr>
              <w:rPr>
                <w:sz w:val="20"/>
                <w:szCs w:val="20"/>
              </w:rPr>
            </w:pPr>
            <w:r w:rsidRPr="00787959">
              <w:rPr>
                <w:rStyle w:val="Strong"/>
                <w:sz w:val="20"/>
                <w:szCs w:val="20"/>
              </w:rPr>
              <w:t>3. Field Data Collection</w:t>
            </w:r>
          </w:p>
        </w:tc>
        <w:tc>
          <w:tcPr>
            <w:tcW w:w="0" w:type="auto"/>
            <w:hideMark/>
          </w:tcPr>
          <w:p w14:paraId="7A01CB4E" w14:textId="77777777" w:rsidR="00787959" w:rsidRPr="00787959" w:rsidRDefault="00787959">
            <w:pPr>
              <w:rPr>
                <w:sz w:val="20"/>
                <w:szCs w:val="20"/>
              </w:rPr>
            </w:pPr>
            <w:r w:rsidRPr="00787959">
              <w:rPr>
                <w:rStyle w:val="Strong"/>
                <w:sz w:val="20"/>
                <w:szCs w:val="20"/>
              </w:rPr>
              <w:t>Fieldwork Summary Report</w:t>
            </w:r>
          </w:p>
        </w:tc>
        <w:tc>
          <w:tcPr>
            <w:tcW w:w="0" w:type="auto"/>
            <w:hideMark/>
          </w:tcPr>
          <w:p w14:paraId="31E167BF" w14:textId="77777777" w:rsidR="00787959" w:rsidRPr="00787959" w:rsidRDefault="00787959">
            <w:pPr>
              <w:rPr>
                <w:sz w:val="20"/>
                <w:szCs w:val="20"/>
              </w:rPr>
            </w:pPr>
            <w:r w:rsidRPr="00787959">
              <w:rPr>
                <w:sz w:val="20"/>
                <w:szCs w:val="20"/>
              </w:rPr>
              <w:t>A brief report summarizing field activities, locations visited, number and type of respondents, and initial insights or issues.</w:t>
            </w:r>
          </w:p>
        </w:tc>
        <w:tc>
          <w:tcPr>
            <w:tcW w:w="0" w:type="auto"/>
            <w:hideMark/>
          </w:tcPr>
          <w:p w14:paraId="2F55E055" w14:textId="77777777" w:rsidR="00787959" w:rsidRPr="00787959" w:rsidRDefault="00787959">
            <w:pPr>
              <w:rPr>
                <w:sz w:val="20"/>
                <w:szCs w:val="20"/>
              </w:rPr>
            </w:pPr>
            <w:r w:rsidRPr="00787959">
              <w:rPr>
                <w:sz w:val="20"/>
                <w:szCs w:val="20"/>
              </w:rPr>
              <w:t>Field visits completed; report submitted with activity summary</w:t>
            </w:r>
          </w:p>
        </w:tc>
        <w:tc>
          <w:tcPr>
            <w:tcW w:w="0" w:type="auto"/>
            <w:hideMark/>
          </w:tcPr>
          <w:p w14:paraId="0C8BDD78" w14:textId="0A3CCD4B" w:rsidR="00787959" w:rsidRPr="00787959" w:rsidRDefault="00787959">
            <w:pPr>
              <w:rPr>
                <w:sz w:val="20"/>
                <w:szCs w:val="20"/>
              </w:rPr>
            </w:pPr>
            <w:r w:rsidRPr="00787959">
              <w:rPr>
                <w:sz w:val="20"/>
                <w:szCs w:val="20"/>
              </w:rPr>
              <w:t>2 weeks</w:t>
            </w:r>
          </w:p>
        </w:tc>
      </w:tr>
      <w:tr w:rsidR="00787959" w:rsidRPr="00787959" w14:paraId="16EB8F6B" w14:textId="77777777" w:rsidTr="00787959">
        <w:tc>
          <w:tcPr>
            <w:tcW w:w="0" w:type="auto"/>
            <w:hideMark/>
          </w:tcPr>
          <w:p w14:paraId="0575B631" w14:textId="77777777" w:rsidR="00787959" w:rsidRPr="00787959" w:rsidRDefault="00787959">
            <w:pPr>
              <w:rPr>
                <w:sz w:val="20"/>
                <w:szCs w:val="20"/>
              </w:rPr>
            </w:pPr>
            <w:r w:rsidRPr="00787959">
              <w:rPr>
                <w:rStyle w:val="Strong"/>
                <w:sz w:val="20"/>
                <w:szCs w:val="20"/>
              </w:rPr>
              <w:t>4. Data Analysis and Interpretation</w:t>
            </w:r>
          </w:p>
        </w:tc>
        <w:tc>
          <w:tcPr>
            <w:tcW w:w="0" w:type="auto"/>
            <w:hideMark/>
          </w:tcPr>
          <w:p w14:paraId="0FDB38DD" w14:textId="77777777" w:rsidR="00787959" w:rsidRPr="00787959" w:rsidRDefault="00787959">
            <w:pPr>
              <w:rPr>
                <w:sz w:val="20"/>
                <w:szCs w:val="20"/>
              </w:rPr>
            </w:pPr>
            <w:r w:rsidRPr="00787959">
              <w:rPr>
                <w:rStyle w:val="Strong"/>
                <w:sz w:val="20"/>
                <w:szCs w:val="20"/>
              </w:rPr>
              <w:t>Draft Assessment Report</w:t>
            </w:r>
          </w:p>
        </w:tc>
        <w:tc>
          <w:tcPr>
            <w:tcW w:w="0" w:type="auto"/>
            <w:hideMark/>
          </w:tcPr>
          <w:p w14:paraId="68213F90" w14:textId="77777777" w:rsidR="00787959" w:rsidRPr="00787959" w:rsidRDefault="00787959">
            <w:pPr>
              <w:rPr>
                <w:sz w:val="20"/>
                <w:szCs w:val="20"/>
              </w:rPr>
            </w:pPr>
            <w:r w:rsidRPr="00787959">
              <w:rPr>
                <w:sz w:val="20"/>
                <w:szCs w:val="20"/>
              </w:rPr>
              <w:t>Preliminary findings from field data analysis, including emerging themes, key changes observed, and draft recommendations.</w:t>
            </w:r>
          </w:p>
        </w:tc>
        <w:tc>
          <w:tcPr>
            <w:tcW w:w="0" w:type="auto"/>
            <w:hideMark/>
          </w:tcPr>
          <w:p w14:paraId="5E9069E0" w14:textId="77777777" w:rsidR="00787959" w:rsidRPr="00787959" w:rsidRDefault="00787959">
            <w:pPr>
              <w:rPr>
                <w:sz w:val="20"/>
                <w:szCs w:val="20"/>
              </w:rPr>
            </w:pPr>
            <w:r w:rsidRPr="00787959">
              <w:rPr>
                <w:sz w:val="20"/>
                <w:szCs w:val="20"/>
              </w:rPr>
              <w:t>Draft report submitted for review</w:t>
            </w:r>
          </w:p>
        </w:tc>
        <w:tc>
          <w:tcPr>
            <w:tcW w:w="0" w:type="auto"/>
            <w:hideMark/>
          </w:tcPr>
          <w:p w14:paraId="653AAC29" w14:textId="76EC2F9E" w:rsidR="00787959" w:rsidRPr="00787959" w:rsidRDefault="00E36D98">
            <w:pPr>
              <w:rPr>
                <w:sz w:val="20"/>
                <w:szCs w:val="20"/>
              </w:rPr>
            </w:pPr>
            <w:r>
              <w:rPr>
                <w:sz w:val="20"/>
                <w:szCs w:val="20"/>
              </w:rPr>
              <w:t>2</w:t>
            </w:r>
            <w:r w:rsidR="00787959" w:rsidRPr="00787959">
              <w:rPr>
                <w:sz w:val="20"/>
                <w:szCs w:val="20"/>
              </w:rPr>
              <w:t xml:space="preserve"> weeks </w:t>
            </w:r>
          </w:p>
        </w:tc>
      </w:tr>
      <w:tr w:rsidR="00787959" w:rsidRPr="00787959" w14:paraId="6E391E74" w14:textId="77777777" w:rsidTr="00787959">
        <w:tc>
          <w:tcPr>
            <w:tcW w:w="0" w:type="auto"/>
            <w:vMerge w:val="restart"/>
            <w:hideMark/>
          </w:tcPr>
          <w:p w14:paraId="4D07B19B" w14:textId="77777777" w:rsidR="00787959" w:rsidRPr="00787959" w:rsidRDefault="00787959">
            <w:pPr>
              <w:rPr>
                <w:sz w:val="20"/>
                <w:szCs w:val="20"/>
              </w:rPr>
            </w:pPr>
            <w:r w:rsidRPr="00787959">
              <w:rPr>
                <w:rStyle w:val="Strong"/>
                <w:sz w:val="20"/>
                <w:szCs w:val="20"/>
              </w:rPr>
              <w:t>6. Final Reporting</w:t>
            </w:r>
          </w:p>
        </w:tc>
        <w:tc>
          <w:tcPr>
            <w:tcW w:w="0" w:type="auto"/>
            <w:hideMark/>
          </w:tcPr>
          <w:p w14:paraId="3B3554DD" w14:textId="77777777" w:rsidR="00787959" w:rsidRPr="00787959" w:rsidRDefault="00787959">
            <w:pPr>
              <w:rPr>
                <w:sz w:val="20"/>
                <w:szCs w:val="20"/>
              </w:rPr>
            </w:pPr>
            <w:r w:rsidRPr="00787959">
              <w:rPr>
                <w:rStyle w:val="Strong"/>
                <w:sz w:val="20"/>
                <w:szCs w:val="20"/>
              </w:rPr>
              <w:t>Final Assessment Report</w:t>
            </w:r>
          </w:p>
        </w:tc>
        <w:tc>
          <w:tcPr>
            <w:tcW w:w="0" w:type="auto"/>
            <w:hideMark/>
          </w:tcPr>
          <w:p w14:paraId="08056CB1" w14:textId="77777777" w:rsidR="00787959" w:rsidRPr="00787959" w:rsidRDefault="00787959">
            <w:pPr>
              <w:rPr>
                <w:sz w:val="20"/>
                <w:szCs w:val="20"/>
              </w:rPr>
            </w:pPr>
            <w:r w:rsidRPr="00787959">
              <w:rPr>
                <w:sz w:val="20"/>
                <w:szCs w:val="20"/>
              </w:rPr>
              <w:t xml:space="preserve">Comprehensive, revised version of the report with final findings, case examples, and categorized </w:t>
            </w:r>
            <w:r w:rsidRPr="00787959">
              <w:rPr>
                <w:sz w:val="20"/>
                <w:szCs w:val="20"/>
              </w:rPr>
              <w:lastRenderedPageBreak/>
              <w:t>recommendations (short, medium, long-term).</w:t>
            </w:r>
          </w:p>
        </w:tc>
        <w:tc>
          <w:tcPr>
            <w:tcW w:w="0" w:type="auto"/>
            <w:hideMark/>
          </w:tcPr>
          <w:p w14:paraId="532783F0" w14:textId="77777777" w:rsidR="00787959" w:rsidRPr="00787959" w:rsidRDefault="00787959">
            <w:pPr>
              <w:rPr>
                <w:sz w:val="20"/>
                <w:szCs w:val="20"/>
              </w:rPr>
            </w:pPr>
            <w:r w:rsidRPr="00787959">
              <w:rPr>
                <w:sz w:val="20"/>
                <w:szCs w:val="20"/>
              </w:rPr>
              <w:lastRenderedPageBreak/>
              <w:t>Final report approved by PRABRIDDHI</w:t>
            </w:r>
          </w:p>
        </w:tc>
        <w:tc>
          <w:tcPr>
            <w:tcW w:w="0" w:type="auto"/>
            <w:vMerge w:val="restart"/>
            <w:hideMark/>
          </w:tcPr>
          <w:p w14:paraId="2DFD6C86" w14:textId="049D58EA" w:rsidR="00787959" w:rsidRPr="00787959" w:rsidRDefault="009751CC">
            <w:pPr>
              <w:spacing w:after="160" w:line="259" w:lineRule="auto"/>
              <w:rPr>
                <w:sz w:val="20"/>
                <w:szCs w:val="20"/>
              </w:rPr>
            </w:pPr>
            <w:r>
              <w:rPr>
                <w:sz w:val="20"/>
                <w:szCs w:val="20"/>
              </w:rPr>
              <w:t>2</w:t>
            </w:r>
            <w:r w:rsidR="00787959" w:rsidRPr="00787959">
              <w:rPr>
                <w:sz w:val="20"/>
                <w:szCs w:val="20"/>
              </w:rPr>
              <w:t xml:space="preserve"> Weeks </w:t>
            </w:r>
          </w:p>
        </w:tc>
      </w:tr>
      <w:tr w:rsidR="00787959" w:rsidRPr="00787959" w14:paraId="13A13DE3" w14:textId="77777777" w:rsidTr="00787959">
        <w:tc>
          <w:tcPr>
            <w:tcW w:w="0" w:type="auto"/>
            <w:vMerge/>
            <w:hideMark/>
          </w:tcPr>
          <w:p w14:paraId="205236D0" w14:textId="77777777" w:rsidR="00787959" w:rsidRPr="00787959" w:rsidRDefault="00787959">
            <w:pPr>
              <w:rPr>
                <w:sz w:val="20"/>
                <w:szCs w:val="20"/>
              </w:rPr>
            </w:pPr>
          </w:p>
        </w:tc>
        <w:tc>
          <w:tcPr>
            <w:tcW w:w="0" w:type="auto"/>
            <w:hideMark/>
          </w:tcPr>
          <w:p w14:paraId="0D0D87FB" w14:textId="77777777" w:rsidR="00787959" w:rsidRPr="00787959" w:rsidRDefault="00787959">
            <w:pPr>
              <w:rPr>
                <w:sz w:val="20"/>
                <w:szCs w:val="20"/>
              </w:rPr>
            </w:pPr>
            <w:r w:rsidRPr="00787959">
              <w:rPr>
                <w:rStyle w:val="Strong"/>
                <w:sz w:val="20"/>
                <w:szCs w:val="20"/>
              </w:rPr>
              <w:t>Summary Brief / Policy Note</w:t>
            </w:r>
          </w:p>
        </w:tc>
        <w:tc>
          <w:tcPr>
            <w:tcW w:w="0" w:type="auto"/>
            <w:hideMark/>
          </w:tcPr>
          <w:p w14:paraId="5B26676C" w14:textId="77777777" w:rsidR="00787959" w:rsidRPr="00787959" w:rsidRDefault="00787959">
            <w:pPr>
              <w:rPr>
                <w:sz w:val="20"/>
                <w:szCs w:val="20"/>
              </w:rPr>
            </w:pPr>
            <w:r w:rsidRPr="00787959">
              <w:rPr>
                <w:sz w:val="20"/>
                <w:szCs w:val="20"/>
              </w:rPr>
              <w:t>A concise 2–</w:t>
            </w:r>
            <w:proofErr w:type="gramStart"/>
            <w:r w:rsidRPr="00787959">
              <w:rPr>
                <w:sz w:val="20"/>
                <w:szCs w:val="20"/>
              </w:rPr>
              <w:t>4 page</w:t>
            </w:r>
            <w:proofErr w:type="gramEnd"/>
            <w:r w:rsidRPr="00787959">
              <w:rPr>
                <w:sz w:val="20"/>
                <w:szCs w:val="20"/>
              </w:rPr>
              <w:t xml:space="preserve"> document summarizing main findings and recommendations for external sharing and policy dialogue.</w:t>
            </w:r>
          </w:p>
        </w:tc>
        <w:tc>
          <w:tcPr>
            <w:tcW w:w="0" w:type="auto"/>
            <w:hideMark/>
          </w:tcPr>
          <w:p w14:paraId="6B5A7FC3" w14:textId="77777777" w:rsidR="00787959" w:rsidRPr="00787959" w:rsidRDefault="00787959">
            <w:pPr>
              <w:rPr>
                <w:sz w:val="20"/>
                <w:szCs w:val="20"/>
              </w:rPr>
            </w:pPr>
            <w:r w:rsidRPr="00787959">
              <w:rPr>
                <w:sz w:val="20"/>
                <w:szCs w:val="20"/>
              </w:rPr>
              <w:t>Summary note submitted and approved</w:t>
            </w:r>
          </w:p>
        </w:tc>
        <w:tc>
          <w:tcPr>
            <w:tcW w:w="0" w:type="auto"/>
            <w:vMerge/>
            <w:hideMark/>
          </w:tcPr>
          <w:p w14:paraId="09E43A67" w14:textId="33E3D9F1" w:rsidR="00787959" w:rsidRPr="00787959" w:rsidRDefault="00787959">
            <w:pPr>
              <w:rPr>
                <w:sz w:val="20"/>
                <w:szCs w:val="20"/>
              </w:rPr>
            </w:pPr>
          </w:p>
        </w:tc>
      </w:tr>
      <w:tr w:rsidR="00787959" w:rsidRPr="00787959" w14:paraId="3A3E5525" w14:textId="77777777" w:rsidTr="00787959">
        <w:tc>
          <w:tcPr>
            <w:tcW w:w="0" w:type="auto"/>
            <w:hideMark/>
          </w:tcPr>
          <w:p w14:paraId="2BCFF758" w14:textId="77777777" w:rsidR="00787959" w:rsidRPr="00787959" w:rsidRDefault="00787959">
            <w:pPr>
              <w:rPr>
                <w:sz w:val="20"/>
                <w:szCs w:val="20"/>
              </w:rPr>
            </w:pPr>
            <w:r w:rsidRPr="00787959">
              <w:rPr>
                <w:rStyle w:val="Strong"/>
                <w:sz w:val="20"/>
                <w:szCs w:val="20"/>
              </w:rPr>
              <w:t>7. Closure and Handover</w:t>
            </w:r>
          </w:p>
        </w:tc>
        <w:tc>
          <w:tcPr>
            <w:tcW w:w="0" w:type="auto"/>
            <w:hideMark/>
          </w:tcPr>
          <w:p w14:paraId="6450C88D" w14:textId="77777777" w:rsidR="00787959" w:rsidRPr="00787959" w:rsidRDefault="00787959">
            <w:pPr>
              <w:rPr>
                <w:sz w:val="20"/>
                <w:szCs w:val="20"/>
              </w:rPr>
            </w:pPr>
            <w:r w:rsidRPr="00787959">
              <w:rPr>
                <w:rStyle w:val="Strong"/>
                <w:sz w:val="20"/>
                <w:szCs w:val="20"/>
              </w:rPr>
              <w:t>Final Package Submission</w:t>
            </w:r>
          </w:p>
        </w:tc>
        <w:tc>
          <w:tcPr>
            <w:tcW w:w="0" w:type="auto"/>
            <w:hideMark/>
          </w:tcPr>
          <w:p w14:paraId="0A2AC469" w14:textId="4C86E357" w:rsidR="00787959" w:rsidRPr="00787959" w:rsidRDefault="00787959">
            <w:pPr>
              <w:rPr>
                <w:sz w:val="20"/>
                <w:szCs w:val="20"/>
              </w:rPr>
            </w:pPr>
            <w:r w:rsidRPr="00787959">
              <w:rPr>
                <w:sz w:val="20"/>
                <w:szCs w:val="20"/>
              </w:rPr>
              <w:t>Submission of all final deliverables in editable and PDF formats, including tools, datasets, reports</w:t>
            </w:r>
            <w:r w:rsidR="00BC028D">
              <w:rPr>
                <w:sz w:val="20"/>
                <w:szCs w:val="20"/>
              </w:rPr>
              <w:t xml:space="preserve">. </w:t>
            </w:r>
          </w:p>
        </w:tc>
        <w:tc>
          <w:tcPr>
            <w:tcW w:w="0" w:type="auto"/>
            <w:hideMark/>
          </w:tcPr>
          <w:p w14:paraId="25BD94F0" w14:textId="77777777" w:rsidR="00787959" w:rsidRPr="00787959" w:rsidRDefault="00787959">
            <w:pPr>
              <w:rPr>
                <w:sz w:val="20"/>
                <w:szCs w:val="20"/>
              </w:rPr>
            </w:pPr>
            <w:r w:rsidRPr="00787959">
              <w:rPr>
                <w:sz w:val="20"/>
                <w:szCs w:val="20"/>
              </w:rPr>
              <w:t>All materials submitted and acknowledged</w:t>
            </w:r>
          </w:p>
        </w:tc>
        <w:tc>
          <w:tcPr>
            <w:tcW w:w="0" w:type="auto"/>
            <w:hideMark/>
          </w:tcPr>
          <w:p w14:paraId="750775C7" w14:textId="7D7C3354" w:rsidR="00787959" w:rsidRPr="00787959" w:rsidRDefault="00787959">
            <w:pPr>
              <w:rPr>
                <w:sz w:val="20"/>
                <w:szCs w:val="20"/>
              </w:rPr>
            </w:pPr>
            <w:r w:rsidRPr="00787959">
              <w:rPr>
                <w:sz w:val="20"/>
                <w:szCs w:val="20"/>
              </w:rPr>
              <w:t>October 2</w:t>
            </w:r>
            <w:r w:rsidR="008429F9">
              <w:rPr>
                <w:sz w:val="20"/>
                <w:szCs w:val="20"/>
              </w:rPr>
              <w:t>7</w:t>
            </w:r>
            <w:r w:rsidRPr="00787959">
              <w:rPr>
                <w:sz w:val="20"/>
                <w:szCs w:val="20"/>
              </w:rPr>
              <w:t xml:space="preserve"> </w:t>
            </w:r>
          </w:p>
        </w:tc>
      </w:tr>
    </w:tbl>
    <w:p w14:paraId="3C64DC74" w14:textId="77777777" w:rsidR="00F056FA" w:rsidRDefault="00F056FA" w:rsidP="00A6364F">
      <w:pPr>
        <w:spacing w:after="0" w:line="276" w:lineRule="auto"/>
        <w:jc w:val="both"/>
        <w:rPr>
          <w:b/>
          <w:bCs/>
          <w:sz w:val="8"/>
          <w:szCs w:val="8"/>
        </w:rPr>
      </w:pPr>
    </w:p>
    <w:p w14:paraId="794745F0" w14:textId="77777777" w:rsidR="00F056FA" w:rsidRDefault="00F056FA" w:rsidP="00A6364F">
      <w:pPr>
        <w:spacing w:after="0" w:line="276" w:lineRule="auto"/>
        <w:jc w:val="both"/>
        <w:rPr>
          <w:b/>
          <w:bCs/>
          <w:sz w:val="8"/>
          <w:szCs w:val="8"/>
        </w:rPr>
      </w:pPr>
    </w:p>
    <w:p w14:paraId="1EE95889"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Reporting</w:t>
      </w:r>
    </w:p>
    <w:p w14:paraId="78F64094" w14:textId="48C349A6"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 xml:space="preserve">The selected firm will report to the Manager- MRM and Communications – PRABRIDDHI.  </w:t>
      </w:r>
    </w:p>
    <w:p w14:paraId="1A18728B" w14:textId="77777777" w:rsidR="00C77BFC" w:rsidRDefault="00C77BFC" w:rsidP="00A6364F">
      <w:pPr>
        <w:spacing w:after="0" w:line="276" w:lineRule="auto"/>
        <w:jc w:val="both"/>
        <w:outlineLvl w:val="2"/>
        <w:rPr>
          <w:rFonts w:eastAsia="Times New Roman" w:cs="Arial"/>
          <w:b/>
          <w:bCs/>
          <w:color w:val="156082" w:themeColor="accent1"/>
          <w:lang w:val="en-GB"/>
          <w14:ligatures w14:val="none"/>
        </w:rPr>
      </w:pPr>
    </w:p>
    <w:p w14:paraId="36EEECE1"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Qualifications of the firm</w:t>
      </w:r>
    </w:p>
    <w:p w14:paraId="070237ED"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The selected firm must demonstrate the following qualifications and competencies:</w:t>
      </w:r>
    </w:p>
    <w:p w14:paraId="7B283DCF" w14:textId="2BB9F478" w:rsidR="00C77BFC" w:rsidRPr="00681785" w:rsidRDefault="00C77BFC" w:rsidP="00A6364F">
      <w:pPr>
        <w:numPr>
          <w:ilvl w:val="0"/>
          <w:numId w:val="7"/>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Proven Track Record:</w:t>
      </w:r>
      <w:r w:rsidRPr="00681785">
        <w:rPr>
          <w:rFonts w:eastAsia="Times New Roman" w:cs="Arial"/>
          <w:lang w:val="en-GB"/>
          <w14:ligatures w14:val="none"/>
        </w:rPr>
        <w:t xml:space="preserve"> The team leader of the firm must have at least </w:t>
      </w:r>
      <w:r w:rsidR="00787959">
        <w:rPr>
          <w:rFonts w:eastAsia="Times New Roman" w:cs="Arial"/>
          <w:lang w:val="en-GB"/>
          <w14:ligatures w14:val="none"/>
        </w:rPr>
        <w:t>ten</w:t>
      </w:r>
      <w:r w:rsidRPr="00681785">
        <w:rPr>
          <w:rFonts w:eastAsia="Times New Roman" w:cs="Arial"/>
          <w:lang w:val="en-GB"/>
          <w14:ligatures w14:val="none"/>
        </w:rPr>
        <w:t xml:space="preserve"> (1</w:t>
      </w:r>
      <w:r w:rsidR="00787959">
        <w:rPr>
          <w:rFonts w:eastAsia="Times New Roman" w:cs="Arial"/>
          <w:lang w:val="en-GB"/>
          <w14:ligatures w14:val="none"/>
        </w:rPr>
        <w:t>0</w:t>
      </w:r>
      <w:r w:rsidRPr="00681785">
        <w:rPr>
          <w:rFonts w:eastAsia="Times New Roman" w:cs="Arial"/>
          <w:lang w:val="en-GB"/>
          <w14:ligatures w14:val="none"/>
        </w:rPr>
        <w:t xml:space="preserve">) </w:t>
      </w:r>
      <w:r w:rsidR="000A3E17" w:rsidRPr="00681785">
        <w:rPr>
          <w:rFonts w:eastAsia="Times New Roman" w:cs="Arial"/>
          <w:lang w:val="en-GB"/>
          <w14:ligatures w14:val="none"/>
        </w:rPr>
        <w:t>years</w:t>
      </w:r>
      <w:r w:rsidR="000A3E17">
        <w:rPr>
          <w:rFonts w:eastAsia="Times New Roman" w:cs="Arial"/>
          <w:lang w:val="en-GB"/>
          <w14:ligatures w14:val="none"/>
        </w:rPr>
        <w:t>’ experience</w:t>
      </w:r>
      <w:r w:rsidRPr="00681785">
        <w:rPr>
          <w:rFonts w:eastAsia="Times New Roman" w:cs="Arial"/>
          <w:lang w:val="en-GB"/>
          <w14:ligatures w14:val="none"/>
        </w:rPr>
        <w:t xml:space="preserve"> in areas such as governance, local economic development (LED), skills development, local government</w:t>
      </w:r>
      <w:r w:rsidR="00E44A3D">
        <w:rPr>
          <w:rFonts w:eastAsia="Times New Roman" w:cs="Arial"/>
          <w:lang w:val="en-GB"/>
          <w14:ligatures w14:val="none"/>
        </w:rPr>
        <w:t>,</w:t>
      </w:r>
      <w:r w:rsidR="000A3E17">
        <w:rPr>
          <w:rFonts w:eastAsia="Times New Roman" w:cs="Arial"/>
          <w:lang w:val="en-GB"/>
          <w14:ligatures w14:val="none"/>
        </w:rPr>
        <w:t xml:space="preserve"> </w:t>
      </w:r>
      <w:r w:rsidRPr="00681785">
        <w:rPr>
          <w:rFonts w:eastAsia="Times New Roman" w:cs="Arial"/>
          <w:lang w:val="en-GB"/>
          <w14:ligatures w14:val="none"/>
        </w:rPr>
        <w:t>municipal service delivery</w:t>
      </w:r>
      <w:r w:rsidR="00E44A3D">
        <w:rPr>
          <w:rFonts w:eastAsia="Times New Roman" w:cs="Arial"/>
          <w:lang w:val="en-GB"/>
          <w14:ligatures w14:val="none"/>
        </w:rPr>
        <w:t xml:space="preserve">, and </w:t>
      </w:r>
      <w:r w:rsidR="00A462E9">
        <w:rPr>
          <w:rFonts w:eastAsia="Times New Roman" w:cs="Arial"/>
          <w:lang w:val="en-GB"/>
          <w14:ligatures w14:val="none"/>
        </w:rPr>
        <w:t>political economy analysis</w:t>
      </w:r>
      <w:r w:rsidR="00533C93" w:rsidRPr="00681785">
        <w:rPr>
          <w:rFonts w:eastAsia="Times New Roman" w:cs="Arial"/>
          <w:lang w:val="en-GB"/>
          <w14:ligatures w14:val="none"/>
        </w:rPr>
        <w:t>.</w:t>
      </w:r>
      <w:r w:rsidRPr="00681785">
        <w:rPr>
          <w:rFonts w:eastAsia="Times New Roman" w:cs="Arial"/>
          <w:lang w:val="en-GB"/>
          <w14:ligatures w14:val="none"/>
        </w:rPr>
        <w:t xml:space="preserve"> </w:t>
      </w:r>
      <w:r w:rsidR="00B9775D">
        <w:rPr>
          <w:rFonts w:eastAsia="Times New Roman" w:cs="Arial"/>
          <w:lang w:val="en-GB"/>
          <w14:ligatures w14:val="none"/>
        </w:rPr>
        <w:t>O</w:t>
      </w:r>
      <w:r w:rsidRPr="00681785">
        <w:rPr>
          <w:rFonts w:eastAsia="Times New Roman" w:cs="Arial"/>
          <w:lang w:val="en-GB"/>
          <w14:ligatures w14:val="none"/>
        </w:rPr>
        <w:t>ther core team members</w:t>
      </w:r>
      <w:r w:rsidR="00287EF3">
        <w:rPr>
          <w:rFonts w:eastAsia="Times New Roman" w:cs="Arial"/>
          <w:lang w:val="en-GB"/>
          <w14:ligatures w14:val="none"/>
        </w:rPr>
        <w:t xml:space="preserve"> </w:t>
      </w:r>
      <w:r w:rsidRPr="00681785">
        <w:rPr>
          <w:rFonts w:eastAsia="Times New Roman" w:cs="Arial"/>
          <w:lang w:val="en-GB"/>
          <w14:ligatures w14:val="none"/>
        </w:rPr>
        <w:t xml:space="preserve">must have at least </w:t>
      </w:r>
      <w:r w:rsidR="00A521E3">
        <w:rPr>
          <w:rFonts w:eastAsia="Times New Roman" w:cs="Arial"/>
          <w:lang w:val="en-GB"/>
          <w14:ligatures w14:val="none"/>
        </w:rPr>
        <w:t>eight</w:t>
      </w:r>
      <w:r w:rsidRPr="00681785">
        <w:rPr>
          <w:rFonts w:eastAsia="Times New Roman" w:cs="Arial"/>
          <w:lang w:val="en-GB"/>
          <w14:ligatures w14:val="none"/>
        </w:rPr>
        <w:t xml:space="preserve"> (</w:t>
      </w:r>
      <w:r w:rsidR="00A521E3">
        <w:rPr>
          <w:rFonts w:eastAsia="Times New Roman" w:cs="Arial"/>
          <w:lang w:val="en-GB"/>
          <w14:ligatures w14:val="none"/>
        </w:rPr>
        <w:t>8</w:t>
      </w:r>
      <w:r w:rsidRPr="00681785">
        <w:rPr>
          <w:rFonts w:eastAsia="Times New Roman" w:cs="Arial"/>
          <w:lang w:val="en-GB"/>
          <w14:ligatures w14:val="none"/>
        </w:rPr>
        <w:t>) years of experience in designing and conducting assessments, evaluations, or applied research studies</w:t>
      </w:r>
      <w:r w:rsidR="00533C93">
        <w:rPr>
          <w:rFonts w:eastAsia="Times New Roman" w:cs="Arial"/>
          <w:lang w:val="en-GB"/>
          <w14:ligatures w14:val="none"/>
        </w:rPr>
        <w:t>.</w:t>
      </w:r>
      <w:r w:rsidRPr="00681785">
        <w:rPr>
          <w:rFonts w:eastAsia="Times New Roman" w:cs="Arial"/>
          <w:lang w:val="en-GB"/>
          <w14:ligatures w14:val="none"/>
        </w:rPr>
        <w:t xml:space="preserve"> </w:t>
      </w:r>
      <w:r w:rsidR="00594167" w:rsidRPr="00681785">
        <w:rPr>
          <w:rFonts w:eastAsia="Times New Roman" w:cs="Arial"/>
          <w:lang w:val="en-GB"/>
          <w14:ligatures w14:val="none"/>
        </w:rPr>
        <w:t xml:space="preserve">The </w:t>
      </w:r>
      <w:r w:rsidR="00594167">
        <w:rPr>
          <w:rFonts w:eastAsia="Times New Roman" w:cs="Arial"/>
          <w:lang w:val="en-GB"/>
          <w14:ligatures w14:val="none"/>
        </w:rPr>
        <w:t>p</w:t>
      </w:r>
      <w:r w:rsidR="00594167" w:rsidRPr="00681785">
        <w:rPr>
          <w:rFonts w:eastAsia="Times New Roman" w:cs="Arial"/>
          <w:lang w:val="en-GB"/>
          <w14:ligatures w14:val="none"/>
        </w:rPr>
        <w:t xml:space="preserve">rior experience </w:t>
      </w:r>
      <w:r w:rsidR="00000C13">
        <w:rPr>
          <w:rFonts w:eastAsia="Times New Roman" w:cs="Arial"/>
          <w:lang w:val="en-GB"/>
          <w14:ligatures w14:val="none"/>
        </w:rPr>
        <w:t>of</w:t>
      </w:r>
      <w:r w:rsidR="00594167" w:rsidRPr="00681785">
        <w:rPr>
          <w:rFonts w:eastAsia="Times New Roman" w:cs="Arial"/>
          <w:lang w:val="en-GB"/>
          <w14:ligatures w14:val="none"/>
        </w:rPr>
        <w:t xml:space="preserve"> working with international development agencies or donor-funded projects will be considered an asset.</w:t>
      </w:r>
    </w:p>
    <w:p w14:paraId="51D82FAD" w14:textId="77777777" w:rsidR="00C77BFC" w:rsidRPr="00681785" w:rsidRDefault="00C77BFC" w:rsidP="00A6364F">
      <w:pPr>
        <w:numPr>
          <w:ilvl w:val="0"/>
          <w:numId w:val="7"/>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Expertise in Monitoring and Results Measurement (MRM):</w:t>
      </w:r>
      <w:r w:rsidRPr="00681785">
        <w:rPr>
          <w:rFonts w:eastAsia="Times New Roman" w:cs="Arial"/>
          <w:lang w:val="en-GB"/>
          <w14:ligatures w14:val="none"/>
        </w:rPr>
        <w:t xml:space="preserve"> Demonstrated technical capacity in developing evaluation frameworks, designing mixed-method research tools, and applying both qualitative and quantitative methodologies. Familiarity with OECD-DAC evaluation criteria and participatory evaluation approaches will be highly valued.</w:t>
      </w:r>
    </w:p>
    <w:p w14:paraId="6DA9D4E4" w14:textId="09648580" w:rsidR="00C77BFC" w:rsidRPr="00681785" w:rsidRDefault="00C77BFC" w:rsidP="00A6364F">
      <w:pPr>
        <w:numPr>
          <w:ilvl w:val="0"/>
          <w:numId w:val="7"/>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Team Composition:</w:t>
      </w:r>
      <w:r w:rsidRPr="00681785">
        <w:rPr>
          <w:rFonts w:eastAsia="Times New Roman" w:cs="Arial"/>
          <w:lang w:val="en-GB"/>
          <w14:ligatures w14:val="none"/>
        </w:rPr>
        <w:t xml:space="preserve"> The firm must propose a qualified team with relevant academic background and practical experience in research, evaluation, and data analysis. At minimum, the team should include: a Team Leader/Lead Evaluator, Field Coordinator, Data Analysts</w:t>
      </w:r>
      <w:r w:rsidR="007079F0">
        <w:rPr>
          <w:rFonts w:eastAsia="Times New Roman" w:cs="Arial"/>
          <w:lang w:val="en-GB"/>
          <w14:ligatures w14:val="none"/>
        </w:rPr>
        <w:t xml:space="preserve">, </w:t>
      </w:r>
      <w:r w:rsidRPr="00681785">
        <w:rPr>
          <w:rFonts w:eastAsia="Times New Roman" w:cs="Arial"/>
          <w:lang w:val="en-GB"/>
          <w14:ligatures w14:val="none"/>
        </w:rPr>
        <w:t>and a Report Writer. All team members should have prior experience working in development projects and must demonstrate the ability to deliver high-quality outputs under tight deadlines.</w:t>
      </w:r>
    </w:p>
    <w:p w14:paraId="27590EE3" w14:textId="4F141968" w:rsidR="00C77BFC" w:rsidRPr="00681785" w:rsidRDefault="00C77BFC" w:rsidP="00A6364F">
      <w:pPr>
        <w:numPr>
          <w:ilvl w:val="0"/>
          <w:numId w:val="7"/>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Local Context Understanding:</w:t>
      </w:r>
      <w:r w:rsidRPr="00681785">
        <w:rPr>
          <w:rFonts w:eastAsia="Times New Roman" w:cs="Arial"/>
          <w:lang w:val="en-GB"/>
          <w14:ligatures w14:val="none"/>
        </w:rPr>
        <w:t xml:space="preserve"> The team leader, field coordinator and analysts must have prior experience in working with municipal stakeholders, local government institutions, private sector and community-level actors in Bangladesh. The firm must demonstrate cultural sensitivity, contextual knowledge, </w:t>
      </w:r>
      <w:r w:rsidR="00E55493">
        <w:rPr>
          <w:rFonts w:eastAsia="Times New Roman" w:cs="Arial"/>
          <w:lang w:val="en-GB"/>
          <w14:ligatures w14:val="none"/>
        </w:rPr>
        <w:t xml:space="preserve">understanding of municipal political economy </w:t>
      </w:r>
      <w:r w:rsidRPr="00681785">
        <w:rPr>
          <w:rFonts w:eastAsia="Times New Roman" w:cs="Arial"/>
          <w:lang w:val="en-GB"/>
          <w14:ligatures w14:val="none"/>
        </w:rPr>
        <w:t>and the ability to navigate fieldwork logistics in diverse urban settings.</w:t>
      </w:r>
    </w:p>
    <w:p w14:paraId="1E9CEF36" w14:textId="77777777" w:rsidR="00C77BFC" w:rsidRPr="00681785" w:rsidRDefault="00C77BFC" w:rsidP="00A6364F">
      <w:pPr>
        <w:numPr>
          <w:ilvl w:val="0"/>
          <w:numId w:val="7"/>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Learning and Communication Orientation:</w:t>
      </w:r>
      <w:r w:rsidRPr="00681785">
        <w:rPr>
          <w:rFonts w:eastAsia="Times New Roman" w:cs="Arial"/>
          <w:lang w:val="en-GB"/>
          <w14:ligatures w14:val="none"/>
        </w:rPr>
        <w:t xml:space="preserve"> The firm should be able to distil complex data into actionable insights and clearly communicate findings to a non-technical audience, including project teams, government stakeholders, and donors. Experience in developing user-friendly reports and facilitating validation workshops will be considered a strong asset.</w:t>
      </w:r>
    </w:p>
    <w:p w14:paraId="321FA356" w14:textId="77777777" w:rsidR="00C77BFC" w:rsidRDefault="00C77BFC" w:rsidP="00A6364F">
      <w:pPr>
        <w:spacing w:after="0" w:line="276" w:lineRule="auto"/>
        <w:jc w:val="both"/>
        <w:outlineLvl w:val="2"/>
        <w:rPr>
          <w:rFonts w:eastAsia="Times New Roman" w:cs="Arial"/>
          <w:b/>
          <w:bCs/>
          <w:color w:val="156082" w:themeColor="accent1"/>
          <w:lang w:val="en-GB"/>
          <w14:ligatures w14:val="none"/>
        </w:rPr>
      </w:pPr>
    </w:p>
    <w:p w14:paraId="02C9EF4A"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Payment Schedule</w:t>
      </w:r>
    </w:p>
    <w:tbl>
      <w:tblPr>
        <w:tblStyle w:val="TableGrid"/>
        <w:tblW w:w="0" w:type="auto"/>
        <w:tblLook w:val="04A0" w:firstRow="1" w:lastRow="0" w:firstColumn="1" w:lastColumn="0" w:noHBand="0" w:noVBand="1"/>
      </w:tblPr>
      <w:tblGrid>
        <w:gridCol w:w="3305"/>
        <w:gridCol w:w="1358"/>
        <w:gridCol w:w="4687"/>
      </w:tblGrid>
      <w:tr w:rsidR="00C77BFC" w:rsidRPr="00681785" w14:paraId="21B89ADF" w14:textId="77777777">
        <w:tc>
          <w:tcPr>
            <w:tcW w:w="0" w:type="auto"/>
            <w:hideMark/>
          </w:tcPr>
          <w:p w14:paraId="12A9395D" w14:textId="77777777" w:rsidR="00C77BFC" w:rsidRPr="00681785" w:rsidRDefault="00C77BFC" w:rsidP="00A6364F">
            <w:pPr>
              <w:spacing w:line="276" w:lineRule="auto"/>
              <w:jc w:val="center"/>
              <w:outlineLvl w:val="2"/>
              <w:rPr>
                <w:rFonts w:eastAsia="Times New Roman" w:cs="Arial"/>
                <w:b/>
                <w:bCs/>
                <w14:ligatures w14:val="none"/>
              </w:rPr>
            </w:pPr>
            <w:r w:rsidRPr="00681785">
              <w:rPr>
                <w:rFonts w:eastAsia="Times New Roman" w:cs="Arial"/>
                <w:b/>
                <w:bCs/>
                <w14:ligatures w14:val="none"/>
              </w:rPr>
              <w:lastRenderedPageBreak/>
              <w:t>Milestone</w:t>
            </w:r>
          </w:p>
        </w:tc>
        <w:tc>
          <w:tcPr>
            <w:tcW w:w="0" w:type="auto"/>
            <w:hideMark/>
          </w:tcPr>
          <w:p w14:paraId="010A720A" w14:textId="77777777" w:rsidR="00C77BFC" w:rsidRPr="00681785" w:rsidRDefault="00C77BFC" w:rsidP="00A6364F">
            <w:pPr>
              <w:spacing w:line="276" w:lineRule="auto"/>
              <w:jc w:val="center"/>
              <w:outlineLvl w:val="2"/>
              <w:rPr>
                <w:rFonts w:eastAsia="Times New Roman" w:cs="Arial"/>
                <w:b/>
                <w:bCs/>
                <w14:ligatures w14:val="none"/>
              </w:rPr>
            </w:pPr>
            <w:r w:rsidRPr="00681785">
              <w:rPr>
                <w:rFonts w:eastAsia="Times New Roman" w:cs="Arial"/>
                <w:b/>
                <w:bCs/>
                <w14:ligatures w14:val="none"/>
              </w:rPr>
              <w:t>Percentage</w:t>
            </w:r>
          </w:p>
        </w:tc>
        <w:tc>
          <w:tcPr>
            <w:tcW w:w="0" w:type="auto"/>
            <w:hideMark/>
          </w:tcPr>
          <w:p w14:paraId="08C5A787" w14:textId="77777777" w:rsidR="00C77BFC" w:rsidRPr="00681785" w:rsidRDefault="00C77BFC" w:rsidP="00A6364F">
            <w:pPr>
              <w:spacing w:line="276" w:lineRule="auto"/>
              <w:jc w:val="center"/>
              <w:outlineLvl w:val="2"/>
              <w:rPr>
                <w:rFonts w:eastAsia="Times New Roman" w:cs="Arial"/>
                <w:b/>
                <w:bCs/>
                <w14:ligatures w14:val="none"/>
              </w:rPr>
            </w:pPr>
            <w:r w:rsidRPr="00681785">
              <w:rPr>
                <w:rFonts w:eastAsia="Times New Roman" w:cs="Arial"/>
                <w:b/>
                <w:bCs/>
                <w14:ligatures w14:val="none"/>
              </w:rPr>
              <w:t>Description</w:t>
            </w:r>
          </w:p>
        </w:tc>
      </w:tr>
      <w:tr w:rsidR="00C77BFC" w:rsidRPr="00681785" w14:paraId="0A80D2FC" w14:textId="77777777">
        <w:tc>
          <w:tcPr>
            <w:tcW w:w="0" w:type="auto"/>
            <w:hideMark/>
          </w:tcPr>
          <w:p w14:paraId="421A1E29" w14:textId="4785BFCE" w:rsidR="00C77BFC" w:rsidRPr="00681785" w:rsidRDefault="00C77BFC" w:rsidP="00A6364F">
            <w:pPr>
              <w:pStyle w:val="ListParagraph"/>
              <w:numPr>
                <w:ilvl w:val="0"/>
                <w:numId w:val="2"/>
              </w:numPr>
              <w:spacing w:line="276" w:lineRule="auto"/>
              <w:ind w:left="340"/>
              <w:outlineLvl w:val="2"/>
              <w:rPr>
                <w:rFonts w:eastAsia="Times New Roman" w:cs="Arial"/>
                <w14:ligatures w14:val="none"/>
              </w:rPr>
            </w:pPr>
            <w:r w:rsidRPr="00681785">
              <w:rPr>
                <w:rFonts w:eastAsia="Times New Roman" w:cs="Arial"/>
                <w14:ligatures w14:val="none"/>
              </w:rPr>
              <w:t>Upon Contract Signing</w:t>
            </w:r>
            <w:r w:rsidR="00A6364F">
              <w:rPr>
                <w:rFonts w:eastAsia="Times New Roman" w:cs="Arial"/>
                <w14:ligatures w14:val="none"/>
              </w:rPr>
              <w:t xml:space="preserve"> </w:t>
            </w:r>
          </w:p>
        </w:tc>
        <w:tc>
          <w:tcPr>
            <w:tcW w:w="0" w:type="auto"/>
            <w:hideMark/>
          </w:tcPr>
          <w:p w14:paraId="7F03F57A" w14:textId="47BB123D" w:rsidR="00C77BFC" w:rsidRPr="00681785" w:rsidRDefault="00A6364F" w:rsidP="00A6364F">
            <w:pPr>
              <w:spacing w:line="276" w:lineRule="auto"/>
              <w:jc w:val="center"/>
              <w:outlineLvl w:val="2"/>
              <w:rPr>
                <w:rFonts w:eastAsia="Times New Roman" w:cs="Arial"/>
                <w:b/>
                <w:bCs/>
                <w14:ligatures w14:val="none"/>
              </w:rPr>
            </w:pPr>
            <w:r>
              <w:rPr>
                <w:rFonts w:eastAsia="Times New Roman" w:cs="Arial"/>
                <w:b/>
                <w:bCs/>
                <w14:ligatures w14:val="none"/>
              </w:rPr>
              <w:t>30</w:t>
            </w:r>
            <w:r w:rsidR="00C77BFC" w:rsidRPr="00681785">
              <w:rPr>
                <w:rFonts w:eastAsia="Times New Roman" w:cs="Arial"/>
                <w:b/>
                <w:bCs/>
                <w14:ligatures w14:val="none"/>
              </w:rPr>
              <w:t>%</w:t>
            </w:r>
          </w:p>
        </w:tc>
        <w:tc>
          <w:tcPr>
            <w:tcW w:w="0" w:type="auto"/>
            <w:hideMark/>
          </w:tcPr>
          <w:p w14:paraId="55ED451A" w14:textId="37360ADC"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 xml:space="preserve">Signing of the agreement and submission of </w:t>
            </w:r>
            <w:r w:rsidR="00A6364F">
              <w:rPr>
                <w:rFonts w:eastAsia="Times New Roman" w:cs="Arial"/>
                <w14:ligatures w14:val="none"/>
              </w:rPr>
              <w:t>Inception Report</w:t>
            </w:r>
            <w:r w:rsidRPr="00681785">
              <w:rPr>
                <w:rFonts w:eastAsia="Times New Roman" w:cs="Arial"/>
                <w14:ligatures w14:val="none"/>
              </w:rPr>
              <w:t>.</w:t>
            </w:r>
          </w:p>
        </w:tc>
      </w:tr>
      <w:tr w:rsidR="00C77BFC" w:rsidRPr="00681785" w14:paraId="7B8A0293" w14:textId="77777777">
        <w:tc>
          <w:tcPr>
            <w:tcW w:w="0" w:type="auto"/>
            <w:hideMark/>
          </w:tcPr>
          <w:p w14:paraId="0B2ACD8A" w14:textId="77777777" w:rsidR="00C77BFC" w:rsidRPr="00681785" w:rsidRDefault="00C77BFC" w:rsidP="00A6364F">
            <w:pPr>
              <w:pStyle w:val="ListParagraph"/>
              <w:numPr>
                <w:ilvl w:val="0"/>
                <w:numId w:val="2"/>
              </w:numPr>
              <w:spacing w:line="276" w:lineRule="auto"/>
              <w:ind w:left="340"/>
              <w:outlineLvl w:val="2"/>
              <w:rPr>
                <w:rFonts w:eastAsia="Times New Roman" w:cs="Arial"/>
                <w14:ligatures w14:val="none"/>
              </w:rPr>
            </w:pPr>
            <w:r w:rsidRPr="00681785">
              <w:rPr>
                <w:rFonts w:eastAsia="Times New Roman" w:cs="Arial"/>
                <w14:ligatures w14:val="none"/>
              </w:rPr>
              <w:t>Mid-Term Deliverables Submission</w:t>
            </w:r>
          </w:p>
        </w:tc>
        <w:tc>
          <w:tcPr>
            <w:tcW w:w="0" w:type="auto"/>
            <w:hideMark/>
          </w:tcPr>
          <w:p w14:paraId="041BDF42" w14:textId="2B20D020" w:rsidR="00C77BFC" w:rsidRPr="00681785" w:rsidRDefault="00787959" w:rsidP="00A6364F">
            <w:pPr>
              <w:spacing w:line="276" w:lineRule="auto"/>
              <w:jc w:val="center"/>
              <w:outlineLvl w:val="2"/>
              <w:rPr>
                <w:rFonts w:eastAsia="Times New Roman" w:cs="Arial"/>
                <w:b/>
                <w:bCs/>
                <w14:ligatures w14:val="none"/>
              </w:rPr>
            </w:pPr>
            <w:r>
              <w:rPr>
                <w:rFonts w:eastAsia="Times New Roman" w:cs="Arial"/>
                <w:b/>
                <w:bCs/>
                <w14:ligatures w14:val="none"/>
              </w:rPr>
              <w:t>3</w:t>
            </w:r>
            <w:r w:rsidR="00C77BFC" w:rsidRPr="00681785">
              <w:rPr>
                <w:rFonts w:eastAsia="Times New Roman" w:cs="Arial"/>
                <w:b/>
                <w:bCs/>
                <w14:ligatures w14:val="none"/>
              </w:rPr>
              <w:t>0%</w:t>
            </w:r>
          </w:p>
        </w:tc>
        <w:tc>
          <w:tcPr>
            <w:tcW w:w="0" w:type="auto"/>
            <w:hideMark/>
          </w:tcPr>
          <w:p w14:paraId="3C509C53"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Completion of the data collection, and submission of field report.</w:t>
            </w:r>
          </w:p>
        </w:tc>
      </w:tr>
      <w:tr w:rsidR="00C77BFC" w:rsidRPr="00681785" w14:paraId="42CC5EB5" w14:textId="77777777">
        <w:tc>
          <w:tcPr>
            <w:tcW w:w="0" w:type="auto"/>
            <w:hideMark/>
          </w:tcPr>
          <w:p w14:paraId="7891CD37" w14:textId="77777777" w:rsidR="00C77BFC" w:rsidRPr="00681785" w:rsidRDefault="00C77BFC" w:rsidP="00A6364F">
            <w:pPr>
              <w:pStyle w:val="ListParagraph"/>
              <w:numPr>
                <w:ilvl w:val="0"/>
                <w:numId w:val="2"/>
              </w:numPr>
              <w:spacing w:line="276" w:lineRule="auto"/>
              <w:ind w:left="340"/>
              <w:outlineLvl w:val="2"/>
              <w:rPr>
                <w:rFonts w:eastAsia="Times New Roman" w:cs="Arial"/>
                <w14:ligatures w14:val="none"/>
              </w:rPr>
            </w:pPr>
            <w:r w:rsidRPr="00681785">
              <w:rPr>
                <w:rFonts w:eastAsia="Times New Roman" w:cs="Arial"/>
                <w14:ligatures w14:val="none"/>
              </w:rPr>
              <w:t>Upon Completion of All Deliverables</w:t>
            </w:r>
          </w:p>
        </w:tc>
        <w:tc>
          <w:tcPr>
            <w:tcW w:w="0" w:type="auto"/>
            <w:hideMark/>
          </w:tcPr>
          <w:p w14:paraId="0C7AB517" w14:textId="54C36EA0" w:rsidR="00C77BFC" w:rsidRPr="00681785" w:rsidRDefault="00787959" w:rsidP="00A6364F">
            <w:pPr>
              <w:spacing w:line="276" w:lineRule="auto"/>
              <w:jc w:val="center"/>
              <w:outlineLvl w:val="2"/>
              <w:rPr>
                <w:rFonts w:eastAsia="Times New Roman" w:cs="Arial"/>
                <w:b/>
                <w:bCs/>
                <w14:ligatures w14:val="none"/>
              </w:rPr>
            </w:pPr>
            <w:r>
              <w:rPr>
                <w:rFonts w:eastAsia="Times New Roman" w:cs="Arial"/>
                <w:b/>
                <w:bCs/>
                <w14:ligatures w14:val="none"/>
              </w:rPr>
              <w:t>4</w:t>
            </w:r>
            <w:r w:rsidR="00C77BFC" w:rsidRPr="00681785">
              <w:rPr>
                <w:rFonts w:eastAsia="Times New Roman" w:cs="Arial"/>
                <w:b/>
                <w:bCs/>
                <w14:ligatures w14:val="none"/>
              </w:rPr>
              <w:t>0%</w:t>
            </w:r>
          </w:p>
        </w:tc>
        <w:tc>
          <w:tcPr>
            <w:tcW w:w="0" w:type="auto"/>
            <w:hideMark/>
          </w:tcPr>
          <w:p w14:paraId="5A81DB71" w14:textId="720ABD29"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 xml:space="preserve">Successful submission of </w:t>
            </w:r>
            <w:r w:rsidR="008429F9">
              <w:rPr>
                <w:rFonts w:eastAsia="Times New Roman" w:cs="Arial"/>
                <w14:ligatures w14:val="none"/>
              </w:rPr>
              <w:t xml:space="preserve">the final reports, Policy brief. </w:t>
            </w:r>
            <w:r w:rsidRPr="00681785">
              <w:rPr>
                <w:rFonts w:eastAsia="Times New Roman" w:cs="Arial"/>
                <w14:ligatures w14:val="none"/>
              </w:rPr>
              <w:t xml:space="preserve"> </w:t>
            </w:r>
          </w:p>
        </w:tc>
      </w:tr>
    </w:tbl>
    <w:p w14:paraId="5F4C86F0" w14:textId="10E8DE73" w:rsidR="00C77BFC" w:rsidRDefault="00C77BFC" w:rsidP="00A6364F">
      <w:pPr>
        <w:spacing w:after="0" w:line="276" w:lineRule="auto"/>
        <w:jc w:val="both"/>
        <w:outlineLvl w:val="2"/>
        <w:rPr>
          <w:rFonts w:eastAsia="Times New Roman" w:cs="Arial"/>
          <w:iCs/>
          <w14:ligatures w14:val="none"/>
        </w:rPr>
      </w:pPr>
      <w:r w:rsidRPr="00681785">
        <w:rPr>
          <w:rFonts w:eastAsia="Times New Roman" w:cs="Arial"/>
          <w:iCs/>
          <w14:ligatures w14:val="none"/>
        </w:rPr>
        <w:t xml:space="preserve">All payments will be made upon approval of </w:t>
      </w:r>
      <w:r w:rsidR="00A6364F" w:rsidRPr="00681785">
        <w:rPr>
          <w:rFonts w:eastAsia="Times New Roman" w:cs="Arial"/>
          <w:iCs/>
          <w14:ligatures w14:val="none"/>
        </w:rPr>
        <w:t>the deliverables</w:t>
      </w:r>
      <w:r w:rsidRPr="00681785">
        <w:rPr>
          <w:rFonts w:eastAsia="Times New Roman" w:cs="Arial"/>
          <w:iCs/>
          <w14:ligatures w14:val="none"/>
        </w:rPr>
        <w:t xml:space="preserve"> by the </w:t>
      </w:r>
      <w:r w:rsidRPr="00681785">
        <w:rPr>
          <w:rFonts w:eastAsia="Times New Roman" w:cs="Arial"/>
          <w:lang w:val="en-GB"/>
          <w14:ligatures w14:val="none"/>
        </w:rPr>
        <w:t>Manager- MRM and Communications</w:t>
      </w:r>
      <w:r w:rsidRPr="00681785">
        <w:rPr>
          <w:rFonts w:eastAsia="Times New Roman" w:cs="Arial"/>
          <w:iCs/>
          <w14:ligatures w14:val="none"/>
        </w:rPr>
        <w:t>, PRABRIDDHI.</w:t>
      </w:r>
    </w:p>
    <w:p w14:paraId="15E19582" w14:textId="77777777" w:rsidR="00C77BFC" w:rsidRPr="00681785" w:rsidRDefault="00C77BFC" w:rsidP="00A6364F">
      <w:pPr>
        <w:spacing w:after="0" w:line="276" w:lineRule="auto"/>
        <w:jc w:val="both"/>
        <w:outlineLvl w:val="2"/>
        <w:rPr>
          <w:rFonts w:eastAsia="Times New Roman" w:cs="Arial"/>
          <w:iCs/>
          <w14:ligatures w14:val="none"/>
        </w:rPr>
      </w:pPr>
    </w:p>
    <w:p w14:paraId="0A315A6C"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Proposal Submission Guidelines</w:t>
      </w:r>
    </w:p>
    <w:p w14:paraId="22668B92" w14:textId="77777777" w:rsidR="00C77BFC"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Interested data and research firms are invited to submit a comprehensive proposal that aligns with the Terms of Reference (ToR). The proposal must be prepared in English and include the following components:</w:t>
      </w:r>
    </w:p>
    <w:p w14:paraId="53052B91" w14:textId="77777777" w:rsidR="00C77BFC" w:rsidRPr="00681785" w:rsidRDefault="00C77BFC" w:rsidP="00A6364F">
      <w:pPr>
        <w:spacing w:after="0" w:line="276" w:lineRule="auto"/>
        <w:jc w:val="both"/>
        <w:outlineLvl w:val="2"/>
        <w:rPr>
          <w:rFonts w:eastAsia="Times New Roman" w:cs="Arial"/>
          <w:lang w:val="en-GB"/>
          <w14:ligatures w14:val="none"/>
        </w:rPr>
      </w:pPr>
    </w:p>
    <w:p w14:paraId="0865371D" w14:textId="77777777" w:rsidR="00C77BFC" w:rsidRPr="006B2A5F" w:rsidRDefault="00C77BFC" w:rsidP="00A6364F">
      <w:pPr>
        <w:pStyle w:val="ListParagraph"/>
        <w:numPr>
          <w:ilvl w:val="1"/>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Technical Proposal</w:t>
      </w:r>
    </w:p>
    <w:p w14:paraId="2E001A6B" w14:textId="57F3B20A" w:rsidR="00C77BFC" w:rsidRPr="00681785" w:rsidRDefault="00C77BFC" w:rsidP="00A6364F">
      <w:pPr>
        <w:pStyle w:val="ListParagraph"/>
        <w:numPr>
          <w:ilvl w:val="0"/>
          <w:numId w:val="3"/>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Understanding of the Assignment:</w:t>
      </w:r>
      <w:r w:rsidRPr="00681785">
        <w:rPr>
          <w:rFonts w:eastAsia="Times New Roman" w:cs="Arial"/>
          <w:lang w:val="en-GB"/>
          <w14:ligatures w14:val="none"/>
        </w:rPr>
        <w:t xml:space="preserve"> A brief overview demonstrating the firm’s understanding of the objectives, scope, and intended outcomes of the assignment.</w:t>
      </w:r>
      <w:r w:rsidR="006A705A">
        <w:rPr>
          <w:rFonts w:eastAsia="Times New Roman" w:cs="Arial"/>
          <w:lang w:val="en-GB"/>
          <w14:ligatures w14:val="none"/>
        </w:rPr>
        <w:t xml:space="preserve"> </w:t>
      </w:r>
    </w:p>
    <w:p w14:paraId="55024E44" w14:textId="09DD49CC" w:rsidR="00C77BFC" w:rsidRPr="00A6364F" w:rsidRDefault="00C77BFC" w:rsidP="00A6364F">
      <w:pPr>
        <w:pStyle w:val="ListParagraph"/>
        <w:numPr>
          <w:ilvl w:val="0"/>
          <w:numId w:val="3"/>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Methodology and Approach:</w:t>
      </w:r>
      <w:r w:rsidRPr="00681785">
        <w:rPr>
          <w:rFonts w:eastAsia="Times New Roman" w:cs="Arial"/>
          <w:lang w:val="en-GB"/>
          <w14:ligatures w14:val="none"/>
        </w:rPr>
        <w:t xml:space="preserve"> A detailed explanation of how the firm plans to execute the three components of the assignment: (</w:t>
      </w:r>
      <w:r w:rsidR="00A6364F">
        <w:rPr>
          <w:rFonts w:eastAsia="Times New Roman" w:cs="Arial"/>
          <w:lang w:val="en-GB"/>
          <w14:ligatures w14:val="none"/>
        </w:rPr>
        <w:t xml:space="preserve">1) </w:t>
      </w:r>
      <w:r w:rsidR="00A6364F" w:rsidRPr="00A6364F">
        <w:rPr>
          <w:rFonts w:eastAsia="Times New Roman" w:cs="Arial"/>
          <w:lang w:val="en-GB"/>
          <w14:ligatures w14:val="none"/>
        </w:rPr>
        <w:t>Assessment Design and Strategy</w:t>
      </w:r>
      <w:r w:rsidR="00A6364F">
        <w:rPr>
          <w:rFonts w:eastAsia="Times New Roman" w:cs="Arial"/>
          <w:lang w:val="en-GB"/>
          <w14:ligatures w14:val="none"/>
        </w:rPr>
        <w:t xml:space="preserve">, (2) </w:t>
      </w:r>
      <w:r w:rsidR="00A6364F" w:rsidRPr="00A6364F">
        <w:rPr>
          <w:rFonts w:eastAsia="Times New Roman" w:cs="Arial"/>
          <w:lang w:val="en-GB"/>
          <w14:ligatures w14:val="none"/>
        </w:rPr>
        <w:t>Data Collection and Evidence Gathering</w:t>
      </w:r>
      <w:r w:rsidR="00A6364F">
        <w:rPr>
          <w:rFonts w:eastAsia="Times New Roman" w:cs="Arial"/>
          <w:lang w:val="en-GB"/>
          <w14:ligatures w14:val="none"/>
        </w:rPr>
        <w:t xml:space="preserve">, (3) </w:t>
      </w:r>
      <w:r w:rsidR="00A6364F" w:rsidRPr="00A6364F">
        <w:rPr>
          <w:rFonts w:eastAsia="Times New Roman" w:cs="Arial"/>
          <w:lang w:val="en-GB"/>
          <w14:ligatures w14:val="none"/>
        </w:rPr>
        <w:t>Data Analysis, Validation, and Reporting</w:t>
      </w:r>
      <w:r w:rsidR="00A6364F">
        <w:rPr>
          <w:rFonts w:eastAsia="Times New Roman" w:cs="Arial"/>
          <w:lang w:val="en-GB"/>
          <w14:ligatures w14:val="none"/>
        </w:rPr>
        <w:t xml:space="preserve">. </w:t>
      </w:r>
      <w:r w:rsidRPr="00A6364F">
        <w:rPr>
          <w:rFonts w:eastAsia="Times New Roman" w:cs="Arial"/>
          <w:lang w:val="en-GB"/>
          <w14:ligatures w14:val="none"/>
        </w:rPr>
        <w:t>This should include proposed strategies, data harvesting approach, collection plans in municipalities, and reporting structure.</w:t>
      </w:r>
      <w:r w:rsidR="006A705A">
        <w:rPr>
          <w:rFonts w:eastAsia="Times New Roman" w:cs="Arial"/>
          <w:lang w:val="en-GB"/>
          <w14:ligatures w14:val="none"/>
        </w:rPr>
        <w:t xml:space="preserve"> </w:t>
      </w:r>
    </w:p>
    <w:p w14:paraId="548166E9" w14:textId="5426400C" w:rsidR="00C77BFC" w:rsidRPr="00681785" w:rsidRDefault="00C77BFC" w:rsidP="00A6364F">
      <w:pPr>
        <w:pStyle w:val="ListParagraph"/>
        <w:numPr>
          <w:ilvl w:val="0"/>
          <w:numId w:val="3"/>
        </w:numPr>
        <w:spacing w:after="0" w:line="276" w:lineRule="auto"/>
        <w:jc w:val="both"/>
        <w:outlineLvl w:val="2"/>
        <w:rPr>
          <w:rFonts w:eastAsia="Times New Roman" w:cs="Arial"/>
          <w:lang w:val="en-GB"/>
          <w14:ligatures w14:val="none"/>
        </w:rPr>
      </w:pPr>
      <w:r w:rsidRPr="00681785">
        <w:rPr>
          <w:rFonts w:eastAsia="Times New Roman" w:cs="Arial"/>
          <w:b/>
          <w:lang w:val="en-GB"/>
          <w14:ligatures w14:val="none"/>
        </w:rPr>
        <w:t>Work Plan and Timeline:</w:t>
      </w:r>
      <w:r w:rsidRPr="00681785">
        <w:rPr>
          <w:rFonts w:eastAsia="Times New Roman" w:cs="Arial"/>
          <w:lang w:val="en-GB"/>
          <w14:ligatures w14:val="none"/>
        </w:rPr>
        <w:t xml:space="preserve"> A detailed, phase-wise work plan highlighting major activities, timelines, and responsible team members.</w:t>
      </w:r>
      <w:r w:rsidR="006A705A">
        <w:rPr>
          <w:rFonts w:eastAsia="Times New Roman" w:cs="Arial"/>
          <w:lang w:val="en-GB"/>
          <w14:ligatures w14:val="none"/>
        </w:rPr>
        <w:t xml:space="preserve"> </w:t>
      </w:r>
    </w:p>
    <w:p w14:paraId="0FC621B8" w14:textId="70A6737F" w:rsidR="00C77BFC" w:rsidRPr="007079F0" w:rsidRDefault="00C77BFC" w:rsidP="007079F0">
      <w:pPr>
        <w:pStyle w:val="ListParagraph"/>
        <w:numPr>
          <w:ilvl w:val="0"/>
          <w:numId w:val="3"/>
        </w:numPr>
        <w:spacing w:after="0" w:line="276" w:lineRule="auto"/>
        <w:jc w:val="both"/>
        <w:outlineLvl w:val="2"/>
        <w:rPr>
          <w:rFonts w:eastAsia="Times New Roman" w:cs="Arial"/>
          <w:lang w:val="en-GB"/>
          <w14:ligatures w14:val="none"/>
        </w:rPr>
      </w:pPr>
      <w:r w:rsidRPr="00681785">
        <w:rPr>
          <w:rFonts w:eastAsia="Times New Roman" w:cs="Arial"/>
          <w:b/>
          <w:lang w:val="en-GB"/>
          <w14:ligatures w14:val="none"/>
        </w:rPr>
        <w:t>Team Composition and Profiles:</w:t>
      </w:r>
      <w:r w:rsidRPr="00681785">
        <w:rPr>
          <w:rFonts w:eastAsia="Times New Roman" w:cs="Arial"/>
          <w:lang w:val="en-GB"/>
          <w14:ligatures w14:val="none"/>
        </w:rPr>
        <w:t xml:space="preserve"> Brief bios of key personnel assigned to the project, clearly mentioning their roles, relevant experience, and technical expertise. CVs of team members should be attached as annexes.</w:t>
      </w:r>
      <w:r w:rsidR="006A705A">
        <w:rPr>
          <w:rFonts w:eastAsia="Times New Roman" w:cs="Arial"/>
          <w:lang w:val="en-GB"/>
          <w14:ligatures w14:val="none"/>
        </w:rPr>
        <w:t xml:space="preserve"> </w:t>
      </w:r>
    </w:p>
    <w:p w14:paraId="3F08578D" w14:textId="77777777" w:rsidR="00C77BFC" w:rsidRPr="006B2A5F" w:rsidRDefault="00C77BFC" w:rsidP="00A6364F">
      <w:pPr>
        <w:pStyle w:val="ListParagraph"/>
        <w:numPr>
          <w:ilvl w:val="1"/>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Financial Proposal</w:t>
      </w:r>
    </w:p>
    <w:p w14:paraId="3E138F8B" w14:textId="21C86D25" w:rsidR="00C77BFC" w:rsidRPr="00681785" w:rsidRDefault="00C77BFC" w:rsidP="00A6364F">
      <w:pPr>
        <w:pStyle w:val="ListParagraph"/>
        <w:numPr>
          <w:ilvl w:val="0"/>
          <w:numId w:val="4"/>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Detailed Budget Breakdown:</w:t>
      </w:r>
      <w:r w:rsidRPr="00681785">
        <w:rPr>
          <w:rFonts w:eastAsia="Times New Roman" w:cs="Arial"/>
          <w:lang w:val="en-GB"/>
          <w14:ligatures w14:val="none"/>
        </w:rPr>
        <w:t xml:space="preserve"> An itemized budget in BDT clearly listing costs for each activity, including consultancy fees, travel, logistics, content production, content boosting, and training facilitation.</w:t>
      </w:r>
      <w:r w:rsidR="006A705A">
        <w:rPr>
          <w:rFonts w:eastAsia="Times New Roman" w:cs="Arial"/>
          <w:lang w:val="en-GB"/>
          <w14:ligatures w14:val="none"/>
        </w:rPr>
        <w:t xml:space="preserve"> </w:t>
      </w:r>
    </w:p>
    <w:p w14:paraId="0F76A0BD" w14:textId="14A92A3F" w:rsidR="00C77BFC" w:rsidRDefault="00C77BFC" w:rsidP="00A6364F">
      <w:pPr>
        <w:pStyle w:val="ListParagraph"/>
        <w:numPr>
          <w:ilvl w:val="0"/>
          <w:numId w:val="4"/>
        </w:numPr>
        <w:spacing w:after="0" w:line="276" w:lineRule="auto"/>
        <w:jc w:val="both"/>
        <w:outlineLvl w:val="2"/>
        <w:rPr>
          <w:rFonts w:eastAsia="Times New Roman" w:cs="Arial"/>
          <w:lang w:val="en-GB"/>
          <w14:ligatures w14:val="none"/>
        </w:rPr>
      </w:pPr>
      <w:r w:rsidRPr="00681785">
        <w:rPr>
          <w:rFonts w:eastAsia="Times New Roman" w:cs="Arial"/>
          <w:b/>
          <w:bCs/>
          <w:lang w:val="en-GB"/>
          <w14:ligatures w14:val="none"/>
        </w:rPr>
        <w:t>Payment Schedule:</w:t>
      </w:r>
      <w:r w:rsidRPr="00681785">
        <w:rPr>
          <w:rFonts w:eastAsia="Times New Roman" w:cs="Arial"/>
          <w:lang w:val="en-GB"/>
          <w14:ligatures w14:val="none"/>
        </w:rPr>
        <w:t xml:space="preserve"> The financial proposal must align with the milestone-based payment schedule outlined in the ToR.</w:t>
      </w:r>
      <w:r w:rsidR="006A705A">
        <w:rPr>
          <w:rFonts w:eastAsia="Times New Roman" w:cs="Arial"/>
          <w:lang w:val="en-GB"/>
          <w14:ligatures w14:val="none"/>
        </w:rPr>
        <w:t xml:space="preserve"> </w:t>
      </w:r>
    </w:p>
    <w:p w14:paraId="550132F3" w14:textId="77777777" w:rsidR="00C77BFC" w:rsidRPr="00681785" w:rsidRDefault="00C77BFC" w:rsidP="00A6364F">
      <w:pPr>
        <w:pStyle w:val="ListParagraph"/>
        <w:spacing w:after="0" w:line="276" w:lineRule="auto"/>
        <w:jc w:val="both"/>
        <w:outlineLvl w:val="2"/>
        <w:rPr>
          <w:rFonts w:eastAsia="Times New Roman" w:cs="Arial"/>
          <w:lang w:val="en-GB"/>
          <w14:ligatures w14:val="none"/>
        </w:rPr>
      </w:pPr>
    </w:p>
    <w:p w14:paraId="2A0C6846"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Submission Format and Required Documents</w:t>
      </w:r>
    </w:p>
    <w:p w14:paraId="390910A9" w14:textId="14903C57" w:rsidR="00C77BFC" w:rsidRDefault="00C77BFC" w:rsidP="7641FD16">
      <w:pPr>
        <w:spacing w:after="0" w:line="276" w:lineRule="auto"/>
        <w:jc w:val="both"/>
        <w:outlineLvl w:val="2"/>
        <w:rPr>
          <w:rFonts w:eastAsia="Times New Roman" w:cs="Arial"/>
          <w14:ligatures w14:val="none"/>
        </w:rPr>
      </w:pPr>
      <w:r w:rsidRPr="7641FD16">
        <w:rPr>
          <w:rFonts w:eastAsia="Times New Roman" w:cs="Arial"/>
          <w14:ligatures w14:val="none"/>
        </w:rPr>
        <w:t xml:space="preserve">The proposal must be submitted in </w:t>
      </w:r>
      <w:r w:rsidR="008429F9" w:rsidRPr="7641FD16">
        <w:rPr>
          <w:rFonts w:eastAsia="Times New Roman" w:cs="Arial"/>
          <w:b/>
          <w:bCs/>
          <w:highlight w:val="yellow"/>
          <w14:ligatures w14:val="none"/>
        </w:rPr>
        <w:t>soft</w:t>
      </w:r>
      <w:r w:rsidRPr="7641FD16">
        <w:rPr>
          <w:rFonts w:eastAsia="Times New Roman" w:cs="Arial"/>
          <w:b/>
          <w:bCs/>
          <w:highlight w:val="yellow"/>
          <w14:ligatures w14:val="none"/>
        </w:rPr>
        <w:t xml:space="preserve"> copy</w:t>
      </w:r>
      <w:r w:rsidR="008429F9" w:rsidRPr="7641FD16">
        <w:rPr>
          <w:rFonts w:eastAsia="Times New Roman" w:cs="Arial"/>
          <w:b/>
          <w:bCs/>
          <w14:ligatures w14:val="none"/>
        </w:rPr>
        <w:t xml:space="preserve"> </w:t>
      </w:r>
      <w:r w:rsidRPr="7641FD16">
        <w:rPr>
          <w:rFonts w:eastAsia="Times New Roman" w:cs="Arial"/>
          <w14:ligatures w14:val="none"/>
        </w:rPr>
        <w:t>clearly marked with the name of the assignment: “</w:t>
      </w:r>
      <w:r w:rsidR="004E44E0" w:rsidRPr="004E44E0">
        <w:rPr>
          <w:rFonts w:eastAsia="Times New Roman" w:cs="Arial"/>
          <w:b/>
          <w:bCs/>
          <w14:ligatures w14:val="none"/>
        </w:rPr>
        <w:t>Documenting Learning from the Bangla LED Model: Process, Stakeholder engagement and Sustainability Outcomes</w:t>
      </w:r>
      <w:r w:rsidR="004E44E0">
        <w:rPr>
          <w:rFonts w:eastAsia="Times New Roman" w:cs="Arial"/>
          <w:b/>
          <w:bCs/>
          <w14:ligatures w14:val="none"/>
        </w:rPr>
        <w:t xml:space="preserve">”. </w:t>
      </w:r>
    </w:p>
    <w:p w14:paraId="2BD0E4F5" w14:textId="77777777" w:rsidR="00C77BFC" w:rsidRPr="00681785" w:rsidRDefault="00C77BFC" w:rsidP="00A6364F">
      <w:pPr>
        <w:spacing w:after="0" w:line="276" w:lineRule="auto"/>
        <w:jc w:val="both"/>
        <w:outlineLvl w:val="2"/>
        <w:rPr>
          <w:rFonts w:eastAsia="Times New Roman" w:cs="Arial"/>
          <w:lang w:val="en-GB"/>
          <w14:ligatures w14:val="none"/>
        </w:rPr>
      </w:pPr>
    </w:p>
    <w:p w14:paraId="07EC6260"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lastRenderedPageBreak/>
        <w:t>In addition to the technical and financial proposals, applicants are required to submit valid documentation demonstrating their legal, financial, and taxation status. These documents must be included as annexes in the proposal and should comprise the following (as applicable):</w:t>
      </w:r>
    </w:p>
    <w:p w14:paraId="1286A869" w14:textId="77777777" w:rsidR="00C77BFC" w:rsidRPr="00681785" w:rsidRDefault="00C77BFC" w:rsidP="00A6364F">
      <w:pPr>
        <w:pStyle w:val="ListParagraph"/>
        <w:numPr>
          <w:ilvl w:val="0"/>
          <w:numId w:val="5"/>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Copy of valid Tax Identification Number (TIN)</w:t>
      </w:r>
    </w:p>
    <w:p w14:paraId="52F78C13" w14:textId="77777777" w:rsidR="00C77BFC" w:rsidRPr="00681785" w:rsidRDefault="00C77BFC" w:rsidP="00A6364F">
      <w:pPr>
        <w:pStyle w:val="ListParagraph"/>
        <w:numPr>
          <w:ilvl w:val="0"/>
          <w:numId w:val="5"/>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Copy of Trade License (for registered businesses)</w:t>
      </w:r>
    </w:p>
    <w:p w14:paraId="7DC59D20" w14:textId="77777777" w:rsidR="00C77BFC" w:rsidRPr="00681785" w:rsidRDefault="00C77BFC" w:rsidP="00A6364F">
      <w:pPr>
        <w:pStyle w:val="ListParagraph"/>
        <w:numPr>
          <w:ilvl w:val="0"/>
          <w:numId w:val="5"/>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Registrar of Joint Stock Companies and Firms (RJSC) Certificate (if registered under RJSC)</w:t>
      </w:r>
    </w:p>
    <w:p w14:paraId="2129C7DE" w14:textId="77777777" w:rsidR="00C77BFC" w:rsidRPr="00681785" w:rsidRDefault="00C77BFC" w:rsidP="00A6364F">
      <w:pPr>
        <w:pStyle w:val="ListParagraph"/>
        <w:numPr>
          <w:ilvl w:val="0"/>
          <w:numId w:val="5"/>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Proof of Segregated Bank Account, including name and address of the account</w:t>
      </w:r>
    </w:p>
    <w:p w14:paraId="5AE55136" w14:textId="77777777" w:rsidR="00C77BFC" w:rsidRDefault="00C77BFC" w:rsidP="00A6364F">
      <w:pPr>
        <w:pStyle w:val="ListParagraph"/>
        <w:numPr>
          <w:ilvl w:val="0"/>
          <w:numId w:val="5"/>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Any other relevant and valid certifications issued by government authorities</w:t>
      </w:r>
    </w:p>
    <w:p w14:paraId="2A695BFC" w14:textId="77777777" w:rsidR="00C77BFC" w:rsidRPr="00681785" w:rsidRDefault="00C77BFC" w:rsidP="00A6364F">
      <w:pPr>
        <w:pStyle w:val="ListParagraph"/>
        <w:spacing w:after="0" w:line="276" w:lineRule="auto"/>
        <w:jc w:val="both"/>
        <w:outlineLvl w:val="2"/>
        <w:rPr>
          <w:rFonts w:eastAsia="Times New Roman" w:cs="Arial"/>
          <w:lang w:val="en-GB"/>
          <w14:ligatures w14:val="none"/>
        </w:rPr>
      </w:pPr>
    </w:p>
    <w:p w14:paraId="26FAA472"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Additionally, the applicant must comply with the following financial conditions:</w:t>
      </w:r>
    </w:p>
    <w:p w14:paraId="78837158" w14:textId="77777777" w:rsidR="00C77BFC" w:rsidRPr="00681785" w:rsidRDefault="00C77BFC" w:rsidP="00A6364F">
      <w:pPr>
        <w:pStyle w:val="ListParagraph"/>
        <w:numPr>
          <w:ilvl w:val="0"/>
          <w:numId w:val="6"/>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The agency is responsible for all applicable Advance Income Tax (AIT) and VAT.</w:t>
      </w:r>
    </w:p>
    <w:p w14:paraId="65A02531" w14:textId="77777777" w:rsidR="00C77BFC" w:rsidRPr="00681785" w:rsidRDefault="00C77BFC" w:rsidP="00A6364F">
      <w:pPr>
        <w:pStyle w:val="ListParagraph"/>
        <w:numPr>
          <w:ilvl w:val="0"/>
          <w:numId w:val="6"/>
        </w:num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The total VAT amount must be clearly stated in the financial proposal.</w:t>
      </w:r>
    </w:p>
    <w:p w14:paraId="4BBFBC1D" w14:textId="77777777" w:rsidR="00C77BFC" w:rsidRDefault="00C77BFC" w:rsidP="00A6364F">
      <w:pPr>
        <w:spacing w:after="0" w:line="276" w:lineRule="auto"/>
        <w:jc w:val="both"/>
        <w:outlineLvl w:val="2"/>
        <w:rPr>
          <w:rFonts w:eastAsia="Times New Roman" w:cs="Arial"/>
          <w:i/>
          <w:iCs/>
          <w:lang w:val="en-GB"/>
          <w14:ligatures w14:val="none"/>
        </w:rPr>
      </w:pPr>
      <w:r w:rsidRPr="00681785">
        <w:rPr>
          <w:rFonts w:eastAsia="Times New Roman" w:cs="Arial"/>
          <w:i/>
          <w:iCs/>
          <w:lang w:val="en-GB"/>
          <w14:ligatures w14:val="none"/>
        </w:rPr>
        <w:t>Incomplete proposals or those lacking required documentation will not be considered for evaluation.</w:t>
      </w:r>
    </w:p>
    <w:p w14:paraId="57309827" w14:textId="77777777" w:rsidR="00C77BFC" w:rsidRPr="00681785" w:rsidRDefault="00C77BFC" w:rsidP="00A6364F">
      <w:pPr>
        <w:spacing w:after="0" w:line="276" w:lineRule="auto"/>
        <w:jc w:val="both"/>
        <w:outlineLvl w:val="2"/>
        <w:rPr>
          <w:rFonts w:eastAsia="Times New Roman" w:cs="Arial"/>
          <w:i/>
          <w:iCs/>
          <w:lang w:val="en-GB"/>
          <w14:ligatures w14:val="none"/>
        </w:rPr>
      </w:pPr>
    </w:p>
    <w:p w14:paraId="4C3EF677"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 xml:space="preserve">Proposal Evaluation Criteria </w:t>
      </w:r>
    </w:p>
    <w:tbl>
      <w:tblPr>
        <w:tblStyle w:val="TableGrid"/>
        <w:tblW w:w="5000" w:type="pct"/>
        <w:tblLook w:val="04A0" w:firstRow="1" w:lastRow="0" w:firstColumn="1" w:lastColumn="0" w:noHBand="0" w:noVBand="1"/>
      </w:tblPr>
      <w:tblGrid>
        <w:gridCol w:w="1259"/>
        <w:gridCol w:w="2876"/>
        <w:gridCol w:w="1350"/>
        <w:gridCol w:w="3865"/>
      </w:tblGrid>
      <w:tr w:rsidR="00C77BFC" w:rsidRPr="00681785" w14:paraId="7AAACAB6" w14:textId="77777777" w:rsidTr="007079F0">
        <w:trPr>
          <w:tblHeader/>
        </w:trPr>
        <w:tc>
          <w:tcPr>
            <w:tcW w:w="673" w:type="pct"/>
            <w:hideMark/>
          </w:tcPr>
          <w:p w14:paraId="26820DBF"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Section</w:t>
            </w:r>
          </w:p>
        </w:tc>
        <w:tc>
          <w:tcPr>
            <w:tcW w:w="1538" w:type="pct"/>
            <w:hideMark/>
          </w:tcPr>
          <w:p w14:paraId="66561C0C"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Criteria</w:t>
            </w:r>
          </w:p>
        </w:tc>
        <w:tc>
          <w:tcPr>
            <w:tcW w:w="722" w:type="pct"/>
            <w:hideMark/>
          </w:tcPr>
          <w:p w14:paraId="107ED307"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Weight (%)</w:t>
            </w:r>
          </w:p>
        </w:tc>
        <w:tc>
          <w:tcPr>
            <w:tcW w:w="2067" w:type="pct"/>
            <w:hideMark/>
          </w:tcPr>
          <w:p w14:paraId="6C725EC6"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Remarks</w:t>
            </w:r>
          </w:p>
        </w:tc>
      </w:tr>
      <w:tr w:rsidR="00C77BFC" w:rsidRPr="00681785" w14:paraId="58ADE6F2" w14:textId="77777777" w:rsidTr="007079F0">
        <w:trPr>
          <w:trHeight w:val="737"/>
        </w:trPr>
        <w:tc>
          <w:tcPr>
            <w:tcW w:w="673" w:type="pct"/>
            <w:vMerge w:val="restart"/>
            <w:hideMark/>
          </w:tcPr>
          <w:p w14:paraId="052FA0D5"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Technical Proposal</w:t>
            </w:r>
          </w:p>
        </w:tc>
        <w:tc>
          <w:tcPr>
            <w:tcW w:w="1538" w:type="pct"/>
            <w:hideMark/>
          </w:tcPr>
          <w:p w14:paraId="0F39B079"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Profile and Expertise of Key Personnel (max 3 pages)</w:t>
            </w:r>
          </w:p>
        </w:tc>
        <w:tc>
          <w:tcPr>
            <w:tcW w:w="722" w:type="pct"/>
            <w:vAlign w:val="center"/>
            <w:hideMark/>
          </w:tcPr>
          <w:p w14:paraId="3333C210" w14:textId="321F5BB1" w:rsidR="00C77BFC" w:rsidRPr="00681785" w:rsidRDefault="00AB2C30" w:rsidP="00A6364F">
            <w:pPr>
              <w:spacing w:line="276" w:lineRule="auto"/>
              <w:jc w:val="center"/>
              <w:outlineLvl w:val="2"/>
              <w:rPr>
                <w:rFonts w:eastAsia="Times New Roman" w:cs="Arial"/>
                <w14:ligatures w14:val="none"/>
              </w:rPr>
            </w:pPr>
            <w:r>
              <w:rPr>
                <w:rFonts w:eastAsia="Times New Roman" w:cs="Arial"/>
                <w14:ligatures w14:val="none"/>
              </w:rPr>
              <w:t>1</w:t>
            </w:r>
            <w:r w:rsidR="008429F9">
              <w:rPr>
                <w:rFonts w:eastAsia="Times New Roman" w:cs="Arial"/>
                <w14:ligatures w14:val="none"/>
              </w:rPr>
              <w:t>0</w:t>
            </w:r>
            <w:r w:rsidR="00C77BFC" w:rsidRPr="00681785">
              <w:rPr>
                <w:rFonts w:eastAsia="Times New Roman" w:cs="Arial"/>
                <w14:ligatures w14:val="none"/>
              </w:rPr>
              <w:t>%</w:t>
            </w:r>
          </w:p>
        </w:tc>
        <w:tc>
          <w:tcPr>
            <w:tcW w:w="2067" w:type="pct"/>
            <w:hideMark/>
          </w:tcPr>
          <w:p w14:paraId="63A8AAD0" w14:textId="12D2D6EC" w:rsidR="00C77BFC" w:rsidRPr="00681785" w:rsidRDefault="00C77BFC" w:rsidP="00A6364F">
            <w:pPr>
              <w:spacing w:line="276" w:lineRule="auto"/>
              <w:jc w:val="both"/>
              <w:outlineLvl w:val="2"/>
              <w:rPr>
                <w:rFonts w:eastAsia="Times New Roman" w:cs="Arial"/>
                <w14:ligatures w14:val="none"/>
              </w:rPr>
            </w:pPr>
            <w:r>
              <w:rPr>
                <w:rFonts w:eastAsia="Times New Roman" w:cs="Arial"/>
                <w14:ligatures w14:val="none"/>
              </w:rPr>
              <w:t>Academic q</w:t>
            </w:r>
            <w:r w:rsidRPr="00681785">
              <w:rPr>
                <w:rFonts w:eastAsia="Times New Roman" w:cs="Arial"/>
                <w14:ligatures w14:val="none"/>
              </w:rPr>
              <w:t xml:space="preserve">ualifications, roles, and relevant experience of </w:t>
            </w:r>
            <w:r w:rsidR="00287EF3">
              <w:rPr>
                <w:rFonts w:eastAsia="Times New Roman" w:cs="Arial"/>
                <w14:ligatures w14:val="none"/>
              </w:rPr>
              <w:t xml:space="preserve">core </w:t>
            </w:r>
            <w:r w:rsidRPr="00681785">
              <w:rPr>
                <w:rFonts w:eastAsia="Times New Roman" w:cs="Arial"/>
                <w14:ligatures w14:val="none"/>
              </w:rPr>
              <w:t xml:space="preserve">team members </w:t>
            </w:r>
          </w:p>
        </w:tc>
      </w:tr>
      <w:tr w:rsidR="00C77BFC" w:rsidRPr="00681785" w14:paraId="53DB3AF9" w14:textId="77777777" w:rsidTr="007079F0">
        <w:tc>
          <w:tcPr>
            <w:tcW w:w="673" w:type="pct"/>
            <w:vMerge/>
            <w:hideMark/>
          </w:tcPr>
          <w:p w14:paraId="2281B5A5" w14:textId="77777777" w:rsidR="00C77BFC" w:rsidRPr="00681785" w:rsidRDefault="00C77BFC" w:rsidP="00A6364F">
            <w:pPr>
              <w:spacing w:line="276" w:lineRule="auto"/>
              <w:jc w:val="both"/>
              <w:outlineLvl w:val="2"/>
              <w:rPr>
                <w:rFonts w:eastAsia="Times New Roman" w:cs="Arial"/>
                <w14:ligatures w14:val="none"/>
              </w:rPr>
            </w:pPr>
          </w:p>
        </w:tc>
        <w:tc>
          <w:tcPr>
            <w:tcW w:w="1538" w:type="pct"/>
            <w:hideMark/>
          </w:tcPr>
          <w:p w14:paraId="65224BB6"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Understanding of the Assignment and Methodology (max 5–7 pages)</w:t>
            </w:r>
          </w:p>
        </w:tc>
        <w:tc>
          <w:tcPr>
            <w:tcW w:w="722" w:type="pct"/>
            <w:vAlign w:val="center"/>
            <w:hideMark/>
          </w:tcPr>
          <w:p w14:paraId="6FBF7DF9" w14:textId="0A26358F" w:rsidR="00C77BFC" w:rsidRPr="00681785" w:rsidRDefault="008429F9" w:rsidP="00A6364F">
            <w:pPr>
              <w:spacing w:line="276" w:lineRule="auto"/>
              <w:jc w:val="center"/>
              <w:outlineLvl w:val="2"/>
              <w:rPr>
                <w:rFonts w:eastAsia="Times New Roman" w:cs="Arial"/>
                <w14:ligatures w14:val="none"/>
              </w:rPr>
            </w:pPr>
            <w:r>
              <w:rPr>
                <w:rFonts w:eastAsia="Times New Roman" w:cs="Arial"/>
                <w14:ligatures w14:val="none"/>
              </w:rPr>
              <w:t>40</w:t>
            </w:r>
            <w:r w:rsidR="00C77BFC" w:rsidRPr="00681785">
              <w:rPr>
                <w:rFonts w:eastAsia="Times New Roman" w:cs="Arial"/>
                <w14:ligatures w14:val="none"/>
              </w:rPr>
              <w:t>%</w:t>
            </w:r>
          </w:p>
        </w:tc>
        <w:tc>
          <w:tcPr>
            <w:tcW w:w="2067" w:type="pct"/>
            <w:hideMark/>
          </w:tcPr>
          <w:p w14:paraId="2050B923" w14:textId="77777777" w:rsidR="00C77BFC" w:rsidRPr="00681785" w:rsidRDefault="00C77BFC" w:rsidP="00A6364F">
            <w:pPr>
              <w:spacing w:line="276" w:lineRule="auto"/>
              <w:outlineLvl w:val="2"/>
              <w:rPr>
                <w:rFonts w:eastAsia="Times New Roman" w:cs="Arial"/>
                <w14:ligatures w14:val="none"/>
              </w:rPr>
            </w:pPr>
            <w:r w:rsidRPr="00681785">
              <w:rPr>
                <w:rFonts w:eastAsia="Times New Roman" w:cs="Arial"/>
                <w14:ligatures w14:val="none"/>
              </w:rPr>
              <w:t>Depth of understanding of PRABRIDDHI’s objectives and an actionable, well-articulated approach.</w:t>
            </w:r>
          </w:p>
        </w:tc>
      </w:tr>
      <w:tr w:rsidR="00C77BFC" w:rsidRPr="00681785" w14:paraId="2DCA38AB" w14:textId="77777777" w:rsidTr="007079F0">
        <w:tc>
          <w:tcPr>
            <w:tcW w:w="673" w:type="pct"/>
            <w:vMerge/>
            <w:hideMark/>
          </w:tcPr>
          <w:p w14:paraId="1C723255" w14:textId="77777777" w:rsidR="00C77BFC" w:rsidRPr="00681785" w:rsidRDefault="00C77BFC" w:rsidP="00A6364F">
            <w:pPr>
              <w:spacing w:line="276" w:lineRule="auto"/>
              <w:jc w:val="both"/>
              <w:outlineLvl w:val="2"/>
              <w:rPr>
                <w:rFonts w:eastAsia="Times New Roman" w:cs="Arial"/>
                <w14:ligatures w14:val="none"/>
              </w:rPr>
            </w:pPr>
          </w:p>
        </w:tc>
        <w:tc>
          <w:tcPr>
            <w:tcW w:w="1538" w:type="pct"/>
            <w:hideMark/>
          </w:tcPr>
          <w:p w14:paraId="6401B27B"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Detailed Work Plan and Timeline (max 2–3 pages)</w:t>
            </w:r>
          </w:p>
        </w:tc>
        <w:tc>
          <w:tcPr>
            <w:tcW w:w="722" w:type="pct"/>
            <w:vAlign w:val="center"/>
            <w:hideMark/>
          </w:tcPr>
          <w:p w14:paraId="3028FD17" w14:textId="33EF6676" w:rsidR="00C77BFC" w:rsidRPr="00681785" w:rsidRDefault="00AB2C30" w:rsidP="00A6364F">
            <w:pPr>
              <w:spacing w:line="276" w:lineRule="auto"/>
              <w:jc w:val="center"/>
              <w:outlineLvl w:val="2"/>
              <w:rPr>
                <w:rFonts w:eastAsia="Times New Roman" w:cs="Arial"/>
                <w14:ligatures w14:val="none"/>
              </w:rPr>
            </w:pPr>
            <w:r>
              <w:rPr>
                <w:rFonts w:eastAsia="Times New Roman" w:cs="Arial"/>
                <w14:ligatures w14:val="none"/>
              </w:rPr>
              <w:t>2</w:t>
            </w:r>
            <w:r w:rsidR="008429F9">
              <w:rPr>
                <w:rFonts w:eastAsia="Times New Roman" w:cs="Arial"/>
                <w14:ligatures w14:val="none"/>
              </w:rPr>
              <w:t>0</w:t>
            </w:r>
            <w:r w:rsidR="00C77BFC" w:rsidRPr="00681785">
              <w:rPr>
                <w:rFonts w:eastAsia="Times New Roman" w:cs="Arial"/>
                <w14:ligatures w14:val="none"/>
              </w:rPr>
              <w:t>%</w:t>
            </w:r>
          </w:p>
        </w:tc>
        <w:tc>
          <w:tcPr>
            <w:tcW w:w="2067" w:type="pct"/>
            <w:hideMark/>
          </w:tcPr>
          <w:p w14:paraId="2F821E1E"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Structured, realistic plan with milestones, deliverables, and municipality-specific timelines.</w:t>
            </w:r>
          </w:p>
        </w:tc>
      </w:tr>
      <w:tr w:rsidR="00C77BFC" w:rsidRPr="00681785" w14:paraId="00C5AA8F" w14:textId="77777777" w:rsidTr="007079F0">
        <w:tc>
          <w:tcPr>
            <w:tcW w:w="673" w:type="pct"/>
            <w:hideMark/>
          </w:tcPr>
          <w:p w14:paraId="41ECD4CF"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Subtotal</w:t>
            </w:r>
          </w:p>
        </w:tc>
        <w:tc>
          <w:tcPr>
            <w:tcW w:w="1538" w:type="pct"/>
            <w:hideMark/>
          </w:tcPr>
          <w:p w14:paraId="35ACD720" w14:textId="77777777" w:rsidR="00C77BFC" w:rsidRPr="00681785" w:rsidRDefault="00C77BFC" w:rsidP="00A6364F">
            <w:pPr>
              <w:spacing w:line="276" w:lineRule="auto"/>
              <w:jc w:val="both"/>
              <w:outlineLvl w:val="2"/>
              <w:rPr>
                <w:rFonts w:eastAsia="Times New Roman" w:cs="Arial"/>
                <w14:ligatures w14:val="none"/>
              </w:rPr>
            </w:pPr>
          </w:p>
        </w:tc>
        <w:tc>
          <w:tcPr>
            <w:tcW w:w="722" w:type="pct"/>
            <w:vAlign w:val="center"/>
            <w:hideMark/>
          </w:tcPr>
          <w:p w14:paraId="42C5BCDE" w14:textId="77777777" w:rsidR="00C77BFC" w:rsidRPr="00681785" w:rsidRDefault="00C77BFC" w:rsidP="00A6364F">
            <w:pPr>
              <w:spacing w:line="276" w:lineRule="auto"/>
              <w:jc w:val="center"/>
              <w:outlineLvl w:val="2"/>
              <w:rPr>
                <w:rFonts w:eastAsia="Times New Roman" w:cs="Arial"/>
                <w:b/>
                <w:bCs/>
                <w14:ligatures w14:val="none"/>
              </w:rPr>
            </w:pPr>
            <w:r w:rsidRPr="00681785">
              <w:rPr>
                <w:rFonts w:eastAsia="Times New Roman" w:cs="Arial"/>
                <w:b/>
                <w:bCs/>
                <w14:ligatures w14:val="none"/>
              </w:rPr>
              <w:t>70%</w:t>
            </w:r>
          </w:p>
        </w:tc>
        <w:tc>
          <w:tcPr>
            <w:tcW w:w="2067" w:type="pct"/>
            <w:hideMark/>
          </w:tcPr>
          <w:p w14:paraId="36EB6D1C" w14:textId="77777777" w:rsidR="00C77BFC" w:rsidRPr="00681785" w:rsidRDefault="00C77BFC" w:rsidP="00A6364F">
            <w:pPr>
              <w:spacing w:line="276" w:lineRule="auto"/>
              <w:jc w:val="both"/>
              <w:outlineLvl w:val="2"/>
              <w:rPr>
                <w:rFonts w:eastAsia="Times New Roman" w:cs="Arial"/>
                <w14:ligatures w14:val="none"/>
              </w:rPr>
            </w:pPr>
          </w:p>
        </w:tc>
      </w:tr>
      <w:tr w:rsidR="00C77BFC" w:rsidRPr="00681785" w14:paraId="7A328D20" w14:textId="77777777" w:rsidTr="007079F0">
        <w:tc>
          <w:tcPr>
            <w:tcW w:w="673" w:type="pct"/>
            <w:hideMark/>
          </w:tcPr>
          <w:p w14:paraId="3A2CEC31"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Financial Proposal</w:t>
            </w:r>
          </w:p>
        </w:tc>
        <w:tc>
          <w:tcPr>
            <w:tcW w:w="1538" w:type="pct"/>
            <w:hideMark/>
          </w:tcPr>
          <w:p w14:paraId="686DEF23"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Budget Breakdown and Cost Effectiveness</w:t>
            </w:r>
          </w:p>
        </w:tc>
        <w:tc>
          <w:tcPr>
            <w:tcW w:w="722" w:type="pct"/>
            <w:vAlign w:val="center"/>
            <w:hideMark/>
          </w:tcPr>
          <w:p w14:paraId="5C7C0720" w14:textId="77777777" w:rsidR="00C77BFC" w:rsidRPr="00681785" w:rsidRDefault="00C77BFC" w:rsidP="00A6364F">
            <w:pPr>
              <w:spacing w:line="276" w:lineRule="auto"/>
              <w:jc w:val="center"/>
              <w:outlineLvl w:val="2"/>
              <w:rPr>
                <w:rFonts w:eastAsia="Times New Roman" w:cs="Arial"/>
                <w:b/>
                <w:bCs/>
                <w14:ligatures w14:val="none"/>
              </w:rPr>
            </w:pPr>
            <w:r w:rsidRPr="00681785">
              <w:rPr>
                <w:rFonts w:eastAsia="Times New Roman" w:cs="Arial"/>
                <w:b/>
                <w:bCs/>
                <w14:ligatures w14:val="none"/>
              </w:rPr>
              <w:t>30%</w:t>
            </w:r>
          </w:p>
        </w:tc>
        <w:tc>
          <w:tcPr>
            <w:tcW w:w="2067" w:type="pct"/>
            <w:hideMark/>
          </w:tcPr>
          <w:p w14:paraId="1D2A48AB" w14:textId="77777777" w:rsidR="00C77BFC" w:rsidRPr="00681785" w:rsidRDefault="00C77BFC" w:rsidP="00A6364F">
            <w:pPr>
              <w:spacing w:line="276" w:lineRule="auto"/>
              <w:jc w:val="both"/>
              <w:outlineLvl w:val="2"/>
              <w:rPr>
                <w:rFonts w:eastAsia="Times New Roman" w:cs="Arial"/>
                <w14:ligatures w14:val="none"/>
              </w:rPr>
            </w:pPr>
            <w:r w:rsidRPr="00681785">
              <w:rPr>
                <w:rFonts w:eastAsia="Times New Roman" w:cs="Arial"/>
                <w14:ligatures w14:val="none"/>
              </w:rPr>
              <w:t>Clear, competitive budget with VAT/AIT breakdown and cost justifications.</w:t>
            </w:r>
          </w:p>
        </w:tc>
      </w:tr>
      <w:tr w:rsidR="00C77BFC" w:rsidRPr="00681785" w14:paraId="1B7B70EB" w14:textId="77777777" w:rsidTr="007079F0">
        <w:tc>
          <w:tcPr>
            <w:tcW w:w="673" w:type="pct"/>
            <w:hideMark/>
          </w:tcPr>
          <w:p w14:paraId="005D0FFF" w14:textId="77777777" w:rsidR="00C77BFC" w:rsidRPr="00681785" w:rsidRDefault="00C77BFC" w:rsidP="00A6364F">
            <w:pPr>
              <w:spacing w:line="276" w:lineRule="auto"/>
              <w:jc w:val="both"/>
              <w:outlineLvl w:val="2"/>
              <w:rPr>
                <w:rFonts w:eastAsia="Times New Roman" w:cs="Arial"/>
                <w:b/>
                <w:bCs/>
                <w14:ligatures w14:val="none"/>
              </w:rPr>
            </w:pPr>
            <w:r w:rsidRPr="00681785">
              <w:rPr>
                <w:rFonts w:eastAsia="Times New Roman" w:cs="Arial"/>
                <w:b/>
                <w:bCs/>
                <w14:ligatures w14:val="none"/>
              </w:rPr>
              <w:t>Total</w:t>
            </w:r>
          </w:p>
        </w:tc>
        <w:tc>
          <w:tcPr>
            <w:tcW w:w="1538" w:type="pct"/>
            <w:hideMark/>
          </w:tcPr>
          <w:p w14:paraId="0D3B576C" w14:textId="77777777" w:rsidR="00C77BFC" w:rsidRPr="00681785" w:rsidRDefault="00C77BFC" w:rsidP="00A6364F">
            <w:pPr>
              <w:spacing w:line="276" w:lineRule="auto"/>
              <w:jc w:val="both"/>
              <w:outlineLvl w:val="2"/>
              <w:rPr>
                <w:rFonts w:eastAsia="Times New Roman" w:cs="Arial"/>
                <w14:ligatures w14:val="none"/>
              </w:rPr>
            </w:pPr>
          </w:p>
        </w:tc>
        <w:tc>
          <w:tcPr>
            <w:tcW w:w="722" w:type="pct"/>
            <w:vAlign w:val="center"/>
            <w:hideMark/>
          </w:tcPr>
          <w:p w14:paraId="38957D0A" w14:textId="77777777" w:rsidR="00C77BFC" w:rsidRPr="00681785" w:rsidRDefault="00C77BFC" w:rsidP="00A6364F">
            <w:pPr>
              <w:spacing w:line="276" w:lineRule="auto"/>
              <w:jc w:val="center"/>
              <w:outlineLvl w:val="2"/>
              <w:rPr>
                <w:rFonts w:eastAsia="Times New Roman" w:cs="Arial"/>
                <w:b/>
                <w:bCs/>
                <w14:ligatures w14:val="none"/>
              </w:rPr>
            </w:pPr>
            <w:r w:rsidRPr="00681785">
              <w:rPr>
                <w:rFonts w:eastAsia="Times New Roman" w:cs="Arial"/>
                <w:b/>
                <w:bCs/>
                <w14:ligatures w14:val="none"/>
              </w:rPr>
              <w:t>100%</w:t>
            </w:r>
          </w:p>
        </w:tc>
        <w:tc>
          <w:tcPr>
            <w:tcW w:w="2067" w:type="pct"/>
            <w:hideMark/>
          </w:tcPr>
          <w:p w14:paraId="59EAB054" w14:textId="77777777" w:rsidR="00C77BFC" w:rsidRPr="00681785" w:rsidRDefault="00C77BFC" w:rsidP="00A6364F">
            <w:pPr>
              <w:spacing w:line="276" w:lineRule="auto"/>
              <w:jc w:val="both"/>
              <w:outlineLvl w:val="2"/>
              <w:rPr>
                <w:rFonts w:eastAsia="Times New Roman" w:cs="Arial"/>
                <w14:ligatures w14:val="none"/>
              </w:rPr>
            </w:pPr>
          </w:p>
        </w:tc>
      </w:tr>
    </w:tbl>
    <w:p w14:paraId="69A79826" w14:textId="77777777" w:rsidR="00C77BFC" w:rsidRPr="00681785" w:rsidRDefault="00C77BFC" w:rsidP="00A6364F">
      <w:pPr>
        <w:spacing w:after="0" w:line="276" w:lineRule="auto"/>
        <w:jc w:val="both"/>
        <w:outlineLvl w:val="2"/>
        <w:rPr>
          <w:rFonts w:eastAsia="Times New Roman" w:cs="Arial"/>
          <w:color w:val="156082" w:themeColor="accent1"/>
          <w:sz w:val="2"/>
          <w:szCs w:val="2"/>
          <w:lang w:val="en-GB"/>
          <w14:ligatures w14:val="none"/>
        </w:rPr>
      </w:pPr>
    </w:p>
    <w:p w14:paraId="5D84CD28" w14:textId="77777777" w:rsidR="00C77BFC" w:rsidRPr="00681785" w:rsidRDefault="00C77BFC" w:rsidP="00A6364F">
      <w:pPr>
        <w:spacing w:after="0" w:line="276" w:lineRule="auto"/>
        <w:jc w:val="both"/>
        <w:outlineLvl w:val="2"/>
        <w:rPr>
          <w:rFonts w:eastAsia="Times New Roman" w:cs="Arial"/>
          <w:color w:val="156082" w:themeColor="accent1"/>
          <w:sz w:val="2"/>
          <w:szCs w:val="2"/>
          <w:lang w:val="en-GB"/>
          <w14:ligatures w14:val="none"/>
        </w:rPr>
      </w:pPr>
    </w:p>
    <w:p w14:paraId="4ABF7230" w14:textId="77777777" w:rsidR="00C77BFC" w:rsidRDefault="00C77BFC" w:rsidP="00A6364F">
      <w:pPr>
        <w:spacing w:after="0" w:line="276" w:lineRule="auto"/>
        <w:jc w:val="both"/>
        <w:outlineLvl w:val="2"/>
        <w:rPr>
          <w:rFonts w:eastAsia="Times New Roman" w:cs="Arial"/>
          <w:b/>
          <w:bCs/>
          <w:color w:val="156082" w:themeColor="accent1"/>
          <w:lang w:val="en-GB"/>
          <w14:ligatures w14:val="none"/>
        </w:rPr>
      </w:pPr>
    </w:p>
    <w:p w14:paraId="2D8C828A" w14:textId="77777777" w:rsidR="00C77BFC" w:rsidRPr="006B2A5F" w:rsidRDefault="00C77BFC" w:rsidP="00A6364F">
      <w:pPr>
        <w:pStyle w:val="ListParagraph"/>
        <w:numPr>
          <w:ilvl w:val="0"/>
          <w:numId w:val="9"/>
        </w:numPr>
        <w:spacing w:after="0" w:line="276" w:lineRule="auto"/>
        <w:jc w:val="both"/>
        <w:outlineLvl w:val="2"/>
        <w:rPr>
          <w:rFonts w:eastAsia="Times New Roman" w:cs="Arial"/>
          <w:b/>
          <w:bCs/>
          <w:color w:val="156082" w:themeColor="accent1"/>
          <w:sz w:val="24"/>
          <w:szCs w:val="24"/>
          <w:lang w:val="en-GB"/>
          <w14:ligatures w14:val="none"/>
        </w:rPr>
      </w:pPr>
      <w:r w:rsidRPr="006B2A5F">
        <w:rPr>
          <w:rFonts w:eastAsia="Times New Roman" w:cs="Arial"/>
          <w:b/>
          <w:bCs/>
          <w:color w:val="156082" w:themeColor="accent1"/>
          <w:sz w:val="24"/>
          <w:szCs w:val="24"/>
          <w:lang w:val="en-GB"/>
          <w14:ligatures w14:val="none"/>
        </w:rPr>
        <w:t>Submission Instruction</w:t>
      </w:r>
    </w:p>
    <w:p w14:paraId="0278BF94" w14:textId="48C80291" w:rsidR="00C77BFC"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 xml:space="preserve">Interested agencies are requested to submit sealed envelopes containing </w:t>
      </w:r>
      <w:r w:rsidRPr="00DE1195">
        <w:rPr>
          <w:rFonts w:eastAsia="Times New Roman" w:cs="Arial"/>
          <w:lang w:val="en-GB"/>
          <w14:ligatures w14:val="none"/>
        </w:rPr>
        <w:t>hard copies</w:t>
      </w:r>
      <w:r w:rsidRPr="00681785">
        <w:rPr>
          <w:rFonts w:eastAsia="Times New Roman" w:cs="Arial"/>
          <w:lang w:val="en-GB"/>
          <w14:ligatures w14:val="none"/>
        </w:rPr>
        <w:t xml:space="preserve"> of the technical and financial proposals separately by </w:t>
      </w:r>
      <w:r w:rsidR="00DE1195" w:rsidRPr="00790C15">
        <w:rPr>
          <w:rFonts w:eastAsia="Times New Roman" w:cs="Arial"/>
          <w:b/>
          <w:bCs/>
          <w:lang w:val="en-GB"/>
          <w14:ligatures w14:val="none"/>
        </w:rPr>
        <w:t>August 0</w:t>
      </w:r>
      <w:r w:rsidR="00790C15" w:rsidRPr="00790C15">
        <w:rPr>
          <w:rFonts w:eastAsia="Times New Roman" w:cs="Arial"/>
          <w:b/>
          <w:bCs/>
          <w:lang w:val="en-GB"/>
          <w14:ligatures w14:val="none"/>
        </w:rPr>
        <w:t>5</w:t>
      </w:r>
      <w:r w:rsidRPr="00790C15">
        <w:rPr>
          <w:rFonts w:eastAsia="Times New Roman" w:cs="Arial"/>
          <w:b/>
          <w:bCs/>
          <w:lang w:val="en-GB"/>
          <w14:ligatures w14:val="none"/>
        </w:rPr>
        <w:t>.</w:t>
      </w:r>
      <w:r w:rsidRPr="00681785">
        <w:rPr>
          <w:rFonts w:eastAsia="Times New Roman" w:cs="Arial"/>
          <w:lang w:val="en-GB"/>
          <w14:ligatures w14:val="none"/>
        </w:rPr>
        <w:t xml:space="preserve"> Proposals must be addressed to:</w:t>
      </w:r>
    </w:p>
    <w:p w14:paraId="6D5A4344" w14:textId="77777777" w:rsidR="00C77BFC" w:rsidRPr="00681785" w:rsidRDefault="00C77BFC" w:rsidP="00A6364F">
      <w:pPr>
        <w:spacing w:after="0" w:line="276" w:lineRule="auto"/>
        <w:jc w:val="both"/>
        <w:outlineLvl w:val="2"/>
        <w:rPr>
          <w:rFonts w:eastAsia="Times New Roman" w:cs="Arial"/>
          <w:lang w:val="en-GB"/>
          <w14:ligatures w14:val="none"/>
        </w:rPr>
      </w:pPr>
    </w:p>
    <w:p w14:paraId="3AD371E1" w14:textId="77777777" w:rsidR="00C77BFC" w:rsidRPr="00681785" w:rsidRDefault="00C77BFC" w:rsidP="00A6364F">
      <w:pPr>
        <w:spacing w:after="0" w:line="276" w:lineRule="auto"/>
        <w:jc w:val="both"/>
        <w:outlineLvl w:val="2"/>
        <w:rPr>
          <w:rFonts w:eastAsia="Times New Roman" w:cs="Arial"/>
          <w:b/>
          <w:bCs/>
          <w:lang w:val="en-GB"/>
          <w14:ligatures w14:val="none"/>
        </w:rPr>
      </w:pPr>
      <w:r w:rsidRPr="00681785">
        <w:rPr>
          <w:rFonts w:eastAsia="Times New Roman" w:cs="Arial"/>
          <w:b/>
          <w:bCs/>
          <w:lang w:val="en-GB"/>
          <w14:ligatures w14:val="none"/>
        </w:rPr>
        <w:t>Samaun Bhuiyan</w:t>
      </w:r>
    </w:p>
    <w:p w14:paraId="5CC49DFA"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Sr. Coordinator – Business Administration</w:t>
      </w:r>
    </w:p>
    <w:p w14:paraId="7DED6678"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PRABRIDDHI - Local Economic Development (LED)</w:t>
      </w:r>
    </w:p>
    <w:p w14:paraId="178103F4"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Swisscontact</w:t>
      </w:r>
    </w:p>
    <w:p w14:paraId="4B8172F1"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t>Swiss Foundation for Technical Cooperation</w:t>
      </w:r>
    </w:p>
    <w:p w14:paraId="40237672" w14:textId="77777777" w:rsidR="00C77BFC" w:rsidRPr="00681785" w:rsidRDefault="00C77BFC" w:rsidP="00A6364F">
      <w:pPr>
        <w:spacing w:after="0" w:line="276" w:lineRule="auto"/>
        <w:jc w:val="both"/>
        <w:outlineLvl w:val="2"/>
        <w:rPr>
          <w:rFonts w:eastAsia="Times New Roman" w:cs="Arial"/>
          <w:lang w:val="en-GB"/>
          <w14:ligatures w14:val="none"/>
        </w:rPr>
      </w:pPr>
      <w:r w:rsidRPr="00681785">
        <w:rPr>
          <w:rFonts w:eastAsia="Times New Roman" w:cs="Arial"/>
          <w:lang w:val="en-GB"/>
          <w14:ligatures w14:val="none"/>
        </w:rPr>
        <w:lastRenderedPageBreak/>
        <w:t>House 28, Road 43, Gulshan-2, Dhaka 1212, Bangladesh</w:t>
      </w:r>
    </w:p>
    <w:p w14:paraId="2B83C6A9" w14:textId="77777777" w:rsidR="00C77BFC" w:rsidRDefault="00C77BFC" w:rsidP="00A6364F">
      <w:pPr>
        <w:spacing w:after="0" w:line="276" w:lineRule="auto"/>
        <w:jc w:val="both"/>
        <w:outlineLvl w:val="2"/>
        <w:rPr>
          <w:rFonts w:eastAsia="Times New Roman" w:cs="Arial"/>
          <w:i/>
          <w:iCs/>
          <w:lang w:val="en-GB"/>
          <w14:ligatures w14:val="none"/>
        </w:rPr>
      </w:pPr>
    </w:p>
    <w:p w14:paraId="796913AA" w14:textId="6B7D4465" w:rsidR="00C77BFC" w:rsidRDefault="00C77BFC" w:rsidP="00A6364F">
      <w:pPr>
        <w:spacing w:after="0" w:line="276" w:lineRule="auto"/>
        <w:jc w:val="both"/>
        <w:outlineLvl w:val="2"/>
        <w:rPr>
          <w:rFonts w:eastAsia="Times New Roman" w:cs="Arial"/>
          <w:lang w:val="en-GB"/>
          <w14:ligatures w14:val="none"/>
        </w:rPr>
      </w:pPr>
      <w:r w:rsidRPr="00681785">
        <w:rPr>
          <w:rFonts w:eastAsia="Times New Roman" w:cs="Arial"/>
          <w:i/>
          <w:iCs/>
          <w:lang w:val="en-GB"/>
          <w14:ligatures w14:val="none"/>
        </w:rPr>
        <w:t xml:space="preserve">In addition to the hard copy submission, the technical proposal must also be emailed to: </w:t>
      </w:r>
      <w:hyperlink r:id="rId7" w:history="1">
        <w:r w:rsidRPr="00681785">
          <w:rPr>
            <w:rStyle w:val="Hyperlink"/>
            <w:rFonts w:eastAsia="Times New Roman" w:cs="Arial"/>
            <w:i/>
            <w:iCs/>
            <w:lang w:val="en-GB"/>
            <w14:ligatures w14:val="none"/>
          </w:rPr>
          <w:t>bd.prabriddhi@swisscontact.org</w:t>
        </w:r>
      </w:hyperlink>
      <w:r w:rsidRPr="00681785">
        <w:rPr>
          <w:rFonts w:eastAsia="Times New Roman" w:cs="Arial"/>
          <w:i/>
          <w:iCs/>
          <w:lang w:val="en-GB"/>
          <w14:ligatures w14:val="none"/>
        </w:rPr>
        <w:t xml:space="preserve">. </w:t>
      </w:r>
      <w:r w:rsidRPr="00681785">
        <w:rPr>
          <w:rFonts w:eastAsia="Times New Roman" w:cs="Arial"/>
          <w:lang w:val="en-GB"/>
          <w14:ligatures w14:val="none"/>
        </w:rPr>
        <w:t xml:space="preserve">Please mention </w:t>
      </w:r>
      <w:r w:rsidR="000C3B46" w:rsidRPr="000C3B46">
        <w:rPr>
          <w:rFonts w:eastAsia="Times New Roman" w:cs="Arial"/>
          <w:lang w:val="en-GB"/>
          <w14:ligatures w14:val="none"/>
        </w:rPr>
        <w:t>“Process-Level Learning of PRABRIDDHI’s LED Efforts</w:t>
      </w:r>
      <w:r w:rsidRPr="00681785">
        <w:rPr>
          <w:rFonts w:eastAsia="Times New Roman" w:cs="Arial"/>
          <w:lang w:val="en-GB"/>
          <w14:ligatures w14:val="none"/>
        </w:rPr>
        <w:t>” in the subject line of the email.</w:t>
      </w:r>
      <w:r w:rsidRPr="00681785">
        <w:rPr>
          <w:rFonts w:eastAsia="Times New Roman" w:cs="Arial"/>
          <w:i/>
          <w:iCs/>
          <w:lang w:val="en-GB"/>
          <w14:ligatures w14:val="none"/>
        </w:rPr>
        <w:t xml:space="preserve"> </w:t>
      </w:r>
      <w:r w:rsidRPr="00681785">
        <w:rPr>
          <w:rFonts w:eastAsia="Times New Roman" w:cs="Arial"/>
          <w:lang w:val="en-GB"/>
          <w14:ligatures w14:val="none"/>
        </w:rPr>
        <w:t xml:space="preserve">For any queries or additional information, please contact via email at </w:t>
      </w:r>
      <w:hyperlink r:id="rId8" w:history="1">
        <w:r w:rsidRPr="00681785">
          <w:rPr>
            <w:rStyle w:val="Hyperlink"/>
            <w:rFonts w:eastAsia="Times New Roman" w:cs="Arial"/>
            <w:i/>
            <w:iCs/>
            <w:lang w:val="en-GB"/>
            <w14:ligatures w14:val="none"/>
          </w:rPr>
          <w:t>bd.prabriddhi@swisscontact.org</w:t>
        </w:r>
      </w:hyperlink>
      <w:r w:rsidRPr="00681785">
        <w:rPr>
          <w:rFonts w:eastAsia="Times New Roman" w:cs="Arial"/>
          <w:lang w:val="en-GB"/>
          <w14:ligatures w14:val="none"/>
        </w:rPr>
        <w:t>.</w:t>
      </w:r>
    </w:p>
    <w:p w14:paraId="4F244B88" w14:textId="77777777" w:rsidR="00C77BFC" w:rsidRPr="00681785" w:rsidRDefault="00C77BFC" w:rsidP="00A6364F">
      <w:pPr>
        <w:spacing w:after="0" w:line="276" w:lineRule="auto"/>
        <w:jc w:val="both"/>
        <w:outlineLvl w:val="2"/>
        <w:rPr>
          <w:rFonts w:eastAsia="Times New Roman" w:cs="Arial"/>
          <w:i/>
          <w:iCs/>
          <w:lang w:val="en-GB"/>
          <w14:ligatures w14:val="none"/>
        </w:rPr>
      </w:pPr>
    </w:p>
    <w:p w14:paraId="3BBE5D0D" w14:textId="071929C7" w:rsidR="001B6F10" w:rsidRPr="00DE1195" w:rsidRDefault="00C77BFC" w:rsidP="00DE1195">
      <w:pPr>
        <w:spacing w:after="0" w:line="276" w:lineRule="auto"/>
        <w:jc w:val="both"/>
        <w:outlineLvl w:val="2"/>
        <w:rPr>
          <w:rFonts w:eastAsia="Times New Roman" w:cs="Arial"/>
          <w:i/>
          <w:iCs/>
          <w:lang w:val="en-GB"/>
          <w14:ligatures w14:val="none"/>
        </w:rPr>
      </w:pPr>
      <w:r w:rsidRPr="00681785">
        <w:rPr>
          <w:rFonts w:eastAsia="Times New Roman" w:cs="Arial"/>
          <w:b/>
          <w:bCs/>
          <w:i/>
          <w:iCs/>
          <w:lang w:val="en-GB"/>
          <w14:ligatures w14:val="none"/>
        </w:rPr>
        <w:t xml:space="preserve">N.B.: </w:t>
      </w:r>
      <w:r w:rsidRPr="00681785">
        <w:rPr>
          <w:rFonts w:eastAsia="Times New Roman" w:cs="Arial"/>
          <w:i/>
          <w:iCs/>
          <w:lang w:val="en-GB"/>
          <w14:ligatures w14:val="none"/>
        </w:rPr>
        <w:t>Only shortlisted agencies meeting the qualification criteria will be contacted.</w:t>
      </w:r>
      <w:r w:rsidRPr="00681785">
        <w:rPr>
          <w:rFonts w:eastAsia="Times New Roman" w:cs="Arial"/>
          <w:b/>
          <w:bCs/>
          <w:i/>
          <w:iCs/>
          <w:lang w:val="en-GB"/>
          <w14:ligatures w14:val="none"/>
        </w:rPr>
        <w:t xml:space="preserve"> </w:t>
      </w:r>
      <w:r w:rsidRPr="00681785">
        <w:rPr>
          <w:rFonts w:eastAsia="Times New Roman" w:cs="Arial"/>
          <w:i/>
          <w:iCs/>
          <w:lang w:val="en-GB"/>
          <w14:ligatures w14:val="none"/>
        </w:rPr>
        <w:t>Proposals received after the deadline or not submitted according to the specified requirements will be disqualified and will not be considered.</w:t>
      </w:r>
    </w:p>
    <w:sectPr w:rsidR="001B6F10" w:rsidRPr="00DE1195" w:rsidSect="00053FE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676E" w14:textId="77777777" w:rsidR="006950AD" w:rsidRDefault="006950AD" w:rsidP="00157963">
      <w:pPr>
        <w:spacing w:after="0" w:line="240" w:lineRule="auto"/>
      </w:pPr>
      <w:r>
        <w:separator/>
      </w:r>
    </w:p>
  </w:endnote>
  <w:endnote w:type="continuationSeparator" w:id="0">
    <w:p w14:paraId="0B28208A" w14:textId="77777777" w:rsidR="006950AD" w:rsidRDefault="006950AD" w:rsidP="0015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5D3B" w14:textId="7BF4E64D" w:rsidR="00157963" w:rsidRDefault="00157963">
    <w:pPr>
      <w:pStyle w:val="Footer"/>
    </w:pPr>
    <w:r>
      <w:rPr>
        <w:noProof/>
      </w:rPr>
      <w:drawing>
        <wp:anchor distT="0" distB="0" distL="114300" distR="114300" simplePos="0" relativeHeight="251658240" behindDoc="0" locked="0" layoutInCell="1" allowOverlap="1" wp14:anchorId="77841629" wp14:editId="74A65684">
          <wp:simplePos x="0" y="0"/>
          <wp:positionH relativeFrom="column">
            <wp:posOffset>4467225</wp:posOffset>
          </wp:positionH>
          <wp:positionV relativeFrom="paragraph">
            <wp:posOffset>-227965</wp:posOffset>
          </wp:positionV>
          <wp:extent cx="1485900" cy="528320"/>
          <wp:effectExtent l="0" t="0" r="0" b="0"/>
          <wp:wrapTight wrapText="bothSides">
            <wp:wrapPolygon edited="0">
              <wp:start x="9138" y="1558"/>
              <wp:lineTo x="554" y="14019"/>
              <wp:lineTo x="1385" y="19471"/>
              <wp:lineTo x="20492" y="19471"/>
              <wp:lineTo x="21323" y="13240"/>
              <wp:lineTo x="19938" y="10904"/>
              <wp:lineTo x="11908" y="1558"/>
              <wp:lineTo x="9138" y="1558"/>
            </wp:wrapPolygon>
          </wp:wrapTight>
          <wp:docPr id="64" name="Picture 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28320"/>
                  </a:xfrm>
                  <a:prstGeom prst="rect">
                    <a:avLst/>
                  </a:prstGeom>
                  <a:noFill/>
                  <a:ln>
                    <a:noFill/>
                  </a:ln>
                </pic:spPr>
              </pic:pic>
            </a:graphicData>
          </a:graphic>
        </wp:anchor>
      </w:drawing>
    </w:r>
    <w:r>
      <w:rPr>
        <w:noProof/>
        <w:lang w:bidi="bn-BD"/>
      </w:rPr>
      <w:drawing>
        <wp:anchor distT="0" distB="0" distL="114300" distR="114300" simplePos="0" relativeHeight="251658241" behindDoc="0" locked="0" layoutInCell="1" allowOverlap="1" wp14:anchorId="0CB5B06C" wp14:editId="0A9FB5E9">
          <wp:simplePos x="0" y="0"/>
          <wp:positionH relativeFrom="column">
            <wp:posOffset>-44450</wp:posOffset>
          </wp:positionH>
          <wp:positionV relativeFrom="paragraph">
            <wp:posOffset>-247650</wp:posOffset>
          </wp:positionV>
          <wp:extent cx="1435100" cy="710565"/>
          <wp:effectExtent l="0" t="0" r="0" b="0"/>
          <wp:wrapThrough wrapText="bothSides">
            <wp:wrapPolygon edited="0">
              <wp:start x="0" y="0"/>
              <wp:lineTo x="0" y="20847"/>
              <wp:lineTo x="21218" y="20847"/>
              <wp:lineTo x="21218" y="0"/>
              <wp:lineTo x="0" y="0"/>
            </wp:wrapPolygon>
          </wp:wrapThrough>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5100" cy="7105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C40B" w14:textId="77777777" w:rsidR="006950AD" w:rsidRDefault="006950AD" w:rsidP="00157963">
      <w:pPr>
        <w:spacing w:after="0" w:line="240" w:lineRule="auto"/>
      </w:pPr>
      <w:r>
        <w:separator/>
      </w:r>
    </w:p>
  </w:footnote>
  <w:footnote w:type="continuationSeparator" w:id="0">
    <w:p w14:paraId="7AAA2DB7" w14:textId="77777777" w:rsidR="006950AD" w:rsidRDefault="006950AD" w:rsidP="0015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E3E0" w14:textId="658B3AAE" w:rsidR="00157963" w:rsidRDefault="00157963">
    <w:pPr>
      <w:pStyle w:val="Header"/>
    </w:pPr>
    <w:r w:rsidRPr="00E863D2">
      <w:rPr>
        <w:noProof/>
      </w:rPr>
      <w:drawing>
        <wp:anchor distT="0" distB="0" distL="114300" distR="114300" simplePos="0" relativeHeight="251658243" behindDoc="0" locked="0" layoutInCell="1" allowOverlap="1" wp14:anchorId="54E8BBF2" wp14:editId="3E3D3477">
          <wp:simplePos x="0" y="0"/>
          <wp:positionH relativeFrom="column">
            <wp:posOffset>0</wp:posOffset>
          </wp:positionH>
          <wp:positionV relativeFrom="paragraph">
            <wp:posOffset>-184150</wp:posOffset>
          </wp:positionV>
          <wp:extent cx="718406" cy="606596"/>
          <wp:effectExtent l="0" t="0" r="5715" b="3175"/>
          <wp:wrapNone/>
          <wp:docPr id="18" name="Picture 17" descr="A picture containing text, clipart&#10;&#10;Description automatically generated">
            <a:extLst xmlns:a="http://schemas.openxmlformats.org/drawingml/2006/main">
              <a:ext uri="{FF2B5EF4-FFF2-40B4-BE49-F238E27FC236}">
                <a16:creationId xmlns:a16="http://schemas.microsoft.com/office/drawing/2014/main" id="{58A583BA-3F82-470C-B1FF-FFEA062F8C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a:extLst>
                      <a:ext uri="{FF2B5EF4-FFF2-40B4-BE49-F238E27FC236}">
                        <a16:creationId xmlns:a16="http://schemas.microsoft.com/office/drawing/2014/main" id="{58A583BA-3F82-470C-B1FF-FFEA062F8CE2}"/>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518" r="19876"/>
                  <a:stretch/>
                </pic:blipFill>
                <pic:spPr>
                  <a:xfrm>
                    <a:off x="0" y="0"/>
                    <a:ext cx="718406" cy="6065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1ED02B88" wp14:editId="79446FD9">
          <wp:simplePos x="0" y="0"/>
          <wp:positionH relativeFrom="column">
            <wp:posOffset>4470400</wp:posOffset>
          </wp:positionH>
          <wp:positionV relativeFrom="paragraph">
            <wp:posOffset>-228600</wp:posOffset>
          </wp:positionV>
          <wp:extent cx="1422400" cy="606987"/>
          <wp:effectExtent l="0" t="0" r="6350" b="3175"/>
          <wp:wrapTight wrapText="bothSides">
            <wp:wrapPolygon edited="0">
              <wp:start x="0" y="0"/>
              <wp:lineTo x="0" y="21035"/>
              <wp:lineTo x="21407" y="21035"/>
              <wp:lineTo x="21407" y="0"/>
              <wp:lineTo x="0" y="0"/>
            </wp:wrapPolygon>
          </wp:wrapTight>
          <wp:docPr id="61" name="Picture 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606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035"/>
    <w:multiLevelType w:val="multilevel"/>
    <w:tmpl w:val="39FE1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E2146"/>
    <w:multiLevelType w:val="multilevel"/>
    <w:tmpl w:val="64F8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E47A0"/>
    <w:multiLevelType w:val="multilevel"/>
    <w:tmpl w:val="0B58B358"/>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B7C28E5"/>
    <w:multiLevelType w:val="hybridMultilevel"/>
    <w:tmpl w:val="A7F00E56"/>
    <w:lvl w:ilvl="0" w:tplc="3F506818">
      <w:start w:val="1"/>
      <w:numFmt w:val="decimal"/>
      <w:lvlText w:val="%1."/>
      <w:lvlJc w:val="left"/>
      <w:pPr>
        <w:ind w:left="360" w:hanging="360"/>
      </w:pPr>
      <w:rPr>
        <w:rFonts w:hint="default"/>
        <w:color w:val="074F6A" w:themeColor="accent4" w:themeShade="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346EE0"/>
    <w:multiLevelType w:val="multilevel"/>
    <w:tmpl w:val="C816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B11B8"/>
    <w:multiLevelType w:val="multilevel"/>
    <w:tmpl w:val="CDB8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B50EC"/>
    <w:multiLevelType w:val="hybridMultilevel"/>
    <w:tmpl w:val="FFFFFFFF"/>
    <w:lvl w:ilvl="0" w:tplc="EC9CD3BE">
      <w:start w:val="1"/>
      <w:numFmt w:val="bullet"/>
      <w:lvlText w:val=""/>
      <w:lvlJc w:val="left"/>
      <w:pPr>
        <w:ind w:left="1080" w:hanging="360"/>
      </w:pPr>
      <w:rPr>
        <w:rFonts w:ascii="Wingdings" w:hAnsi="Wingdings" w:hint="default"/>
      </w:rPr>
    </w:lvl>
    <w:lvl w:ilvl="1" w:tplc="D910E8C0">
      <w:start w:val="1"/>
      <w:numFmt w:val="bullet"/>
      <w:lvlText w:val="o"/>
      <w:lvlJc w:val="left"/>
      <w:pPr>
        <w:ind w:left="1800" w:hanging="360"/>
      </w:pPr>
      <w:rPr>
        <w:rFonts w:ascii="Courier New" w:hAnsi="Courier New" w:hint="default"/>
      </w:rPr>
    </w:lvl>
    <w:lvl w:ilvl="2" w:tplc="C8FC242A">
      <w:start w:val="1"/>
      <w:numFmt w:val="bullet"/>
      <w:lvlText w:val=""/>
      <w:lvlJc w:val="left"/>
      <w:pPr>
        <w:ind w:left="2520" w:hanging="360"/>
      </w:pPr>
      <w:rPr>
        <w:rFonts w:ascii="Wingdings" w:hAnsi="Wingdings" w:hint="default"/>
      </w:rPr>
    </w:lvl>
    <w:lvl w:ilvl="3" w:tplc="E1609CF0">
      <w:start w:val="1"/>
      <w:numFmt w:val="bullet"/>
      <w:lvlText w:val=""/>
      <w:lvlJc w:val="left"/>
      <w:pPr>
        <w:ind w:left="3240" w:hanging="360"/>
      </w:pPr>
      <w:rPr>
        <w:rFonts w:ascii="Symbol" w:hAnsi="Symbol" w:hint="default"/>
      </w:rPr>
    </w:lvl>
    <w:lvl w:ilvl="4" w:tplc="35E4CD3C">
      <w:start w:val="1"/>
      <w:numFmt w:val="bullet"/>
      <w:lvlText w:val="o"/>
      <w:lvlJc w:val="left"/>
      <w:pPr>
        <w:ind w:left="3960" w:hanging="360"/>
      </w:pPr>
      <w:rPr>
        <w:rFonts w:ascii="Courier New" w:hAnsi="Courier New" w:hint="default"/>
      </w:rPr>
    </w:lvl>
    <w:lvl w:ilvl="5" w:tplc="065C699C">
      <w:start w:val="1"/>
      <w:numFmt w:val="bullet"/>
      <w:lvlText w:val=""/>
      <w:lvlJc w:val="left"/>
      <w:pPr>
        <w:ind w:left="4680" w:hanging="360"/>
      </w:pPr>
      <w:rPr>
        <w:rFonts w:ascii="Wingdings" w:hAnsi="Wingdings" w:hint="default"/>
      </w:rPr>
    </w:lvl>
    <w:lvl w:ilvl="6" w:tplc="265037BA">
      <w:start w:val="1"/>
      <w:numFmt w:val="bullet"/>
      <w:lvlText w:val=""/>
      <w:lvlJc w:val="left"/>
      <w:pPr>
        <w:ind w:left="5400" w:hanging="360"/>
      </w:pPr>
      <w:rPr>
        <w:rFonts w:ascii="Symbol" w:hAnsi="Symbol" w:hint="default"/>
      </w:rPr>
    </w:lvl>
    <w:lvl w:ilvl="7" w:tplc="29C6D620">
      <w:start w:val="1"/>
      <w:numFmt w:val="bullet"/>
      <w:lvlText w:val="o"/>
      <w:lvlJc w:val="left"/>
      <w:pPr>
        <w:ind w:left="6120" w:hanging="360"/>
      </w:pPr>
      <w:rPr>
        <w:rFonts w:ascii="Courier New" w:hAnsi="Courier New" w:hint="default"/>
      </w:rPr>
    </w:lvl>
    <w:lvl w:ilvl="8" w:tplc="47EA6C58">
      <w:start w:val="1"/>
      <w:numFmt w:val="bullet"/>
      <w:lvlText w:val=""/>
      <w:lvlJc w:val="left"/>
      <w:pPr>
        <w:ind w:left="6840" w:hanging="360"/>
      </w:pPr>
      <w:rPr>
        <w:rFonts w:ascii="Wingdings" w:hAnsi="Wingdings" w:hint="default"/>
      </w:rPr>
    </w:lvl>
  </w:abstractNum>
  <w:abstractNum w:abstractNumId="7" w15:restartNumberingAfterBreak="0">
    <w:nsid w:val="36B16DB5"/>
    <w:multiLevelType w:val="multilevel"/>
    <w:tmpl w:val="EE527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67A31"/>
    <w:multiLevelType w:val="multilevel"/>
    <w:tmpl w:val="FE7A3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25F77"/>
    <w:multiLevelType w:val="hybridMultilevel"/>
    <w:tmpl w:val="45BEF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A0FCC"/>
    <w:multiLevelType w:val="hybridMultilevel"/>
    <w:tmpl w:val="FFFFFFFF"/>
    <w:lvl w:ilvl="0" w:tplc="364A0424">
      <w:start w:val="1"/>
      <w:numFmt w:val="decimal"/>
      <w:lvlText w:val="%1."/>
      <w:lvlJc w:val="left"/>
      <w:pPr>
        <w:ind w:left="720" w:hanging="360"/>
      </w:pPr>
    </w:lvl>
    <w:lvl w:ilvl="1" w:tplc="598A84CE">
      <w:start w:val="1"/>
      <w:numFmt w:val="lowerLetter"/>
      <w:lvlText w:val="%2."/>
      <w:lvlJc w:val="left"/>
      <w:pPr>
        <w:ind w:left="1440" w:hanging="360"/>
      </w:pPr>
    </w:lvl>
    <w:lvl w:ilvl="2" w:tplc="69F07630">
      <w:start w:val="1"/>
      <w:numFmt w:val="lowerRoman"/>
      <w:lvlText w:val="%3."/>
      <w:lvlJc w:val="right"/>
      <w:pPr>
        <w:ind w:left="2160" w:hanging="180"/>
      </w:pPr>
    </w:lvl>
    <w:lvl w:ilvl="3" w:tplc="735E609C">
      <w:start w:val="1"/>
      <w:numFmt w:val="decimal"/>
      <w:lvlText w:val="%4."/>
      <w:lvlJc w:val="left"/>
      <w:pPr>
        <w:ind w:left="2880" w:hanging="360"/>
      </w:pPr>
    </w:lvl>
    <w:lvl w:ilvl="4" w:tplc="AB402604">
      <w:start w:val="1"/>
      <w:numFmt w:val="lowerLetter"/>
      <w:lvlText w:val="%5."/>
      <w:lvlJc w:val="left"/>
      <w:pPr>
        <w:ind w:left="3600" w:hanging="360"/>
      </w:pPr>
    </w:lvl>
    <w:lvl w:ilvl="5" w:tplc="EE7EE1EC">
      <w:start w:val="1"/>
      <w:numFmt w:val="lowerRoman"/>
      <w:lvlText w:val="%6."/>
      <w:lvlJc w:val="right"/>
      <w:pPr>
        <w:ind w:left="4320" w:hanging="180"/>
      </w:pPr>
    </w:lvl>
    <w:lvl w:ilvl="6" w:tplc="BD0C221A">
      <w:start w:val="1"/>
      <w:numFmt w:val="decimal"/>
      <w:lvlText w:val="%7."/>
      <w:lvlJc w:val="left"/>
      <w:pPr>
        <w:ind w:left="5040" w:hanging="360"/>
      </w:pPr>
    </w:lvl>
    <w:lvl w:ilvl="7" w:tplc="A9F24FBA">
      <w:start w:val="1"/>
      <w:numFmt w:val="lowerLetter"/>
      <w:lvlText w:val="%8."/>
      <w:lvlJc w:val="left"/>
      <w:pPr>
        <w:ind w:left="5760" w:hanging="360"/>
      </w:pPr>
    </w:lvl>
    <w:lvl w:ilvl="8" w:tplc="EB525D62">
      <w:start w:val="1"/>
      <w:numFmt w:val="lowerRoman"/>
      <w:lvlText w:val="%9."/>
      <w:lvlJc w:val="right"/>
      <w:pPr>
        <w:ind w:left="6480" w:hanging="180"/>
      </w:pPr>
    </w:lvl>
  </w:abstractNum>
  <w:abstractNum w:abstractNumId="11" w15:restartNumberingAfterBreak="0">
    <w:nsid w:val="3CA43062"/>
    <w:multiLevelType w:val="hybridMultilevel"/>
    <w:tmpl w:val="9A78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877A7"/>
    <w:multiLevelType w:val="multilevel"/>
    <w:tmpl w:val="3F9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70E62"/>
    <w:multiLevelType w:val="multilevel"/>
    <w:tmpl w:val="EEEA4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802C3F"/>
    <w:multiLevelType w:val="hybridMultilevel"/>
    <w:tmpl w:val="FFFFFFFF"/>
    <w:lvl w:ilvl="0" w:tplc="57443EDA">
      <w:start w:val="1"/>
      <w:numFmt w:val="bullet"/>
      <w:lvlText w:val=""/>
      <w:lvlJc w:val="left"/>
      <w:pPr>
        <w:ind w:left="720" w:hanging="360"/>
      </w:pPr>
      <w:rPr>
        <w:rFonts w:ascii="Symbol" w:hAnsi="Symbol" w:hint="default"/>
      </w:rPr>
    </w:lvl>
    <w:lvl w:ilvl="1" w:tplc="A86CE7B8">
      <w:start w:val="1"/>
      <w:numFmt w:val="bullet"/>
      <w:lvlText w:val="o"/>
      <w:lvlJc w:val="left"/>
      <w:pPr>
        <w:ind w:left="1440" w:hanging="360"/>
      </w:pPr>
      <w:rPr>
        <w:rFonts w:ascii="Courier New" w:hAnsi="Courier New" w:hint="default"/>
      </w:rPr>
    </w:lvl>
    <w:lvl w:ilvl="2" w:tplc="242ABB78">
      <w:start w:val="1"/>
      <w:numFmt w:val="bullet"/>
      <w:lvlText w:val=""/>
      <w:lvlJc w:val="left"/>
      <w:pPr>
        <w:ind w:left="2160" w:hanging="360"/>
      </w:pPr>
      <w:rPr>
        <w:rFonts w:ascii="Wingdings" w:hAnsi="Wingdings" w:hint="default"/>
      </w:rPr>
    </w:lvl>
    <w:lvl w:ilvl="3" w:tplc="5EC4E65E">
      <w:start w:val="1"/>
      <w:numFmt w:val="bullet"/>
      <w:lvlText w:val=""/>
      <w:lvlJc w:val="left"/>
      <w:pPr>
        <w:ind w:left="2880" w:hanging="360"/>
      </w:pPr>
      <w:rPr>
        <w:rFonts w:ascii="Symbol" w:hAnsi="Symbol" w:hint="default"/>
      </w:rPr>
    </w:lvl>
    <w:lvl w:ilvl="4" w:tplc="25EAEFB0">
      <w:start w:val="1"/>
      <w:numFmt w:val="bullet"/>
      <w:lvlText w:val="o"/>
      <w:lvlJc w:val="left"/>
      <w:pPr>
        <w:ind w:left="3600" w:hanging="360"/>
      </w:pPr>
      <w:rPr>
        <w:rFonts w:ascii="Courier New" w:hAnsi="Courier New" w:hint="default"/>
      </w:rPr>
    </w:lvl>
    <w:lvl w:ilvl="5" w:tplc="C6E4D6C6">
      <w:start w:val="1"/>
      <w:numFmt w:val="bullet"/>
      <w:lvlText w:val=""/>
      <w:lvlJc w:val="left"/>
      <w:pPr>
        <w:ind w:left="4320" w:hanging="360"/>
      </w:pPr>
      <w:rPr>
        <w:rFonts w:ascii="Wingdings" w:hAnsi="Wingdings" w:hint="default"/>
      </w:rPr>
    </w:lvl>
    <w:lvl w:ilvl="6" w:tplc="2A2E7B62">
      <w:start w:val="1"/>
      <w:numFmt w:val="bullet"/>
      <w:lvlText w:val=""/>
      <w:lvlJc w:val="left"/>
      <w:pPr>
        <w:ind w:left="5040" w:hanging="360"/>
      </w:pPr>
      <w:rPr>
        <w:rFonts w:ascii="Symbol" w:hAnsi="Symbol" w:hint="default"/>
      </w:rPr>
    </w:lvl>
    <w:lvl w:ilvl="7" w:tplc="F68C091A">
      <w:start w:val="1"/>
      <w:numFmt w:val="bullet"/>
      <w:lvlText w:val="o"/>
      <w:lvlJc w:val="left"/>
      <w:pPr>
        <w:ind w:left="5760" w:hanging="360"/>
      </w:pPr>
      <w:rPr>
        <w:rFonts w:ascii="Courier New" w:hAnsi="Courier New" w:hint="default"/>
      </w:rPr>
    </w:lvl>
    <w:lvl w:ilvl="8" w:tplc="6A20CB98">
      <w:start w:val="1"/>
      <w:numFmt w:val="bullet"/>
      <w:lvlText w:val=""/>
      <w:lvlJc w:val="left"/>
      <w:pPr>
        <w:ind w:left="6480" w:hanging="360"/>
      </w:pPr>
      <w:rPr>
        <w:rFonts w:ascii="Wingdings" w:hAnsi="Wingdings" w:hint="default"/>
      </w:rPr>
    </w:lvl>
  </w:abstractNum>
  <w:abstractNum w:abstractNumId="15" w15:restartNumberingAfterBreak="0">
    <w:nsid w:val="51F567B0"/>
    <w:multiLevelType w:val="hybridMultilevel"/>
    <w:tmpl w:val="430816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B2B07"/>
    <w:multiLevelType w:val="hybridMultilevel"/>
    <w:tmpl w:val="BF3A99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0B1E0"/>
    <w:multiLevelType w:val="hybridMultilevel"/>
    <w:tmpl w:val="FFFFFFFF"/>
    <w:lvl w:ilvl="0" w:tplc="465211CA">
      <w:start w:val="1"/>
      <w:numFmt w:val="decimal"/>
      <w:lvlText w:val="%1."/>
      <w:lvlJc w:val="left"/>
      <w:pPr>
        <w:ind w:left="720" w:hanging="360"/>
      </w:pPr>
    </w:lvl>
    <w:lvl w:ilvl="1" w:tplc="BBB83332">
      <w:start w:val="1"/>
      <w:numFmt w:val="lowerLetter"/>
      <w:lvlText w:val="%2."/>
      <w:lvlJc w:val="left"/>
      <w:pPr>
        <w:ind w:left="1440" w:hanging="360"/>
      </w:pPr>
    </w:lvl>
    <w:lvl w:ilvl="2" w:tplc="835CD4F6">
      <w:start w:val="1"/>
      <w:numFmt w:val="lowerRoman"/>
      <w:lvlText w:val="%3."/>
      <w:lvlJc w:val="right"/>
      <w:pPr>
        <w:ind w:left="2160" w:hanging="180"/>
      </w:pPr>
    </w:lvl>
    <w:lvl w:ilvl="3" w:tplc="6226B404">
      <w:start w:val="1"/>
      <w:numFmt w:val="decimal"/>
      <w:lvlText w:val="%4."/>
      <w:lvlJc w:val="left"/>
      <w:pPr>
        <w:ind w:left="2880" w:hanging="360"/>
      </w:pPr>
    </w:lvl>
    <w:lvl w:ilvl="4" w:tplc="B5B0929A">
      <w:start w:val="1"/>
      <w:numFmt w:val="lowerLetter"/>
      <w:lvlText w:val="%5."/>
      <w:lvlJc w:val="left"/>
      <w:pPr>
        <w:ind w:left="3600" w:hanging="360"/>
      </w:pPr>
    </w:lvl>
    <w:lvl w:ilvl="5" w:tplc="A9E2CB2C">
      <w:start w:val="1"/>
      <w:numFmt w:val="lowerRoman"/>
      <w:lvlText w:val="%6."/>
      <w:lvlJc w:val="right"/>
      <w:pPr>
        <w:ind w:left="4320" w:hanging="180"/>
      </w:pPr>
    </w:lvl>
    <w:lvl w:ilvl="6" w:tplc="13FABEEC">
      <w:start w:val="1"/>
      <w:numFmt w:val="decimal"/>
      <w:lvlText w:val="%7."/>
      <w:lvlJc w:val="left"/>
      <w:pPr>
        <w:ind w:left="5040" w:hanging="360"/>
      </w:pPr>
    </w:lvl>
    <w:lvl w:ilvl="7" w:tplc="DBD62D24">
      <w:start w:val="1"/>
      <w:numFmt w:val="lowerLetter"/>
      <w:lvlText w:val="%8."/>
      <w:lvlJc w:val="left"/>
      <w:pPr>
        <w:ind w:left="5760" w:hanging="360"/>
      </w:pPr>
    </w:lvl>
    <w:lvl w:ilvl="8" w:tplc="17B6DE7E">
      <w:start w:val="1"/>
      <w:numFmt w:val="lowerRoman"/>
      <w:lvlText w:val="%9."/>
      <w:lvlJc w:val="right"/>
      <w:pPr>
        <w:ind w:left="6480" w:hanging="180"/>
      </w:pPr>
    </w:lvl>
  </w:abstractNum>
  <w:abstractNum w:abstractNumId="18" w15:restartNumberingAfterBreak="0">
    <w:nsid w:val="5DBA02B9"/>
    <w:multiLevelType w:val="hybridMultilevel"/>
    <w:tmpl w:val="291A2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0122C"/>
    <w:multiLevelType w:val="hybridMultilevel"/>
    <w:tmpl w:val="92B6EC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D75BC6"/>
    <w:multiLevelType w:val="multilevel"/>
    <w:tmpl w:val="2E7A5C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8C23654"/>
    <w:multiLevelType w:val="hybridMultilevel"/>
    <w:tmpl w:val="0256D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21A75"/>
    <w:multiLevelType w:val="hybridMultilevel"/>
    <w:tmpl w:val="561A99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4627DA"/>
    <w:multiLevelType w:val="hybridMultilevel"/>
    <w:tmpl w:val="944E00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843816">
    <w:abstractNumId w:val="17"/>
  </w:num>
  <w:num w:numId="2" w16cid:durableId="524753426">
    <w:abstractNumId w:val="18"/>
  </w:num>
  <w:num w:numId="3" w16cid:durableId="55976960">
    <w:abstractNumId w:val="22"/>
  </w:num>
  <w:num w:numId="4" w16cid:durableId="109206279">
    <w:abstractNumId w:val="19"/>
  </w:num>
  <w:num w:numId="5" w16cid:durableId="113646603">
    <w:abstractNumId w:val="21"/>
  </w:num>
  <w:num w:numId="6" w16cid:durableId="139660856">
    <w:abstractNumId w:val="9"/>
  </w:num>
  <w:num w:numId="7" w16cid:durableId="331296983">
    <w:abstractNumId w:val="13"/>
  </w:num>
  <w:num w:numId="8" w16cid:durableId="1716588729">
    <w:abstractNumId w:val="16"/>
  </w:num>
  <w:num w:numId="9" w16cid:durableId="738485130">
    <w:abstractNumId w:val="3"/>
  </w:num>
  <w:num w:numId="10" w16cid:durableId="1430471101">
    <w:abstractNumId w:val="12"/>
  </w:num>
  <w:num w:numId="11" w16cid:durableId="1066418836">
    <w:abstractNumId w:val="4"/>
  </w:num>
  <w:num w:numId="12" w16cid:durableId="1246837270">
    <w:abstractNumId w:val="20"/>
  </w:num>
  <w:num w:numId="13" w16cid:durableId="834566762">
    <w:abstractNumId w:val="0"/>
  </w:num>
  <w:num w:numId="14" w16cid:durableId="1869442283">
    <w:abstractNumId w:val="15"/>
  </w:num>
  <w:num w:numId="15" w16cid:durableId="293340646">
    <w:abstractNumId w:val="23"/>
  </w:num>
  <w:num w:numId="16" w16cid:durableId="345403750">
    <w:abstractNumId w:val="1"/>
  </w:num>
  <w:num w:numId="17" w16cid:durableId="1996491412">
    <w:abstractNumId w:val="8"/>
  </w:num>
  <w:num w:numId="18" w16cid:durableId="805202825">
    <w:abstractNumId w:val="7"/>
  </w:num>
  <w:num w:numId="19" w16cid:durableId="616566572">
    <w:abstractNumId w:val="11"/>
  </w:num>
  <w:num w:numId="20" w16cid:durableId="1508785971">
    <w:abstractNumId w:val="2"/>
  </w:num>
  <w:num w:numId="21" w16cid:durableId="2129427854">
    <w:abstractNumId w:val="10"/>
  </w:num>
  <w:num w:numId="22" w16cid:durableId="997464269">
    <w:abstractNumId w:val="14"/>
  </w:num>
  <w:num w:numId="23" w16cid:durableId="434404193">
    <w:abstractNumId w:val="6"/>
  </w:num>
  <w:num w:numId="24" w16cid:durableId="412313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CA"/>
    <w:rsid w:val="00000C13"/>
    <w:rsid w:val="00003B14"/>
    <w:rsid w:val="00022970"/>
    <w:rsid w:val="000250C6"/>
    <w:rsid w:val="0002510D"/>
    <w:rsid w:val="00042D3A"/>
    <w:rsid w:val="000476CA"/>
    <w:rsid w:val="00053FE0"/>
    <w:rsid w:val="00060C83"/>
    <w:rsid w:val="00061F9E"/>
    <w:rsid w:val="00067AD7"/>
    <w:rsid w:val="00071103"/>
    <w:rsid w:val="0008378B"/>
    <w:rsid w:val="00083C36"/>
    <w:rsid w:val="000A1319"/>
    <w:rsid w:val="000A3E17"/>
    <w:rsid w:val="000C3B46"/>
    <w:rsid w:val="000D64A9"/>
    <w:rsid w:val="000F6AE1"/>
    <w:rsid w:val="000F7A19"/>
    <w:rsid w:val="001040F0"/>
    <w:rsid w:val="00104E26"/>
    <w:rsid w:val="00116A57"/>
    <w:rsid w:val="00122BE3"/>
    <w:rsid w:val="00124467"/>
    <w:rsid w:val="00130C80"/>
    <w:rsid w:val="001356EE"/>
    <w:rsid w:val="0013613A"/>
    <w:rsid w:val="00137C8E"/>
    <w:rsid w:val="00142B92"/>
    <w:rsid w:val="00145105"/>
    <w:rsid w:val="001454A6"/>
    <w:rsid w:val="00154A19"/>
    <w:rsid w:val="00157963"/>
    <w:rsid w:val="00160470"/>
    <w:rsid w:val="00160556"/>
    <w:rsid w:val="001609D6"/>
    <w:rsid w:val="001625D3"/>
    <w:rsid w:val="00167695"/>
    <w:rsid w:val="0017727D"/>
    <w:rsid w:val="00181699"/>
    <w:rsid w:val="001853D8"/>
    <w:rsid w:val="00197E95"/>
    <w:rsid w:val="001A40F3"/>
    <w:rsid w:val="001B6F10"/>
    <w:rsid w:val="001C1F51"/>
    <w:rsid w:val="001D1E15"/>
    <w:rsid w:val="001D223E"/>
    <w:rsid w:val="001D29FA"/>
    <w:rsid w:val="001F7C53"/>
    <w:rsid w:val="00217276"/>
    <w:rsid w:val="00222B84"/>
    <w:rsid w:val="002274F7"/>
    <w:rsid w:val="00227D1B"/>
    <w:rsid w:val="00227EF2"/>
    <w:rsid w:val="002307DC"/>
    <w:rsid w:val="00253E94"/>
    <w:rsid w:val="00255A18"/>
    <w:rsid w:val="00255B16"/>
    <w:rsid w:val="00266B89"/>
    <w:rsid w:val="00270AC3"/>
    <w:rsid w:val="002712B9"/>
    <w:rsid w:val="00272632"/>
    <w:rsid w:val="00281D56"/>
    <w:rsid w:val="00287EF3"/>
    <w:rsid w:val="002A5B99"/>
    <w:rsid w:val="002B7F73"/>
    <w:rsid w:val="002C1B3B"/>
    <w:rsid w:val="002D5E1D"/>
    <w:rsid w:val="002E4285"/>
    <w:rsid w:val="002F2BE7"/>
    <w:rsid w:val="002F3DF8"/>
    <w:rsid w:val="002F6257"/>
    <w:rsid w:val="003106A5"/>
    <w:rsid w:val="0031395F"/>
    <w:rsid w:val="003248AF"/>
    <w:rsid w:val="00331791"/>
    <w:rsid w:val="00345617"/>
    <w:rsid w:val="00347564"/>
    <w:rsid w:val="00361404"/>
    <w:rsid w:val="003726E2"/>
    <w:rsid w:val="00373328"/>
    <w:rsid w:val="00374477"/>
    <w:rsid w:val="00380E5A"/>
    <w:rsid w:val="003830D5"/>
    <w:rsid w:val="0038349B"/>
    <w:rsid w:val="0038605B"/>
    <w:rsid w:val="00395AC1"/>
    <w:rsid w:val="00395D88"/>
    <w:rsid w:val="003A17CA"/>
    <w:rsid w:val="003A3567"/>
    <w:rsid w:val="003B127B"/>
    <w:rsid w:val="003B48BB"/>
    <w:rsid w:val="003C7198"/>
    <w:rsid w:val="003E1FA4"/>
    <w:rsid w:val="003E5DDA"/>
    <w:rsid w:val="003E72C8"/>
    <w:rsid w:val="003F5765"/>
    <w:rsid w:val="00421117"/>
    <w:rsid w:val="00422C35"/>
    <w:rsid w:val="00426036"/>
    <w:rsid w:val="00432744"/>
    <w:rsid w:val="0045222C"/>
    <w:rsid w:val="004522F1"/>
    <w:rsid w:val="00455A19"/>
    <w:rsid w:val="00456562"/>
    <w:rsid w:val="00457949"/>
    <w:rsid w:val="0047461A"/>
    <w:rsid w:val="00477661"/>
    <w:rsid w:val="00477DE8"/>
    <w:rsid w:val="00482E30"/>
    <w:rsid w:val="00483D95"/>
    <w:rsid w:val="00486A68"/>
    <w:rsid w:val="00486DA1"/>
    <w:rsid w:val="004A24C7"/>
    <w:rsid w:val="004A66FE"/>
    <w:rsid w:val="004B3E13"/>
    <w:rsid w:val="004C30E5"/>
    <w:rsid w:val="004D69A0"/>
    <w:rsid w:val="004E44E0"/>
    <w:rsid w:val="004E712B"/>
    <w:rsid w:val="004F5094"/>
    <w:rsid w:val="005105D7"/>
    <w:rsid w:val="00520FFF"/>
    <w:rsid w:val="00525802"/>
    <w:rsid w:val="00533C93"/>
    <w:rsid w:val="00536EE5"/>
    <w:rsid w:val="00552849"/>
    <w:rsid w:val="00556C20"/>
    <w:rsid w:val="00565A22"/>
    <w:rsid w:val="00594167"/>
    <w:rsid w:val="005C0890"/>
    <w:rsid w:val="005C1844"/>
    <w:rsid w:val="005C39CD"/>
    <w:rsid w:val="005C5C9B"/>
    <w:rsid w:val="005D6742"/>
    <w:rsid w:val="005E20B0"/>
    <w:rsid w:val="005E723E"/>
    <w:rsid w:val="005F0AD5"/>
    <w:rsid w:val="005F5F03"/>
    <w:rsid w:val="00601BC8"/>
    <w:rsid w:val="006033CF"/>
    <w:rsid w:val="00630DC8"/>
    <w:rsid w:val="006314C3"/>
    <w:rsid w:val="006366C2"/>
    <w:rsid w:val="00643F8E"/>
    <w:rsid w:val="00647902"/>
    <w:rsid w:val="00655970"/>
    <w:rsid w:val="006622BF"/>
    <w:rsid w:val="0066636E"/>
    <w:rsid w:val="00681B27"/>
    <w:rsid w:val="006950AD"/>
    <w:rsid w:val="006A574E"/>
    <w:rsid w:val="006A705A"/>
    <w:rsid w:val="006B2F5A"/>
    <w:rsid w:val="006B3423"/>
    <w:rsid w:val="006B3750"/>
    <w:rsid w:val="006C3C79"/>
    <w:rsid w:val="006D36CF"/>
    <w:rsid w:val="006D756F"/>
    <w:rsid w:val="006E28E1"/>
    <w:rsid w:val="006F7256"/>
    <w:rsid w:val="007047EC"/>
    <w:rsid w:val="00705241"/>
    <w:rsid w:val="00706C44"/>
    <w:rsid w:val="007079F0"/>
    <w:rsid w:val="00721F07"/>
    <w:rsid w:val="00741FF1"/>
    <w:rsid w:val="00746D62"/>
    <w:rsid w:val="007768B6"/>
    <w:rsid w:val="00783899"/>
    <w:rsid w:val="00787959"/>
    <w:rsid w:val="00790C15"/>
    <w:rsid w:val="007A2487"/>
    <w:rsid w:val="007A44B2"/>
    <w:rsid w:val="007B31B1"/>
    <w:rsid w:val="007B352F"/>
    <w:rsid w:val="007C2AAC"/>
    <w:rsid w:val="007D1BF4"/>
    <w:rsid w:val="007E24C6"/>
    <w:rsid w:val="007E28FC"/>
    <w:rsid w:val="00812780"/>
    <w:rsid w:val="00820852"/>
    <w:rsid w:val="008210FA"/>
    <w:rsid w:val="00826D49"/>
    <w:rsid w:val="00827A7B"/>
    <w:rsid w:val="00836A3C"/>
    <w:rsid w:val="008415D5"/>
    <w:rsid w:val="00842499"/>
    <w:rsid w:val="008429F9"/>
    <w:rsid w:val="00845C4A"/>
    <w:rsid w:val="00847424"/>
    <w:rsid w:val="00850767"/>
    <w:rsid w:val="00854E6A"/>
    <w:rsid w:val="00860994"/>
    <w:rsid w:val="00870460"/>
    <w:rsid w:val="008705A4"/>
    <w:rsid w:val="00872703"/>
    <w:rsid w:val="0087580E"/>
    <w:rsid w:val="00880F67"/>
    <w:rsid w:val="00881FAF"/>
    <w:rsid w:val="00886752"/>
    <w:rsid w:val="008A6734"/>
    <w:rsid w:val="008C5B13"/>
    <w:rsid w:val="008D6B46"/>
    <w:rsid w:val="008E64EE"/>
    <w:rsid w:val="008F3B75"/>
    <w:rsid w:val="009019D8"/>
    <w:rsid w:val="00902F92"/>
    <w:rsid w:val="00917186"/>
    <w:rsid w:val="00917BF0"/>
    <w:rsid w:val="009321CB"/>
    <w:rsid w:val="00940473"/>
    <w:rsid w:val="00952C9E"/>
    <w:rsid w:val="009534B2"/>
    <w:rsid w:val="00972989"/>
    <w:rsid w:val="009751CC"/>
    <w:rsid w:val="00981F79"/>
    <w:rsid w:val="009B250F"/>
    <w:rsid w:val="009B678F"/>
    <w:rsid w:val="009D07E0"/>
    <w:rsid w:val="009D09F8"/>
    <w:rsid w:val="009D766A"/>
    <w:rsid w:val="009E185C"/>
    <w:rsid w:val="009E40B2"/>
    <w:rsid w:val="009F7C56"/>
    <w:rsid w:val="009F7EF9"/>
    <w:rsid w:val="00A06711"/>
    <w:rsid w:val="00A21D41"/>
    <w:rsid w:val="00A3168E"/>
    <w:rsid w:val="00A31E0A"/>
    <w:rsid w:val="00A33938"/>
    <w:rsid w:val="00A41F27"/>
    <w:rsid w:val="00A43894"/>
    <w:rsid w:val="00A44D11"/>
    <w:rsid w:val="00A462E9"/>
    <w:rsid w:val="00A469EA"/>
    <w:rsid w:val="00A521E3"/>
    <w:rsid w:val="00A60860"/>
    <w:rsid w:val="00A60E31"/>
    <w:rsid w:val="00A6364F"/>
    <w:rsid w:val="00A65261"/>
    <w:rsid w:val="00A73554"/>
    <w:rsid w:val="00A74CF2"/>
    <w:rsid w:val="00A767D3"/>
    <w:rsid w:val="00A91978"/>
    <w:rsid w:val="00A95486"/>
    <w:rsid w:val="00AA1586"/>
    <w:rsid w:val="00AA3C05"/>
    <w:rsid w:val="00AA503D"/>
    <w:rsid w:val="00AB2C30"/>
    <w:rsid w:val="00AB35D2"/>
    <w:rsid w:val="00AC2F3E"/>
    <w:rsid w:val="00AC7A64"/>
    <w:rsid w:val="00AD01C9"/>
    <w:rsid w:val="00AD1FCE"/>
    <w:rsid w:val="00AE6164"/>
    <w:rsid w:val="00AF16BA"/>
    <w:rsid w:val="00AF4128"/>
    <w:rsid w:val="00AF71FE"/>
    <w:rsid w:val="00B00233"/>
    <w:rsid w:val="00B00684"/>
    <w:rsid w:val="00B12970"/>
    <w:rsid w:val="00B32B2C"/>
    <w:rsid w:val="00B52CA7"/>
    <w:rsid w:val="00B66DD6"/>
    <w:rsid w:val="00B70438"/>
    <w:rsid w:val="00B72E9B"/>
    <w:rsid w:val="00B74740"/>
    <w:rsid w:val="00B9775D"/>
    <w:rsid w:val="00B97E08"/>
    <w:rsid w:val="00BA2787"/>
    <w:rsid w:val="00BB7EB6"/>
    <w:rsid w:val="00BC028D"/>
    <w:rsid w:val="00BC10F6"/>
    <w:rsid w:val="00BC4ED8"/>
    <w:rsid w:val="00BD3D96"/>
    <w:rsid w:val="00BE31FE"/>
    <w:rsid w:val="00BF0CE8"/>
    <w:rsid w:val="00C17680"/>
    <w:rsid w:val="00C32860"/>
    <w:rsid w:val="00C345A3"/>
    <w:rsid w:val="00C35791"/>
    <w:rsid w:val="00C57E13"/>
    <w:rsid w:val="00C65478"/>
    <w:rsid w:val="00C70C68"/>
    <w:rsid w:val="00C77BFC"/>
    <w:rsid w:val="00C847A6"/>
    <w:rsid w:val="00C859F4"/>
    <w:rsid w:val="00CA01D9"/>
    <w:rsid w:val="00CA43CF"/>
    <w:rsid w:val="00CC2C7A"/>
    <w:rsid w:val="00CC2DB2"/>
    <w:rsid w:val="00CD12AD"/>
    <w:rsid w:val="00CD4470"/>
    <w:rsid w:val="00CD5D22"/>
    <w:rsid w:val="00CD6679"/>
    <w:rsid w:val="00CE4594"/>
    <w:rsid w:val="00CE4A7F"/>
    <w:rsid w:val="00CE53F5"/>
    <w:rsid w:val="00CF06E8"/>
    <w:rsid w:val="00CF2E2A"/>
    <w:rsid w:val="00CF3900"/>
    <w:rsid w:val="00D13481"/>
    <w:rsid w:val="00D15E31"/>
    <w:rsid w:val="00D3160E"/>
    <w:rsid w:val="00D31F49"/>
    <w:rsid w:val="00D440E6"/>
    <w:rsid w:val="00D5720A"/>
    <w:rsid w:val="00D62DB3"/>
    <w:rsid w:val="00D71FBC"/>
    <w:rsid w:val="00D748F0"/>
    <w:rsid w:val="00D92953"/>
    <w:rsid w:val="00D93DE0"/>
    <w:rsid w:val="00DA490E"/>
    <w:rsid w:val="00DC0A72"/>
    <w:rsid w:val="00DC3DB3"/>
    <w:rsid w:val="00DC4665"/>
    <w:rsid w:val="00DD2B6D"/>
    <w:rsid w:val="00DE1195"/>
    <w:rsid w:val="00DF37AE"/>
    <w:rsid w:val="00E00F26"/>
    <w:rsid w:val="00E0419A"/>
    <w:rsid w:val="00E066F9"/>
    <w:rsid w:val="00E1073F"/>
    <w:rsid w:val="00E36D98"/>
    <w:rsid w:val="00E44A3D"/>
    <w:rsid w:val="00E5283A"/>
    <w:rsid w:val="00E55493"/>
    <w:rsid w:val="00E71FF8"/>
    <w:rsid w:val="00E94932"/>
    <w:rsid w:val="00E96547"/>
    <w:rsid w:val="00E9745E"/>
    <w:rsid w:val="00EA2F2D"/>
    <w:rsid w:val="00EA38CD"/>
    <w:rsid w:val="00EB2589"/>
    <w:rsid w:val="00EB4CEF"/>
    <w:rsid w:val="00EC4F9F"/>
    <w:rsid w:val="00EC792F"/>
    <w:rsid w:val="00EE56B6"/>
    <w:rsid w:val="00EE7F51"/>
    <w:rsid w:val="00EF0CC5"/>
    <w:rsid w:val="00F056FA"/>
    <w:rsid w:val="00F2393B"/>
    <w:rsid w:val="00F2405B"/>
    <w:rsid w:val="00F312E5"/>
    <w:rsid w:val="00F32712"/>
    <w:rsid w:val="00F33E2C"/>
    <w:rsid w:val="00F37F49"/>
    <w:rsid w:val="00F40FF4"/>
    <w:rsid w:val="00F43A25"/>
    <w:rsid w:val="00F43A82"/>
    <w:rsid w:val="00F516C2"/>
    <w:rsid w:val="00F545F4"/>
    <w:rsid w:val="00F63AAF"/>
    <w:rsid w:val="00F64B4B"/>
    <w:rsid w:val="00F92B79"/>
    <w:rsid w:val="00FA208F"/>
    <w:rsid w:val="00FA283B"/>
    <w:rsid w:val="00FA6002"/>
    <w:rsid w:val="00FA758A"/>
    <w:rsid w:val="00FB108B"/>
    <w:rsid w:val="00FB3EBD"/>
    <w:rsid w:val="00FC0E43"/>
    <w:rsid w:val="00FC6452"/>
    <w:rsid w:val="00FD1746"/>
    <w:rsid w:val="00FD3D6A"/>
    <w:rsid w:val="00FD404E"/>
    <w:rsid w:val="00FD72C4"/>
    <w:rsid w:val="00FE78CE"/>
    <w:rsid w:val="0505F2F2"/>
    <w:rsid w:val="05A4D62C"/>
    <w:rsid w:val="0A589D73"/>
    <w:rsid w:val="0E3BCC11"/>
    <w:rsid w:val="11871835"/>
    <w:rsid w:val="16F48489"/>
    <w:rsid w:val="1989C269"/>
    <w:rsid w:val="26C35967"/>
    <w:rsid w:val="2D000824"/>
    <w:rsid w:val="2F0DF3C1"/>
    <w:rsid w:val="307DE828"/>
    <w:rsid w:val="3AB9965F"/>
    <w:rsid w:val="3DDD3B01"/>
    <w:rsid w:val="3E775BAD"/>
    <w:rsid w:val="4209EAFA"/>
    <w:rsid w:val="478FFBA6"/>
    <w:rsid w:val="4A09C5F0"/>
    <w:rsid w:val="4C5B4F9B"/>
    <w:rsid w:val="4CC502A8"/>
    <w:rsid w:val="4CF669B0"/>
    <w:rsid w:val="5648954D"/>
    <w:rsid w:val="572D6331"/>
    <w:rsid w:val="602A5B7C"/>
    <w:rsid w:val="638ED3BB"/>
    <w:rsid w:val="6475CEE3"/>
    <w:rsid w:val="6BDDDFF6"/>
    <w:rsid w:val="7606960D"/>
    <w:rsid w:val="762C002B"/>
    <w:rsid w:val="7641FD16"/>
    <w:rsid w:val="774A89B8"/>
    <w:rsid w:val="7F003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F0C6"/>
  <w15:chartTrackingRefBased/>
  <w15:docId w15:val="{4A23368E-E73F-4A03-8801-4FB5AA8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BFC"/>
    <w:rPr>
      <w:rFonts w:cs="Vrinda"/>
      <w:lang w:val="en-US"/>
    </w:rPr>
  </w:style>
  <w:style w:type="paragraph" w:styleId="Heading1">
    <w:name w:val="heading 1"/>
    <w:basedOn w:val="Normal"/>
    <w:next w:val="Normal"/>
    <w:link w:val="Heading1Char"/>
    <w:uiPriority w:val="9"/>
    <w:qFormat/>
    <w:rsid w:val="00047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6CA"/>
    <w:rPr>
      <w:rFonts w:eastAsiaTheme="majorEastAsia" w:cstheme="majorBidi"/>
      <w:color w:val="272727" w:themeColor="text1" w:themeTint="D8"/>
    </w:rPr>
  </w:style>
  <w:style w:type="paragraph" w:styleId="Title">
    <w:name w:val="Title"/>
    <w:basedOn w:val="Normal"/>
    <w:next w:val="Normal"/>
    <w:link w:val="TitleChar"/>
    <w:uiPriority w:val="10"/>
    <w:qFormat/>
    <w:rsid w:val="00047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6CA"/>
    <w:pPr>
      <w:spacing w:before="160"/>
      <w:jc w:val="center"/>
    </w:pPr>
    <w:rPr>
      <w:i/>
      <w:iCs/>
      <w:color w:val="404040" w:themeColor="text1" w:themeTint="BF"/>
    </w:rPr>
  </w:style>
  <w:style w:type="character" w:customStyle="1" w:styleId="QuoteChar">
    <w:name w:val="Quote Char"/>
    <w:basedOn w:val="DefaultParagraphFont"/>
    <w:link w:val="Quote"/>
    <w:uiPriority w:val="29"/>
    <w:rsid w:val="000476CA"/>
    <w:rPr>
      <w:i/>
      <w:iCs/>
      <w:color w:val="404040" w:themeColor="text1" w:themeTint="BF"/>
    </w:rPr>
  </w:style>
  <w:style w:type="paragraph" w:styleId="ListParagraph">
    <w:name w:val="List Paragraph"/>
    <w:basedOn w:val="Normal"/>
    <w:uiPriority w:val="34"/>
    <w:qFormat/>
    <w:rsid w:val="000476CA"/>
    <w:pPr>
      <w:ind w:left="720"/>
      <w:contextualSpacing/>
    </w:pPr>
  </w:style>
  <w:style w:type="character" w:styleId="IntenseEmphasis">
    <w:name w:val="Intense Emphasis"/>
    <w:basedOn w:val="DefaultParagraphFont"/>
    <w:uiPriority w:val="21"/>
    <w:qFormat/>
    <w:rsid w:val="000476CA"/>
    <w:rPr>
      <w:i/>
      <w:iCs/>
      <w:color w:val="0F4761" w:themeColor="accent1" w:themeShade="BF"/>
    </w:rPr>
  </w:style>
  <w:style w:type="paragraph" w:styleId="IntenseQuote">
    <w:name w:val="Intense Quote"/>
    <w:basedOn w:val="Normal"/>
    <w:next w:val="Normal"/>
    <w:link w:val="IntenseQuoteChar"/>
    <w:uiPriority w:val="30"/>
    <w:qFormat/>
    <w:rsid w:val="00047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6CA"/>
    <w:rPr>
      <w:i/>
      <w:iCs/>
      <w:color w:val="0F4761" w:themeColor="accent1" w:themeShade="BF"/>
    </w:rPr>
  </w:style>
  <w:style w:type="character" w:styleId="IntenseReference">
    <w:name w:val="Intense Reference"/>
    <w:basedOn w:val="DefaultParagraphFont"/>
    <w:uiPriority w:val="32"/>
    <w:qFormat/>
    <w:rsid w:val="000476CA"/>
    <w:rPr>
      <w:b/>
      <w:bCs/>
      <w:smallCaps/>
      <w:color w:val="0F4761" w:themeColor="accent1" w:themeShade="BF"/>
      <w:spacing w:val="5"/>
    </w:rPr>
  </w:style>
  <w:style w:type="table" w:styleId="TableGrid">
    <w:name w:val="Table Grid"/>
    <w:basedOn w:val="TableNormal"/>
    <w:uiPriority w:val="39"/>
    <w:rsid w:val="00C77BFC"/>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BFC"/>
    <w:rPr>
      <w:color w:val="467886" w:themeColor="hyperlink"/>
      <w:u w:val="single"/>
    </w:rPr>
  </w:style>
  <w:style w:type="paragraph" w:styleId="Header">
    <w:name w:val="header"/>
    <w:basedOn w:val="Normal"/>
    <w:link w:val="HeaderChar"/>
    <w:uiPriority w:val="99"/>
    <w:unhideWhenUsed/>
    <w:rsid w:val="0015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963"/>
    <w:rPr>
      <w:rFonts w:cs="Vrinda"/>
      <w:lang w:val="en-US"/>
    </w:rPr>
  </w:style>
  <w:style w:type="paragraph" w:styleId="Footer">
    <w:name w:val="footer"/>
    <w:basedOn w:val="Normal"/>
    <w:link w:val="FooterChar"/>
    <w:uiPriority w:val="99"/>
    <w:unhideWhenUsed/>
    <w:rsid w:val="0015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963"/>
    <w:rPr>
      <w:rFonts w:cs="Vrinda"/>
      <w:lang w:val="en-US"/>
    </w:rPr>
  </w:style>
  <w:style w:type="paragraph" w:styleId="NormalWeb">
    <w:name w:val="Normal (Web)"/>
    <w:basedOn w:val="Normal"/>
    <w:uiPriority w:val="99"/>
    <w:semiHidden/>
    <w:unhideWhenUsed/>
    <w:rsid w:val="000F7A19"/>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0F7A19"/>
    <w:rPr>
      <w:b/>
      <w:bCs/>
    </w:rPr>
  </w:style>
  <w:style w:type="table" w:styleId="TableGridLight">
    <w:name w:val="Grid Table Light"/>
    <w:basedOn w:val="TableNormal"/>
    <w:uiPriority w:val="40"/>
    <w:rsid w:val="007879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E4285"/>
    <w:pPr>
      <w:spacing w:after="0" w:line="240" w:lineRule="auto"/>
    </w:pPr>
    <w:rPr>
      <w:rFonts w:cs="Vrinda"/>
      <w:lang w:val="en-US"/>
    </w:rPr>
  </w:style>
  <w:style w:type="character" w:styleId="CommentReference">
    <w:name w:val="annotation reference"/>
    <w:basedOn w:val="DefaultParagraphFont"/>
    <w:uiPriority w:val="99"/>
    <w:semiHidden/>
    <w:unhideWhenUsed/>
    <w:rsid w:val="00AA3C05"/>
    <w:rPr>
      <w:sz w:val="16"/>
      <w:szCs w:val="16"/>
    </w:rPr>
  </w:style>
  <w:style w:type="paragraph" w:styleId="CommentText">
    <w:name w:val="annotation text"/>
    <w:basedOn w:val="Normal"/>
    <w:link w:val="CommentTextChar"/>
    <w:uiPriority w:val="99"/>
    <w:unhideWhenUsed/>
    <w:rsid w:val="00AA3C05"/>
    <w:pPr>
      <w:spacing w:line="240" w:lineRule="auto"/>
    </w:pPr>
    <w:rPr>
      <w:sz w:val="20"/>
      <w:szCs w:val="20"/>
    </w:rPr>
  </w:style>
  <w:style w:type="character" w:customStyle="1" w:styleId="CommentTextChar">
    <w:name w:val="Comment Text Char"/>
    <w:basedOn w:val="DefaultParagraphFont"/>
    <w:link w:val="CommentText"/>
    <w:uiPriority w:val="99"/>
    <w:rsid w:val="00AA3C05"/>
    <w:rPr>
      <w:rFonts w:cs="Vrinda"/>
      <w:sz w:val="20"/>
      <w:szCs w:val="20"/>
      <w:lang w:val="en-US"/>
    </w:rPr>
  </w:style>
  <w:style w:type="paragraph" w:styleId="CommentSubject">
    <w:name w:val="annotation subject"/>
    <w:basedOn w:val="CommentText"/>
    <w:next w:val="CommentText"/>
    <w:link w:val="CommentSubjectChar"/>
    <w:uiPriority w:val="99"/>
    <w:semiHidden/>
    <w:unhideWhenUsed/>
    <w:rsid w:val="00AA3C05"/>
    <w:rPr>
      <w:b/>
      <w:bCs/>
    </w:rPr>
  </w:style>
  <w:style w:type="character" w:customStyle="1" w:styleId="CommentSubjectChar">
    <w:name w:val="Comment Subject Char"/>
    <w:basedOn w:val="CommentTextChar"/>
    <w:link w:val="CommentSubject"/>
    <w:uiPriority w:val="99"/>
    <w:semiHidden/>
    <w:rsid w:val="00AA3C05"/>
    <w:rPr>
      <w:rFonts w:cs="Vrinda"/>
      <w:b/>
      <w:bCs/>
      <w:sz w:val="20"/>
      <w:szCs w:val="20"/>
      <w:lang w:val="en-US"/>
    </w:rPr>
  </w:style>
  <w:style w:type="character" w:styleId="Mention">
    <w:name w:val="Mention"/>
    <w:basedOn w:val="DefaultParagraphFont"/>
    <w:uiPriority w:val="99"/>
    <w:unhideWhenUsed/>
    <w:rsid w:val="00AA3C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69">
      <w:bodyDiv w:val="1"/>
      <w:marLeft w:val="0"/>
      <w:marRight w:val="0"/>
      <w:marTop w:val="0"/>
      <w:marBottom w:val="0"/>
      <w:divBdr>
        <w:top w:val="none" w:sz="0" w:space="0" w:color="auto"/>
        <w:left w:val="none" w:sz="0" w:space="0" w:color="auto"/>
        <w:bottom w:val="none" w:sz="0" w:space="0" w:color="auto"/>
        <w:right w:val="none" w:sz="0" w:space="0" w:color="auto"/>
      </w:divBdr>
    </w:div>
    <w:div w:id="1034040866">
      <w:bodyDiv w:val="1"/>
      <w:marLeft w:val="0"/>
      <w:marRight w:val="0"/>
      <w:marTop w:val="0"/>
      <w:marBottom w:val="0"/>
      <w:divBdr>
        <w:top w:val="none" w:sz="0" w:space="0" w:color="auto"/>
        <w:left w:val="none" w:sz="0" w:space="0" w:color="auto"/>
        <w:bottom w:val="none" w:sz="0" w:space="0" w:color="auto"/>
        <w:right w:val="none" w:sz="0" w:space="0" w:color="auto"/>
      </w:divBdr>
    </w:div>
    <w:div w:id="1121220487">
      <w:bodyDiv w:val="1"/>
      <w:marLeft w:val="0"/>
      <w:marRight w:val="0"/>
      <w:marTop w:val="0"/>
      <w:marBottom w:val="0"/>
      <w:divBdr>
        <w:top w:val="none" w:sz="0" w:space="0" w:color="auto"/>
        <w:left w:val="none" w:sz="0" w:space="0" w:color="auto"/>
        <w:bottom w:val="none" w:sz="0" w:space="0" w:color="auto"/>
        <w:right w:val="none" w:sz="0" w:space="0" w:color="auto"/>
      </w:divBdr>
    </w:div>
    <w:div w:id="1243175140">
      <w:bodyDiv w:val="1"/>
      <w:marLeft w:val="0"/>
      <w:marRight w:val="0"/>
      <w:marTop w:val="0"/>
      <w:marBottom w:val="0"/>
      <w:divBdr>
        <w:top w:val="none" w:sz="0" w:space="0" w:color="auto"/>
        <w:left w:val="none" w:sz="0" w:space="0" w:color="auto"/>
        <w:bottom w:val="none" w:sz="0" w:space="0" w:color="auto"/>
        <w:right w:val="none" w:sz="0" w:space="0" w:color="auto"/>
      </w:divBdr>
      <w:divsChild>
        <w:div w:id="1945264359">
          <w:marLeft w:val="0"/>
          <w:marRight w:val="0"/>
          <w:marTop w:val="0"/>
          <w:marBottom w:val="0"/>
          <w:divBdr>
            <w:top w:val="none" w:sz="0" w:space="0" w:color="auto"/>
            <w:left w:val="none" w:sz="0" w:space="0" w:color="auto"/>
            <w:bottom w:val="none" w:sz="0" w:space="0" w:color="auto"/>
            <w:right w:val="none" w:sz="0" w:space="0" w:color="auto"/>
          </w:divBdr>
          <w:divsChild>
            <w:div w:id="873619539">
              <w:marLeft w:val="0"/>
              <w:marRight w:val="0"/>
              <w:marTop w:val="0"/>
              <w:marBottom w:val="0"/>
              <w:divBdr>
                <w:top w:val="none" w:sz="0" w:space="0" w:color="auto"/>
                <w:left w:val="none" w:sz="0" w:space="0" w:color="auto"/>
                <w:bottom w:val="none" w:sz="0" w:space="0" w:color="auto"/>
                <w:right w:val="none" w:sz="0" w:space="0" w:color="auto"/>
              </w:divBdr>
              <w:divsChild>
                <w:div w:id="940187955">
                  <w:marLeft w:val="0"/>
                  <w:marRight w:val="0"/>
                  <w:marTop w:val="0"/>
                  <w:marBottom w:val="0"/>
                  <w:divBdr>
                    <w:top w:val="none" w:sz="0" w:space="0" w:color="auto"/>
                    <w:left w:val="none" w:sz="0" w:space="0" w:color="auto"/>
                    <w:bottom w:val="none" w:sz="0" w:space="0" w:color="auto"/>
                    <w:right w:val="none" w:sz="0" w:space="0" w:color="auto"/>
                  </w:divBdr>
                  <w:divsChild>
                    <w:div w:id="252588494">
                      <w:marLeft w:val="0"/>
                      <w:marRight w:val="0"/>
                      <w:marTop w:val="0"/>
                      <w:marBottom w:val="0"/>
                      <w:divBdr>
                        <w:top w:val="none" w:sz="0" w:space="0" w:color="auto"/>
                        <w:left w:val="none" w:sz="0" w:space="0" w:color="auto"/>
                        <w:bottom w:val="none" w:sz="0" w:space="0" w:color="auto"/>
                        <w:right w:val="none" w:sz="0" w:space="0" w:color="auto"/>
                      </w:divBdr>
                      <w:divsChild>
                        <w:div w:id="2090736515">
                          <w:marLeft w:val="0"/>
                          <w:marRight w:val="0"/>
                          <w:marTop w:val="0"/>
                          <w:marBottom w:val="0"/>
                          <w:divBdr>
                            <w:top w:val="none" w:sz="0" w:space="0" w:color="auto"/>
                            <w:left w:val="none" w:sz="0" w:space="0" w:color="auto"/>
                            <w:bottom w:val="none" w:sz="0" w:space="0" w:color="auto"/>
                            <w:right w:val="none" w:sz="0" w:space="0" w:color="auto"/>
                          </w:divBdr>
                          <w:divsChild>
                            <w:div w:id="21056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2294">
          <w:marLeft w:val="0"/>
          <w:marRight w:val="0"/>
          <w:marTop w:val="0"/>
          <w:marBottom w:val="0"/>
          <w:divBdr>
            <w:top w:val="none" w:sz="0" w:space="0" w:color="auto"/>
            <w:left w:val="none" w:sz="0" w:space="0" w:color="auto"/>
            <w:bottom w:val="none" w:sz="0" w:space="0" w:color="auto"/>
            <w:right w:val="none" w:sz="0" w:space="0" w:color="auto"/>
          </w:divBdr>
          <w:divsChild>
            <w:div w:id="1356732600">
              <w:marLeft w:val="0"/>
              <w:marRight w:val="0"/>
              <w:marTop w:val="0"/>
              <w:marBottom w:val="0"/>
              <w:divBdr>
                <w:top w:val="none" w:sz="0" w:space="0" w:color="auto"/>
                <w:left w:val="none" w:sz="0" w:space="0" w:color="auto"/>
                <w:bottom w:val="none" w:sz="0" w:space="0" w:color="auto"/>
                <w:right w:val="none" w:sz="0" w:space="0" w:color="auto"/>
              </w:divBdr>
              <w:divsChild>
                <w:div w:id="1779982885">
                  <w:marLeft w:val="0"/>
                  <w:marRight w:val="0"/>
                  <w:marTop w:val="0"/>
                  <w:marBottom w:val="0"/>
                  <w:divBdr>
                    <w:top w:val="none" w:sz="0" w:space="0" w:color="auto"/>
                    <w:left w:val="none" w:sz="0" w:space="0" w:color="auto"/>
                    <w:bottom w:val="none" w:sz="0" w:space="0" w:color="auto"/>
                    <w:right w:val="none" w:sz="0" w:space="0" w:color="auto"/>
                  </w:divBdr>
                  <w:divsChild>
                    <w:div w:id="383678882">
                      <w:marLeft w:val="0"/>
                      <w:marRight w:val="0"/>
                      <w:marTop w:val="0"/>
                      <w:marBottom w:val="0"/>
                      <w:divBdr>
                        <w:top w:val="none" w:sz="0" w:space="0" w:color="auto"/>
                        <w:left w:val="none" w:sz="0" w:space="0" w:color="auto"/>
                        <w:bottom w:val="none" w:sz="0" w:space="0" w:color="auto"/>
                        <w:right w:val="none" w:sz="0" w:space="0" w:color="auto"/>
                      </w:divBdr>
                      <w:divsChild>
                        <w:div w:id="1627350674">
                          <w:marLeft w:val="0"/>
                          <w:marRight w:val="0"/>
                          <w:marTop w:val="0"/>
                          <w:marBottom w:val="0"/>
                          <w:divBdr>
                            <w:top w:val="none" w:sz="0" w:space="0" w:color="auto"/>
                            <w:left w:val="none" w:sz="0" w:space="0" w:color="auto"/>
                            <w:bottom w:val="none" w:sz="0" w:space="0" w:color="auto"/>
                            <w:right w:val="none" w:sz="0" w:space="0" w:color="auto"/>
                          </w:divBdr>
                          <w:divsChild>
                            <w:div w:id="1213465389">
                              <w:marLeft w:val="0"/>
                              <w:marRight w:val="0"/>
                              <w:marTop w:val="0"/>
                              <w:marBottom w:val="0"/>
                              <w:divBdr>
                                <w:top w:val="none" w:sz="0" w:space="0" w:color="auto"/>
                                <w:left w:val="none" w:sz="0" w:space="0" w:color="auto"/>
                                <w:bottom w:val="none" w:sz="0" w:space="0" w:color="auto"/>
                                <w:right w:val="none" w:sz="0" w:space="0" w:color="auto"/>
                              </w:divBdr>
                              <w:divsChild>
                                <w:div w:id="6979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426203">
          <w:marLeft w:val="0"/>
          <w:marRight w:val="0"/>
          <w:marTop w:val="0"/>
          <w:marBottom w:val="0"/>
          <w:divBdr>
            <w:top w:val="none" w:sz="0" w:space="0" w:color="auto"/>
            <w:left w:val="none" w:sz="0" w:space="0" w:color="auto"/>
            <w:bottom w:val="none" w:sz="0" w:space="0" w:color="auto"/>
            <w:right w:val="none" w:sz="0" w:space="0" w:color="auto"/>
          </w:divBdr>
          <w:divsChild>
            <w:div w:id="381835412">
              <w:marLeft w:val="0"/>
              <w:marRight w:val="0"/>
              <w:marTop w:val="0"/>
              <w:marBottom w:val="0"/>
              <w:divBdr>
                <w:top w:val="none" w:sz="0" w:space="0" w:color="auto"/>
                <w:left w:val="none" w:sz="0" w:space="0" w:color="auto"/>
                <w:bottom w:val="none" w:sz="0" w:space="0" w:color="auto"/>
                <w:right w:val="none" w:sz="0" w:space="0" w:color="auto"/>
              </w:divBdr>
              <w:divsChild>
                <w:div w:id="2124685962">
                  <w:marLeft w:val="0"/>
                  <w:marRight w:val="0"/>
                  <w:marTop w:val="0"/>
                  <w:marBottom w:val="0"/>
                  <w:divBdr>
                    <w:top w:val="none" w:sz="0" w:space="0" w:color="auto"/>
                    <w:left w:val="none" w:sz="0" w:space="0" w:color="auto"/>
                    <w:bottom w:val="none" w:sz="0" w:space="0" w:color="auto"/>
                    <w:right w:val="none" w:sz="0" w:space="0" w:color="auto"/>
                  </w:divBdr>
                  <w:divsChild>
                    <w:div w:id="1960987823">
                      <w:marLeft w:val="0"/>
                      <w:marRight w:val="0"/>
                      <w:marTop w:val="0"/>
                      <w:marBottom w:val="0"/>
                      <w:divBdr>
                        <w:top w:val="none" w:sz="0" w:space="0" w:color="auto"/>
                        <w:left w:val="none" w:sz="0" w:space="0" w:color="auto"/>
                        <w:bottom w:val="none" w:sz="0" w:space="0" w:color="auto"/>
                        <w:right w:val="none" w:sz="0" w:space="0" w:color="auto"/>
                      </w:divBdr>
                      <w:divsChild>
                        <w:div w:id="1878811211">
                          <w:marLeft w:val="0"/>
                          <w:marRight w:val="0"/>
                          <w:marTop w:val="0"/>
                          <w:marBottom w:val="0"/>
                          <w:divBdr>
                            <w:top w:val="none" w:sz="0" w:space="0" w:color="auto"/>
                            <w:left w:val="none" w:sz="0" w:space="0" w:color="auto"/>
                            <w:bottom w:val="none" w:sz="0" w:space="0" w:color="auto"/>
                            <w:right w:val="none" w:sz="0" w:space="0" w:color="auto"/>
                          </w:divBdr>
                          <w:divsChild>
                            <w:div w:id="6174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565051">
      <w:bodyDiv w:val="1"/>
      <w:marLeft w:val="0"/>
      <w:marRight w:val="0"/>
      <w:marTop w:val="0"/>
      <w:marBottom w:val="0"/>
      <w:divBdr>
        <w:top w:val="none" w:sz="0" w:space="0" w:color="auto"/>
        <w:left w:val="none" w:sz="0" w:space="0" w:color="auto"/>
        <w:bottom w:val="none" w:sz="0" w:space="0" w:color="auto"/>
        <w:right w:val="none" w:sz="0" w:space="0" w:color="auto"/>
      </w:divBdr>
    </w:div>
    <w:div w:id="1324317704">
      <w:bodyDiv w:val="1"/>
      <w:marLeft w:val="0"/>
      <w:marRight w:val="0"/>
      <w:marTop w:val="0"/>
      <w:marBottom w:val="0"/>
      <w:divBdr>
        <w:top w:val="none" w:sz="0" w:space="0" w:color="auto"/>
        <w:left w:val="none" w:sz="0" w:space="0" w:color="auto"/>
        <w:bottom w:val="none" w:sz="0" w:space="0" w:color="auto"/>
        <w:right w:val="none" w:sz="0" w:space="0" w:color="auto"/>
      </w:divBdr>
    </w:div>
    <w:div w:id="1398211851">
      <w:bodyDiv w:val="1"/>
      <w:marLeft w:val="0"/>
      <w:marRight w:val="0"/>
      <w:marTop w:val="0"/>
      <w:marBottom w:val="0"/>
      <w:divBdr>
        <w:top w:val="none" w:sz="0" w:space="0" w:color="auto"/>
        <w:left w:val="none" w:sz="0" w:space="0" w:color="auto"/>
        <w:bottom w:val="none" w:sz="0" w:space="0" w:color="auto"/>
        <w:right w:val="none" w:sz="0" w:space="0" w:color="auto"/>
      </w:divBdr>
    </w:div>
    <w:div w:id="1490557632">
      <w:bodyDiv w:val="1"/>
      <w:marLeft w:val="0"/>
      <w:marRight w:val="0"/>
      <w:marTop w:val="0"/>
      <w:marBottom w:val="0"/>
      <w:divBdr>
        <w:top w:val="none" w:sz="0" w:space="0" w:color="auto"/>
        <w:left w:val="none" w:sz="0" w:space="0" w:color="auto"/>
        <w:bottom w:val="none" w:sz="0" w:space="0" w:color="auto"/>
        <w:right w:val="none" w:sz="0" w:space="0" w:color="auto"/>
      </w:divBdr>
      <w:divsChild>
        <w:div w:id="307512197">
          <w:marLeft w:val="0"/>
          <w:marRight w:val="0"/>
          <w:marTop w:val="0"/>
          <w:marBottom w:val="0"/>
          <w:divBdr>
            <w:top w:val="none" w:sz="0" w:space="0" w:color="auto"/>
            <w:left w:val="none" w:sz="0" w:space="0" w:color="auto"/>
            <w:bottom w:val="none" w:sz="0" w:space="0" w:color="auto"/>
            <w:right w:val="none" w:sz="0" w:space="0" w:color="auto"/>
          </w:divBdr>
          <w:divsChild>
            <w:div w:id="286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750">
      <w:bodyDiv w:val="1"/>
      <w:marLeft w:val="0"/>
      <w:marRight w:val="0"/>
      <w:marTop w:val="0"/>
      <w:marBottom w:val="0"/>
      <w:divBdr>
        <w:top w:val="none" w:sz="0" w:space="0" w:color="auto"/>
        <w:left w:val="none" w:sz="0" w:space="0" w:color="auto"/>
        <w:bottom w:val="none" w:sz="0" w:space="0" w:color="auto"/>
        <w:right w:val="none" w:sz="0" w:space="0" w:color="auto"/>
      </w:divBdr>
    </w:div>
    <w:div w:id="1942492045">
      <w:bodyDiv w:val="1"/>
      <w:marLeft w:val="0"/>
      <w:marRight w:val="0"/>
      <w:marTop w:val="0"/>
      <w:marBottom w:val="0"/>
      <w:divBdr>
        <w:top w:val="none" w:sz="0" w:space="0" w:color="auto"/>
        <w:left w:val="none" w:sz="0" w:space="0" w:color="auto"/>
        <w:bottom w:val="none" w:sz="0" w:space="0" w:color="auto"/>
        <w:right w:val="none" w:sz="0" w:space="0" w:color="auto"/>
      </w:divBdr>
    </w:div>
    <w:div w:id="2038894057">
      <w:bodyDiv w:val="1"/>
      <w:marLeft w:val="0"/>
      <w:marRight w:val="0"/>
      <w:marTop w:val="0"/>
      <w:marBottom w:val="0"/>
      <w:divBdr>
        <w:top w:val="none" w:sz="0" w:space="0" w:color="auto"/>
        <w:left w:val="none" w:sz="0" w:space="0" w:color="auto"/>
        <w:bottom w:val="none" w:sz="0" w:space="0" w:color="auto"/>
        <w:right w:val="none" w:sz="0" w:space="0" w:color="auto"/>
      </w:divBdr>
      <w:divsChild>
        <w:div w:id="414396638">
          <w:marLeft w:val="0"/>
          <w:marRight w:val="0"/>
          <w:marTop w:val="0"/>
          <w:marBottom w:val="0"/>
          <w:divBdr>
            <w:top w:val="none" w:sz="0" w:space="0" w:color="auto"/>
            <w:left w:val="none" w:sz="0" w:space="0" w:color="auto"/>
            <w:bottom w:val="none" w:sz="0" w:space="0" w:color="auto"/>
            <w:right w:val="none" w:sz="0" w:space="0" w:color="auto"/>
          </w:divBdr>
          <w:divsChild>
            <w:div w:id="1631782005">
              <w:marLeft w:val="0"/>
              <w:marRight w:val="0"/>
              <w:marTop w:val="0"/>
              <w:marBottom w:val="0"/>
              <w:divBdr>
                <w:top w:val="none" w:sz="0" w:space="0" w:color="auto"/>
                <w:left w:val="none" w:sz="0" w:space="0" w:color="auto"/>
                <w:bottom w:val="none" w:sz="0" w:space="0" w:color="auto"/>
                <w:right w:val="none" w:sz="0" w:space="0" w:color="auto"/>
              </w:divBdr>
              <w:divsChild>
                <w:div w:id="1392197682">
                  <w:marLeft w:val="0"/>
                  <w:marRight w:val="0"/>
                  <w:marTop w:val="0"/>
                  <w:marBottom w:val="0"/>
                  <w:divBdr>
                    <w:top w:val="none" w:sz="0" w:space="0" w:color="auto"/>
                    <w:left w:val="none" w:sz="0" w:space="0" w:color="auto"/>
                    <w:bottom w:val="none" w:sz="0" w:space="0" w:color="auto"/>
                    <w:right w:val="none" w:sz="0" w:space="0" w:color="auto"/>
                  </w:divBdr>
                  <w:divsChild>
                    <w:div w:id="805119634">
                      <w:marLeft w:val="0"/>
                      <w:marRight w:val="0"/>
                      <w:marTop w:val="0"/>
                      <w:marBottom w:val="0"/>
                      <w:divBdr>
                        <w:top w:val="none" w:sz="0" w:space="0" w:color="auto"/>
                        <w:left w:val="none" w:sz="0" w:space="0" w:color="auto"/>
                        <w:bottom w:val="none" w:sz="0" w:space="0" w:color="auto"/>
                        <w:right w:val="none" w:sz="0" w:space="0" w:color="auto"/>
                      </w:divBdr>
                      <w:divsChild>
                        <w:div w:id="1377659369">
                          <w:marLeft w:val="0"/>
                          <w:marRight w:val="0"/>
                          <w:marTop w:val="0"/>
                          <w:marBottom w:val="0"/>
                          <w:divBdr>
                            <w:top w:val="none" w:sz="0" w:space="0" w:color="auto"/>
                            <w:left w:val="none" w:sz="0" w:space="0" w:color="auto"/>
                            <w:bottom w:val="none" w:sz="0" w:space="0" w:color="auto"/>
                            <w:right w:val="none" w:sz="0" w:space="0" w:color="auto"/>
                          </w:divBdr>
                          <w:divsChild>
                            <w:div w:id="2317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35884">
          <w:marLeft w:val="0"/>
          <w:marRight w:val="0"/>
          <w:marTop w:val="0"/>
          <w:marBottom w:val="0"/>
          <w:divBdr>
            <w:top w:val="none" w:sz="0" w:space="0" w:color="auto"/>
            <w:left w:val="none" w:sz="0" w:space="0" w:color="auto"/>
            <w:bottom w:val="none" w:sz="0" w:space="0" w:color="auto"/>
            <w:right w:val="none" w:sz="0" w:space="0" w:color="auto"/>
          </w:divBdr>
          <w:divsChild>
            <w:div w:id="74672211">
              <w:marLeft w:val="0"/>
              <w:marRight w:val="0"/>
              <w:marTop w:val="0"/>
              <w:marBottom w:val="0"/>
              <w:divBdr>
                <w:top w:val="none" w:sz="0" w:space="0" w:color="auto"/>
                <w:left w:val="none" w:sz="0" w:space="0" w:color="auto"/>
                <w:bottom w:val="none" w:sz="0" w:space="0" w:color="auto"/>
                <w:right w:val="none" w:sz="0" w:space="0" w:color="auto"/>
              </w:divBdr>
              <w:divsChild>
                <w:div w:id="1475365993">
                  <w:marLeft w:val="0"/>
                  <w:marRight w:val="0"/>
                  <w:marTop w:val="0"/>
                  <w:marBottom w:val="0"/>
                  <w:divBdr>
                    <w:top w:val="none" w:sz="0" w:space="0" w:color="auto"/>
                    <w:left w:val="none" w:sz="0" w:space="0" w:color="auto"/>
                    <w:bottom w:val="none" w:sz="0" w:space="0" w:color="auto"/>
                    <w:right w:val="none" w:sz="0" w:space="0" w:color="auto"/>
                  </w:divBdr>
                  <w:divsChild>
                    <w:div w:id="1539707571">
                      <w:marLeft w:val="0"/>
                      <w:marRight w:val="0"/>
                      <w:marTop w:val="0"/>
                      <w:marBottom w:val="0"/>
                      <w:divBdr>
                        <w:top w:val="none" w:sz="0" w:space="0" w:color="auto"/>
                        <w:left w:val="none" w:sz="0" w:space="0" w:color="auto"/>
                        <w:bottom w:val="none" w:sz="0" w:space="0" w:color="auto"/>
                        <w:right w:val="none" w:sz="0" w:space="0" w:color="auto"/>
                      </w:divBdr>
                      <w:divsChild>
                        <w:div w:id="1791973071">
                          <w:marLeft w:val="0"/>
                          <w:marRight w:val="0"/>
                          <w:marTop w:val="0"/>
                          <w:marBottom w:val="0"/>
                          <w:divBdr>
                            <w:top w:val="none" w:sz="0" w:space="0" w:color="auto"/>
                            <w:left w:val="none" w:sz="0" w:space="0" w:color="auto"/>
                            <w:bottom w:val="none" w:sz="0" w:space="0" w:color="auto"/>
                            <w:right w:val="none" w:sz="0" w:space="0" w:color="auto"/>
                          </w:divBdr>
                          <w:divsChild>
                            <w:div w:id="377554287">
                              <w:marLeft w:val="0"/>
                              <w:marRight w:val="0"/>
                              <w:marTop w:val="0"/>
                              <w:marBottom w:val="0"/>
                              <w:divBdr>
                                <w:top w:val="none" w:sz="0" w:space="0" w:color="auto"/>
                                <w:left w:val="none" w:sz="0" w:space="0" w:color="auto"/>
                                <w:bottom w:val="none" w:sz="0" w:space="0" w:color="auto"/>
                                <w:right w:val="none" w:sz="0" w:space="0" w:color="auto"/>
                              </w:divBdr>
                              <w:divsChild>
                                <w:div w:id="11188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77674">
          <w:marLeft w:val="0"/>
          <w:marRight w:val="0"/>
          <w:marTop w:val="0"/>
          <w:marBottom w:val="0"/>
          <w:divBdr>
            <w:top w:val="none" w:sz="0" w:space="0" w:color="auto"/>
            <w:left w:val="none" w:sz="0" w:space="0" w:color="auto"/>
            <w:bottom w:val="none" w:sz="0" w:space="0" w:color="auto"/>
            <w:right w:val="none" w:sz="0" w:space="0" w:color="auto"/>
          </w:divBdr>
          <w:divsChild>
            <w:div w:id="1783069931">
              <w:marLeft w:val="0"/>
              <w:marRight w:val="0"/>
              <w:marTop w:val="0"/>
              <w:marBottom w:val="0"/>
              <w:divBdr>
                <w:top w:val="none" w:sz="0" w:space="0" w:color="auto"/>
                <w:left w:val="none" w:sz="0" w:space="0" w:color="auto"/>
                <w:bottom w:val="none" w:sz="0" w:space="0" w:color="auto"/>
                <w:right w:val="none" w:sz="0" w:space="0" w:color="auto"/>
              </w:divBdr>
              <w:divsChild>
                <w:div w:id="532763690">
                  <w:marLeft w:val="0"/>
                  <w:marRight w:val="0"/>
                  <w:marTop w:val="0"/>
                  <w:marBottom w:val="0"/>
                  <w:divBdr>
                    <w:top w:val="none" w:sz="0" w:space="0" w:color="auto"/>
                    <w:left w:val="none" w:sz="0" w:space="0" w:color="auto"/>
                    <w:bottom w:val="none" w:sz="0" w:space="0" w:color="auto"/>
                    <w:right w:val="none" w:sz="0" w:space="0" w:color="auto"/>
                  </w:divBdr>
                  <w:divsChild>
                    <w:div w:id="1865709701">
                      <w:marLeft w:val="0"/>
                      <w:marRight w:val="0"/>
                      <w:marTop w:val="0"/>
                      <w:marBottom w:val="0"/>
                      <w:divBdr>
                        <w:top w:val="none" w:sz="0" w:space="0" w:color="auto"/>
                        <w:left w:val="none" w:sz="0" w:space="0" w:color="auto"/>
                        <w:bottom w:val="none" w:sz="0" w:space="0" w:color="auto"/>
                        <w:right w:val="none" w:sz="0" w:space="0" w:color="auto"/>
                      </w:divBdr>
                      <w:divsChild>
                        <w:div w:id="210193883">
                          <w:marLeft w:val="0"/>
                          <w:marRight w:val="0"/>
                          <w:marTop w:val="0"/>
                          <w:marBottom w:val="0"/>
                          <w:divBdr>
                            <w:top w:val="none" w:sz="0" w:space="0" w:color="auto"/>
                            <w:left w:val="none" w:sz="0" w:space="0" w:color="auto"/>
                            <w:bottom w:val="none" w:sz="0" w:space="0" w:color="auto"/>
                            <w:right w:val="none" w:sz="0" w:space="0" w:color="auto"/>
                          </w:divBdr>
                          <w:divsChild>
                            <w:div w:id="18527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prabriddhi@swisscontact.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bd.prabriddhi@swissconta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21" ma:contentTypeDescription="Create a new document." ma:contentTypeScope="" ma:versionID="d2781526e7ea4e5991dfb6f19182ae2c">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7af0282c1812f7ca2d4290e93f2c6844"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b1651-62ba-4bdc-be33-6dd1b856c1d9">
      <Terms xmlns="http://schemas.microsoft.com/office/infopath/2007/PartnerControls"/>
    </lcf76f155ced4ddcb4097134ff3c332f>
    <TaxCatchAll xmlns="2f5f6eb6-ef45-4cc7-acd1-315704ade2e7" xsi:nil="true"/>
  </documentManagement>
</p:properties>
</file>

<file path=customXml/itemProps1.xml><?xml version="1.0" encoding="utf-8"?>
<ds:datastoreItem xmlns:ds="http://schemas.openxmlformats.org/officeDocument/2006/customXml" ds:itemID="{A867FF37-9FC5-4AEC-8443-F5037797EAFB}"/>
</file>

<file path=customXml/itemProps2.xml><?xml version="1.0" encoding="utf-8"?>
<ds:datastoreItem xmlns:ds="http://schemas.openxmlformats.org/officeDocument/2006/customXml" ds:itemID="{176EF625-04F6-4A89-8962-3D9CCC7D450A}"/>
</file>

<file path=customXml/itemProps3.xml><?xml version="1.0" encoding="utf-8"?>
<ds:datastoreItem xmlns:ds="http://schemas.openxmlformats.org/officeDocument/2006/customXml" ds:itemID="{5341B695-2A03-4226-932D-7B7C38A1A075}"/>
</file>

<file path=docProps/app.xml><?xml version="1.0" encoding="utf-8"?>
<Properties xmlns="http://schemas.openxmlformats.org/officeDocument/2006/extended-properties" xmlns:vt="http://schemas.openxmlformats.org/officeDocument/2006/docPropsVTypes">
  <Template>Normal</Template>
  <TotalTime>182</TotalTime>
  <Pages>7</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Links>
    <vt:vector size="12" baseType="variant">
      <vt:variant>
        <vt:i4>1507442</vt:i4>
      </vt:variant>
      <vt:variant>
        <vt:i4>3</vt:i4>
      </vt:variant>
      <vt:variant>
        <vt:i4>0</vt:i4>
      </vt:variant>
      <vt:variant>
        <vt:i4>5</vt:i4>
      </vt:variant>
      <vt:variant>
        <vt:lpwstr>mailto:bd.prabriddhi@swisscontact.org</vt:lpwstr>
      </vt:variant>
      <vt:variant>
        <vt:lpwstr/>
      </vt:variant>
      <vt:variant>
        <vt:i4>1507442</vt:i4>
      </vt:variant>
      <vt:variant>
        <vt:i4>0</vt:i4>
      </vt:variant>
      <vt:variant>
        <vt:i4>0</vt:i4>
      </vt:variant>
      <vt:variant>
        <vt:i4>5</vt:i4>
      </vt:variant>
      <vt:variant>
        <vt:lpwstr>mailto:bd.prabriddhi@swisscontact.org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 Uddin Neon</dc:creator>
  <cp:keywords/>
  <dc:description/>
  <cp:lastModifiedBy>Samaun Bhuiyan</cp:lastModifiedBy>
  <cp:revision>14</cp:revision>
  <dcterms:created xsi:type="dcterms:W3CDTF">2025-07-24T05:50:00Z</dcterms:created>
  <dcterms:modified xsi:type="dcterms:W3CDTF">2025-07-28T09:56:00Z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0x0101001C13774799A6EC489B708867497313D6</vt:lpwstr>
  </property>
</Properties>
</file>