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74FD" w14:textId="55A25E3B" w:rsidR="0048224F" w:rsidRDefault="001B0DCA" w:rsidP="003C4513">
      <w:pPr>
        <w:pStyle w:val="Heading1"/>
        <w:jc w:val="center"/>
      </w:pPr>
      <w:r>
        <w:t>Terms of Reference (ToR)</w:t>
      </w:r>
    </w:p>
    <w:p w14:paraId="220F9D73" w14:textId="77777777" w:rsidR="003C4513" w:rsidRPr="003C4513" w:rsidRDefault="003C4513" w:rsidP="003C4513"/>
    <w:p w14:paraId="67BCFF1D" w14:textId="410275CD" w:rsidR="008069AD" w:rsidRPr="003C4513" w:rsidRDefault="001B0DCA" w:rsidP="00C039AB">
      <w:pPr>
        <w:pStyle w:val="Title"/>
      </w:pPr>
      <w:r w:rsidRPr="001B0DCA">
        <w:t>Market Study on Improved Capital Machineries Required by Light Engineering Enterprises for Increased Productivity</w:t>
      </w:r>
      <w:r w:rsidR="002B0155">
        <w:t xml:space="preserve">, </w:t>
      </w:r>
      <w:proofErr w:type="spellStart"/>
      <w:r w:rsidR="002B0155">
        <w:t>Bogura</w:t>
      </w:r>
      <w:proofErr w:type="spellEnd"/>
    </w:p>
    <w:p w14:paraId="4F819CF0" w14:textId="77777777" w:rsidR="003C4513" w:rsidRPr="00BA2262" w:rsidRDefault="003C4513" w:rsidP="003C4513"/>
    <w:p w14:paraId="2F23AFDE" w14:textId="4AA2D799" w:rsidR="008069AD" w:rsidRPr="00DF5F44" w:rsidRDefault="008069AD" w:rsidP="00DF5F44">
      <w:pPr>
        <w:pStyle w:val="Heading2"/>
        <w:numPr>
          <w:ilvl w:val="0"/>
          <w:numId w:val="1"/>
        </w:numPr>
      </w:pPr>
      <w:r w:rsidRPr="00DF5F44">
        <w:t>Introduction</w:t>
      </w:r>
    </w:p>
    <w:p w14:paraId="7BD1C17D" w14:textId="46025609" w:rsidR="008307E1" w:rsidRPr="00535A5B" w:rsidRDefault="008307E1" w:rsidP="00535A5B">
      <w:pPr>
        <w:pStyle w:val="Heading3"/>
        <w:numPr>
          <w:ilvl w:val="1"/>
          <w:numId w:val="1"/>
        </w:numPr>
      </w:pPr>
      <w:r w:rsidRPr="00535A5B">
        <w:t>Background</w:t>
      </w:r>
    </w:p>
    <w:p w14:paraId="02894D73" w14:textId="696E9740" w:rsidR="00BA2262" w:rsidRDefault="00FD6AB5" w:rsidP="00BA2262">
      <w:r w:rsidRPr="00FD6AB5">
        <w:t xml:space="preserve">PRABRIDDHI is a Local Economic Development (LED) project, funded by Switzerland and </w:t>
      </w:r>
      <w:r w:rsidR="00D3731E" w:rsidRPr="00D3731E">
        <w:t xml:space="preserve">Government of Bangladesh, and co-implemented by Swisscontact and Local Government Division (LGD). Phase 1, the pilot phase of PRABRIDDHI, came to a successful end </w:t>
      </w:r>
      <w:r>
        <w:t xml:space="preserve">in </w:t>
      </w:r>
      <w:r w:rsidR="00D3731E" w:rsidRPr="00D3731E">
        <w:t>August 2020. Phase 2 of the project started in September 2020 for a period of four years and focuses on further development of the LED approach in participating municipalities, capacity building of stakeholders and facilitators of LED and an anchoring of the approach on national level. Throughout the current phase, the project will expand to six to eight new municipalities. Shibganj, Jashore, Bog</w:t>
      </w:r>
      <w:r w:rsidR="00005272">
        <w:t>u</w:t>
      </w:r>
      <w:r w:rsidR="00D3731E" w:rsidRPr="00D3731E">
        <w:t>ra, and Bhairab are the four municipalities where the project is now being implemented. By the first quarter of 2023, PRABRIDDHI intends to begin implementation in two new municipalities</w:t>
      </w:r>
      <w:r w:rsidR="0020619E">
        <w:t xml:space="preserve"> - </w:t>
      </w:r>
      <w:r w:rsidR="00D3731E" w:rsidRPr="00D3731E">
        <w:t xml:space="preserve">Dinajpur and Kushtia.  </w:t>
      </w:r>
    </w:p>
    <w:p w14:paraId="461079BB" w14:textId="5ACF6929" w:rsidR="00535A5B" w:rsidRDefault="009C323B" w:rsidP="009C323B">
      <w:pPr>
        <w:pStyle w:val="Heading3"/>
        <w:numPr>
          <w:ilvl w:val="1"/>
          <w:numId w:val="1"/>
        </w:numPr>
      </w:pPr>
      <w:r>
        <w:t>Approach</w:t>
      </w:r>
    </w:p>
    <w:p w14:paraId="6A124AE0" w14:textId="602D2455" w:rsidR="009C323B" w:rsidRDefault="009369B3" w:rsidP="009C323B">
      <w:r w:rsidRPr="009369B3">
        <w:t>The LED program’s aim is to create a Business Enabling Environment and support better services for key actors by the municipalities and key stakeholders. A “territorial change management initiative” will be induced to foster Local Economic Development.</w:t>
      </w:r>
      <w:r w:rsidR="008111EE">
        <w:t xml:space="preserve"> </w:t>
      </w:r>
      <w:r w:rsidRPr="009369B3">
        <w:t>The pro</w:t>
      </w:r>
      <w:r w:rsidR="008111EE">
        <w:t xml:space="preserve">ject </w:t>
      </w:r>
      <w:r w:rsidRPr="009369B3">
        <w:t>supports the municipalities and local businesses to create a common platform and processes for identifying the key blockages for business growth which impacts wealth generation and employment creation. At this moment, multiple projects, and investments (financed by GOB as well as Development partners) are focusing on the evolvement of municipalities and to improve the infrastructure at municipal level. The LED program complements these investments by utilizing resources, both physical and administrative, to the planned activities for business growth. PRABRIDDHI supports municipalities and local business associations to identify key activities for business growth, design sub projects, while synergies are made with other initiatives of the government or development partners. The program also supports private companies and businesses through partnership to reduce the risks associated in piloting new business and growth strategies that create economic opportunities for the poor.</w:t>
      </w:r>
    </w:p>
    <w:p w14:paraId="3ED7CB2A" w14:textId="7512C37D" w:rsidR="00BC7217" w:rsidRDefault="00BC7217" w:rsidP="009C323B">
      <w:r w:rsidRPr="00BC7217">
        <w:t>Assessing certain driving factors for economic growth as criteria, Bogura has been selected as one of the municipalities where PRABRIDDHI intends to implement LED initiatives.</w:t>
      </w:r>
      <w:r>
        <w:t xml:space="preserve"> </w:t>
      </w:r>
      <w:r w:rsidRPr="00BE3B27">
        <w:t>Bogura is known as the Capital of Northern Bangladesh. It was established as a municipality in 1876. At present, it is the biggest municipality of Bangladesh by its 70 square kilometer area and around 1 million inhabitants. It is also the largest business hub in the northern part of Bangladesh.</w:t>
      </w:r>
      <w:r>
        <w:t xml:space="preserve"> </w:t>
      </w:r>
      <w:r w:rsidRPr="00AF34E6">
        <w:t xml:space="preserve">The municipality has a very active workforce, and several development projects are </w:t>
      </w:r>
      <w:r>
        <w:t>active in the district</w:t>
      </w:r>
      <w:r w:rsidRPr="00AF34E6">
        <w:t>. Bogura has developed from an agricultural to an industrial hub over the last few decades.</w:t>
      </w:r>
    </w:p>
    <w:p w14:paraId="318BC236" w14:textId="462022B6" w:rsidR="009C323B" w:rsidRDefault="00DF5F44" w:rsidP="00DF5F44">
      <w:pPr>
        <w:pStyle w:val="Heading3"/>
        <w:numPr>
          <w:ilvl w:val="1"/>
          <w:numId w:val="1"/>
        </w:numPr>
      </w:pPr>
      <w:r>
        <w:t>Context</w:t>
      </w:r>
    </w:p>
    <w:p w14:paraId="51134931" w14:textId="30DDCAFE" w:rsidR="00312736" w:rsidRDefault="00312736" w:rsidP="00312736">
      <w:r>
        <w:t xml:space="preserve">The Light Engineering Sector (LES) in Bangladesh has grown over the decades as small repairing workshops to provide services in the textile, jute, sugar, railway and other capital-intensive industries. Since 80’s, the light engineering industries have been diversified in terms of its products and services and are contributing to the industrialization of the country by providing capital machinery and services. Afterwards, a number of light engineering industry clusters have developed in different growth areas across the country. Due to the contributions in the economy, and overall impact on industrialization, productivity improvement and employment generation, </w:t>
      </w:r>
      <w:r w:rsidR="00AA1A93">
        <w:t xml:space="preserve">a study conducted by </w:t>
      </w:r>
      <w:hyperlink r:id="rId8" w:history="1">
        <w:r w:rsidR="00AA1A93" w:rsidRPr="005F492C">
          <w:rPr>
            <w:rStyle w:val="Hyperlink"/>
          </w:rPr>
          <w:t>Bangladesh Foreign Trade Institute</w:t>
        </w:r>
      </w:hyperlink>
      <w:r w:rsidR="00AA1A93">
        <w:t xml:space="preserve"> called </w:t>
      </w:r>
      <w:r>
        <w:t>the Light Engineering Industries as “Mother of all Industries”. Thus, the Industry Policy of Bangladesh (2016) has recognized light engineering sector as a ‘Thrust Sector’ considering its huge potential to grow and contribution to the national economy.</w:t>
      </w:r>
    </w:p>
    <w:p w14:paraId="697199A4" w14:textId="09E6803F" w:rsidR="00DF5F44" w:rsidRDefault="00312736" w:rsidP="00BC6500">
      <w:r>
        <w:lastRenderedPageBreak/>
        <w:t xml:space="preserve">The Light Engineering sector tends to have clusters of enterprises spread out geographically in different locations across the country. According to </w:t>
      </w:r>
      <w:r w:rsidR="006A68F7">
        <w:t xml:space="preserve">a report by </w:t>
      </w:r>
      <w:hyperlink r:id="rId9" w:history="1">
        <w:r w:rsidR="006A68F7" w:rsidRPr="006A68F7">
          <w:rPr>
            <w:rStyle w:val="Hyperlink"/>
          </w:rPr>
          <w:t>BIDA</w:t>
        </w:r>
      </w:hyperlink>
      <w:r>
        <w:t>, there are 3</w:t>
      </w:r>
      <w:r w:rsidR="006A68F7">
        <w:t>4</w:t>
      </w:r>
      <w:r>
        <w:t xml:space="preserve"> major light engineering clusters in Bangladesh. </w:t>
      </w:r>
      <w:r w:rsidR="003F67BA">
        <w:t>Major clusters are located in Dhaka, Chattogram, Narayanganj, Bogura, Jashore, Gazipur and</w:t>
      </w:r>
      <w:r w:rsidR="00BC6500">
        <w:t xml:space="preserve"> </w:t>
      </w:r>
      <w:r w:rsidR="003F67BA">
        <w:t>Kishorganj</w:t>
      </w:r>
      <w:r>
        <w:t xml:space="preserve">. </w:t>
      </w:r>
      <w:r w:rsidR="00BC6500">
        <w:t xml:space="preserve">According to the Bangladesh Engineering Industry Owners Association (BEIOA), around 600,000 </w:t>
      </w:r>
      <w:r w:rsidR="00CC50F7">
        <w:t>(of which 26% are female</w:t>
      </w:r>
      <w:r w:rsidR="00C53149">
        <w:rPr>
          <w:rStyle w:val="FootnoteReference"/>
        </w:rPr>
        <w:footnoteReference w:id="1"/>
      </w:r>
      <w:r w:rsidR="00CC50F7">
        <w:t xml:space="preserve">) </w:t>
      </w:r>
      <w:r w:rsidR="00BC6500">
        <w:t xml:space="preserve">people are employed by almost 40,000 LE </w:t>
      </w:r>
      <w:r w:rsidR="00CC50F7">
        <w:t xml:space="preserve">enterprises </w:t>
      </w:r>
      <w:r w:rsidR="00BC6500">
        <w:t>in Bangladesh</w:t>
      </w:r>
      <w:r w:rsidR="00CC50F7">
        <w:t xml:space="preserve">. </w:t>
      </w:r>
      <w:r>
        <w:t>Majority of the light engineering industries are not manufacturing ready-made machines and tools but are mostly producing products based on the demands of the customers. The industry is facing stiff competition due to overwhelming supply of cheap imported products. The local enterprises are plagued with low productivity and low quality due to old and backdated technology, poor infrastructure and limited financing opportunities.</w:t>
      </w:r>
    </w:p>
    <w:p w14:paraId="695386A9" w14:textId="3377E087" w:rsidR="00AF34E6" w:rsidRDefault="0072235A" w:rsidP="00312736">
      <w:r>
        <w:t xml:space="preserve">Upon the selection of </w:t>
      </w:r>
      <w:r w:rsidR="00AF34E6" w:rsidRPr="00AF34E6">
        <w:t xml:space="preserve">Bogura municipality </w:t>
      </w:r>
      <w:r>
        <w:t xml:space="preserve">as one of the strategic location for the project, through </w:t>
      </w:r>
      <w:r w:rsidR="0062210D">
        <w:t>the</w:t>
      </w:r>
      <w:r w:rsidR="003D1CB6">
        <w:t xml:space="preserve"> stakeholder mapping, value chain analysis and assessment </w:t>
      </w:r>
      <w:r w:rsidR="0062210D">
        <w:t xml:space="preserve">of information obtained from the secondary sources and </w:t>
      </w:r>
      <w:r w:rsidR="0062210D" w:rsidRPr="00A767D7">
        <w:t xml:space="preserve">by </w:t>
      </w:r>
      <w:r w:rsidR="0062210D">
        <w:t xml:space="preserve">organizing field visits to </w:t>
      </w:r>
      <w:r w:rsidR="0062210D" w:rsidRPr="00A767D7">
        <w:t>the municipality</w:t>
      </w:r>
      <w:r w:rsidR="0062210D">
        <w:t xml:space="preserve">, it was very clear that Light Engineering sector is one of the key </w:t>
      </w:r>
      <w:r w:rsidR="00BE3B27">
        <w:t xml:space="preserve">driver for economic growth of Bogura Municipality. </w:t>
      </w:r>
      <w:r w:rsidR="00AF34E6" w:rsidRPr="00AF34E6">
        <w:t>The LE sector of Bogura</w:t>
      </w:r>
      <w:r w:rsidR="005C39B5">
        <w:t xml:space="preserve"> municipality</w:t>
      </w:r>
      <w:r w:rsidR="00AF34E6" w:rsidRPr="00AF34E6">
        <w:t xml:space="preserve"> has </w:t>
      </w:r>
      <w:r w:rsidR="00CE04CD">
        <w:t xml:space="preserve">about </w:t>
      </w:r>
      <w:r w:rsidR="00AF34E6" w:rsidRPr="00AF34E6">
        <w:t xml:space="preserve">800 workshops </w:t>
      </w:r>
      <w:r w:rsidR="00B66215">
        <w:t>–</w:t>
      </w:r>
      <w:r w:rsidR="005C39B5">
        <w:t xml:space="preserve"> </w:t>
      </w:r>
      <w:r w:rsidR="00B66215">
        <w:t xml:space="preserve">around 80 </w:t>
      </w:r>
      <w:r w:rsidR="00AF34E6" w:rsidRPr="00AF34E6">
        <w:t>foundries</w:t>
      </w:r>
      <w:r w:rsidR="00E74044">
        <w:t xml:space="preserve">, </w:t>
      </w:r>
      <w:r w:rsidR="00AF34E6" w:rsidRPr="00AF34E6">
        <w:t>700 small</w:t>
      </w:r>
      <w:r w:rsidR="00E74044">
        <w:t xml:space="preserve"> and medium </w:t>
      </w:r>
      <w:r w:rsidR="00AF34E6" w:rsidRPr="00AF34E6">
        <w:t>workshops</w:t>
      </w:r>
      <w:r w:rsidR="00E74044">
        <w:t xml:space="preserve">, and </w:t>
      </w:r>
      <w:r w:rsidR="00B66215">
        <w:t>20</w:t>
      </w:r>
      <w:r w:rsidR="00E74044">
        <w:t xml:space="preserve"> </w:t>
      </w:r>
      <w:r w:rsidR="000E3B16">
        <w:t>mechanical and repairing workshops</w:t>
      </w:r>
      <w:r w:rsidR="00B66215">
        <w:t xml:space="preserve">. </w:t>
      </w:r>
      <w:r w:rsidR="00B66215" w:rsidRPr="00B66215">
        <w:t>They manufacture 2,000</w:t>
      </w:r>
      <w:r w:rsidR="00B66215">
        <w:t xml:space="preserve"> </w:t>
      </w:r>
      <w:r w:rsidR="00B66215" w:rsidRPr="00B66215">
        <w:t>-</w:t>
      </w:r>
      <w:r w:rsidR="00B66215">
        <w:t xml:space="preserve"> </w:t>
      </w:r>
      <w:r w:rsidR="00B66215" w:rsidRPr="00B66215">
        <w:t>3,000</w:t>
      </w:r>
      <w:r w:rsidR="00B66215">
        <w:t xml:space="preserve"> </w:t>
      </w:r>
      <w:r w:rsidR="00B66215" w:rsidRPr="00B66215">
        <w:t>types of finished products worth of more than Tk 5</w:t>
      </w:r>
      <w:r w:rsidR="000943E7">
        <w:t xml:space="preserve"> billion </w:t>
      </w:r>
      <w:r w:rsidR="00B66215" w:rsidRPr="00B66215">
        <w:t>a year.</w:t>
      </w:r>
      <w:r w:rsidR="00B66215">
        <w:t xml:space="preserve"> </w:t>
      </w:r>
      <w:r w:rsidR="00144865">
        <w:t xml:space="preserve">Approximately 90% of the national demand for </w:t>
      </w:r>
      <w:r w:rsidR="00144865" w:rsidRPr="00144865">
        <w:t>agricultural machinery and spare parts for vehicles and agricultural machiner</w:t>
      </w:r>
      <w:r w:rsidR="0031771A">
        <w:t xml:space="preserve">ies are met </w:t>
      </w:r>
      <w:r w:rsidR="00CE04CD">
        <w:t xml:space="preserve">by </w:t>
      </w:r>
      <w:r w:rsidR="0031771A">
        <w:t>Bogura Light Engineering Sector</w:t>
      </w:r>
      <w:r w:rsidR="00DE719B">
        <w:rPr>
          <w:rStyle w:val="FootnoteReference"/>
        </w:rPr>
        <w:footnoteReference w:id="2"/>
      </w:r>
      <w:r w:rsidR="0031771A">
        <w:t>.</w:t>
      </w:r>
      <w:r w:rsidR="005C193A">
        <w:t xml:space="preserve"> The sector employs about 100,000 people, of which 5 to 10% are female.</w:t>
      </w:r>
      <w:r w:rsidR="00126744">
        <w:t xml:space="preserve"> PRABRIDDHI </w:t>
      </w:r>
      <w:r w:rsidR="003E0E57">
        <w:t>has conducted a Rapid Economic Appraisal (REA)</w:t>
      </w:r>
      <w:r w:rsidR="00EB05BF">
        <w:rPr>
          <w:rStyle w:val="FootnoteReference"/>
        </w:rPr>
        <w:footnoteReference w:id="3"/>
      </w:r>
      <w:r w:rsidR="003E0E57">
        <w:t xml:space="preserve"> exercise with the objective to analyze the local economy through </w:t>
      </w:r>
      <w:r w:rsidR="00EB05BF">
        <w:t xml:space="preserve">a participatory process. The exercise was </w:t>
      </w:r>
      <w:r w:rsidR="00381D2D">
        <w:t>conducted in two steps</w:t>
      </w:r>
      <w:r w:rsidR="00E9778D">
        <w:t xml:space="preserve">. The first step </w:t>
      </w:r>
      <w:r w:rsidR="00C00D27">
        <w:t xml:space="preserve">was to share and discuss the project’s </w:t>
      </w:r>
      <w:r w:rsidR="00381D2D">
        <w:t xml:space="preserve">findings and ideas </w:t>
      </w:r>
      <w:r w:rsidR="00C00D27">
        <w:t>w</w:t>
      </w:r>
      <w:r w:rsidR="00837341">
        <w:t>ith sub-groups of stakeholders in validation workshops</w:t>
      </w:r>
      <w:r w:rsidR="00C00D27">
        <w:t xml:space="preserve"> </w:t>
      </w:r>
      <w:r w:rsidR="00BA02DC">
        <w:t xml:space="preserve">to identify a list of quick win ideas </w:t>
      </w:r>
      <w:r w:rsidR="00962A68">
        <w:t xml:space="preserve">which can be implemented in the short-term. </w:t>
      </w:r>
      <w:r w:rsidR="0048785A">
        <w:t xml:space="preserve">The participants of these workshops included </w:t>
      </w:r>
      <w:r w:rsidR="005B1A0D">
        <w:t xml:space="preserve">members from Bogura chapter of </w:t>
      </w:r>
      <w:r w:rsidR="00626350">
        <w:t>LE industry owners’ associations (BEIOA</w:t>
      </w:r>
      <w:r w:rsidR="007B58FA">
        <w:rPr>
          <w:rStyle w:val="FootnoteReference"/>
        </w:rPr>
        <w:footnoteReference w:id="4"/>
      </w:r>
      <w:r w:rsidR="00626350">
        <w:t>, FOAB</w:t>
      </w:r>
      <w:r w:rsidR="007B58FA">
        <w:rPr>
          <w:rStyle w:val="FootnoteReference"/>
        </w:rPr>
        <w:footnoteReference w:id="5"/>
      </w:r>
      <w:r w:rsidR="00626350">
        <w:t>, BAMMA</w:t>
      </w:r>
      <w:r w:rsidR="007B58FA">
        <w:rPr>
          <w:rStyle w:val="FootnoteReference"/>
        </w:rPr>
        <w:footnoteReference w:id="6"/>
      </w:r>
      <w:r w:rsidR="00626350">
        <w:t>)</w:t>
      </w:r>
      <w:r w:rsidR="007407E7">
        <w:t xml:space="preserve">, </w:t>
      </w:r>
      <w:r w:rsidR="00E95838">
        <w:t xml:space="preserve">Bogura municipality mayor, councilors and officials. The </w:t>
      </w:r>
      <w:r w:rsidR="007407E7">
        <w:t>second</w:t>
      </w:r>
      <w:r w:rsidR="00E95838">
        <w:t xml:space="preserve"> step was to present</w:t>
      </w:r>
      <w:r w:rsidR="003E09FE">
        <w:t xml:space="preserve"> the </w:t>
      </w:r>
      <w:r w:rsidR="00976CCB">
        <w:t xml:space="preserve">summary of </w:t>
      </w:r>
      <w:r w:rsidR="003E09FE">
        <w:t xml:space="preserve">these </w:t>
      </w:r>
      <w:r w:rsidR="00E9778D">
        <w:t xml:space="preserve">validation workshops </w:t>
      </w:r>
      <w:r w:rsidR="003E09FE">
        <w:t xml:space="preserve">to all the relevant local stakeholders </w:t>
      </w:r>
      <w:r w:rsidR="00CD3B71">
        <w:t xml:space="preserve">to plan a joint action plan. </w:t>
      </w:r>
      <w:r w:rsidR="0099022E">
        <w:t>At the end of the REA exercise the project and the stakeholders have jointly shortlisted 9 quick wins</w:t>
      </w:r>
      <w:r w:rsidR="008B781B">
        <w:t xml:space="preserve"> and identified who can lead these quick win activities in next 3 to 6 months</w:t>
      </w:r>
      <w:r w:rsidR="008D1C34">
        <w:rPr>
          <w:rStyle w:val="FootnoteReference"/>
        </w:rPr>
        <w:footnoteReference w:id="7"/>
      </w:r>
      <w:r w:rsidR="008B781B">
        <w:t>.</w:t>
      </w:r>
    </w:p>
    <w:p w14:paraId="21F3446E" w14:textId="644F5C33" w:rsidR="00C45134" w:rsidRDefault="00D47F71" w:rsidP="00721E5B">
      <w:pPr>
        <w:pStyle w:val="Heading2"/>
        <w:numPr>
          <w:ilvl w:val="0"/>
          <w:numId w:val="1"/>
        </w:numPr>
      </w:pPr>
      <w:r>
        <w:t>Objective of the Market Study</w:t>
      </w:r>
    </w:p>
    <w:p w14:paraId="17564601" w14:textId="1A206B66" w:rsidR="00721E5B" w:rsidRDefault="00721E5B" w:rsidP="00721E5B">
      <w:r>
        <w:t xml:space="preserve">One of the key quick wins identified in the REA exercise is </w:t>
      </w:r>
      <w:r w:rsidRPr="00721E5B">
        <w:rPr>
          <w:i/>
          <w:iCs/>
        </w:rPr>
        <w:t>conducting a market study</w:t>
      </w:r>
      <w:r>
        <w:t xml:space="preserve"> </w:t>
      </w:r>
      <w:r w:rsidRPr="00721E5B">
        <w:rPr>
          <w:i/>
          <w:iCs/>
        </w:rPr>
        <w:t xml:space="preserve">on improved capital machineries and technology in capital machineries available </w:t>
      </w:r>
      <w:r>
        <w:t xml:space="preserve">globally that can contribute to the increased productivity and the efficiency of the LE enterprise. The </w:t>
      </w:r>
      <w:r w:rsidR="001B65B2">
        <w:t>long-term</w:t>
      </w:r>
      <w:r>
        <w:t xml:space="preserve"> intervention area identified is </w:t>
      </w:r>
      <w:r w:rsidRPr="00721E5B">
        <w:rPr>
          <w:i/>
          <w:iCs/>
        </w:rPr>
        <w:t>building strong B2B linkage between suppliers/manufacturers of these capital machineries and the LE enterprises</w:t>
      </w:r>
      <w:r>
        <w:t xml:space="preserve"> to ensure access and sustainable availability of these capital machineries. Hence the proposed intervention here is </w:t>
      </w:r>
      <w:r w:rsidRPr="00721E5B">
        <w:rPr>
          <w:i/>
          <w:iCs/>
        </w:rPr>
        <w:t xml:space="preserve">“Supporting MSMEs of </w:t>
      </w:r>
      <w:proofErr w:type="spellStart"/>
      <w:r w:rsidRPr="00721E5B">
        <w:rPr>
          <w:i/>
          <w:iCs/>
        </w:rPr>
        <w:t>Bogura</w:t>
      </w:r>
      <w:proofErr w:type="spellEnd"/>
      <w:r w:rsidRPr="00721E5B">
        <w:rPr>
          <w:i/>
          <w:iCs/>
        </w:rPr>
        <w:t xml:space="preserve"> Light Engineering Sector in Identifying and Accessing Improved Capital Machineries/Technology for Increased Productivity”</w:t>
      </w:r>
      <w:r>
        <w:t xml:space="preserve">. </w:t>
      </w:r>
    </w:p>
    <w:p w14:paraId="7081C212" w14:textId="3C06DE20" w:rsidR="00D47F71" w:rsidRDefault="00D47F71" w:rsidP="002A1A59">
      <w:r w:rsidRPr="00D47F71">
        <w:t xml:space="preserve">The objective of the market study is to understand and identify what are the improved capital machineries that are required for the LE enterprises based on the products they manufacture, identify the sources of improved capital machineries that can be accessed by the LE enterprises. </w:t>
      </w:r>
      <w:r w:rsidRPr="00D47F71">
        <w:rPr>
          <w:u w:val="single"/>
        </w:rPr>
        <w:t>The study will be focused on the LE enterprises in Bogura</w:t>
      </w:r>
      <w:r w:rsidRPr="00D47F71">
        <w:t>.</w:t>
      </w:r>
    </w:p>
    <w:p w14:paraId="210D746E" w14:textId="48054261" w:rsidR="004424D6" w:rsidRDefault="004424D6" w:rsidP="004424D6">
      <w:pPr>
        <w:pStyle w:val="Heading2"/>
        <w:numPr>
          <w:ilvl w:val="0"/>
          <w:numId w:val="1"/>
        </w:numPr>
      </w:pPr>
      <w:r>
        <w:lastRenderedPageBreak/>
        <w:t>Scope of the Assignment</w:t>
      </w:r>
    </w:p>
    <w:p w14:paraId="534FDE82" w14:textId="3146F756" w:rsidR="001041CB" w:rsidRDefault="001A0022" w:rsidP="00BD6D02">
      <w:pPr>
        <w:pStyle w:val="Heading3"/>
        <w:numPr>
          <w:ilvl w:val="1"/>
          <w:numId w:val="1"/>
        </w:numPr>
      </w:pPr>
      <w:r>
        <w:t xml:space="preserve">Stocktaking </w:t>
      </w:r>
      <w:r w:rsidR="00B4506F">
        <w:t>and categorizing</w:t>
      </w:r>
    </w:p>
    <w:p w14:paraId="7CD8F900" w14:textId="75960C36" w:rsidR="00F17E8F" w:rsidRDefault="00C163AD" w:rsidP="00BD6D02">
      <w:pPr>
        <w:pStyle w:val="ListParagraph"/>
        <w:numPr>
          <w:ilvl w:val="0"/>
          <w:numId w:val="4"/>
        </w:numPr>
        <w:spacing w:after="0"/>
      </w:pPr>
      <w:r>
        <w:t xml:space="preserve">Start with identifying </w:t>
      </w:r>
      <w:r w:rsidR="001A0022">
        <w:t xml:space="preserve">different types of enterprise in </w:t>
      </w:r>
      <w:r>
        <w:t>this</w:t>
      </w:r>
      <w:r w:rsidR="001A0022">
        <w:t xml:space="preserve"> sector based on </w:t>
      </w:r>
      <w:r>
        <w:t xml:space="preserve">the </w:t>
      </w:r>
      <w:r w:rsidR="001A0022">
        <w:t>product</w:t>
      </w:r>
      <w:r>
        <w:t>s</w:t>
      </w:r>
      <w:r w:rsidR="001A0022">
        <w:t xml:space="preserve"> they </w:t>
      </w:r>
      <w:r>
        <w:t xml:space="preserve">manufacture. The initial discussion has </w:t>
      </w:r>
      <w:r w:rsidR="001041CB">
        <w:t xml:space="preserve">provided with a list of top products Bogura </w:t>
      </w:r>
      <w:r w:rsidR="00065A00">
        <w:t xml:space="preserve">LE enterprises manufacture which include tube well, power tillers parts, combine harvester parts, cereal threshers parts, power reaper parts, piston line, </w:t>
      </w:r>
      <w:r w:rsidR="00C05CD9">
        <w:t xml:space="preserve">engine fans, </w:t>
      </w:r>
      <w:r w:rsidR="00F17E8F">
        <w:t>w</w:t>
      </w:r>
      <w:r w:rsidR="00065A00">
        <w:t>heel alloy</w:t>
      </w:r>
      <w:r w:rsidR="00F17E8F">
        <w:t xml:space="preserve"> and a</w:t>
      </w:r>
      <w:r w:rsidR="00065A00">
        <w:t>utomobile parts (brake drum, fuel filter, etc.)</w:t>
      </w:r>
      <w:r w:rsidR="00F17E8F">
        <w:t>. This list also needs further validation to finalize.</w:t>
      </w:r>
    </w:p>
    <w:p w14:paraId="0368F54A" w14:textId="4923C31F" w:rsidR="001A0022" w:rsidRDefault="00E029D3" w:rsidP="00EA4409">
      <w:pPr>
        <w:pStyle w:val="ListParagraph"/>
        <w:numPr>
          <w:ilvl w:val="0"/>
          <w:numId w:val="4"/>
        </w:numPr>
      </w:pPr>
      <w:r>
        <w:t>C</w:t>
      </w:r>
      <w:r w:rsidR="001A0022">
        <w:t>ategorizing th</w:t>
      </w:r>
      <w:r>
        <w:t>e</w:t>
      </w:r>
      <w:r w:rsidR="001A0022">
        <w:t xml:space="preserve"> enterprise based on the similarities of </w:t>
      </w:r>
      <w:r w:rsidR="00754DB2">
        <w:t xml:space="preserve">capital </w:t>
      </w:r>
      <w:r w:rsidR="001A0022">
        <w:t>machine</w:t>
      </w:r>
      <w:r w:rsidR="00754DB2">
        <w:t xml:space="preserve">ries </w:t>
      </w:r>
      <w:r w:rsidR="001A0022">
        <w:t xml:space="preserve">they are </w:t>
      </w:r>
      <w:r w:rsidR="00C1340F">
        <w:t>operating</w:t>
      </w:r>
      <w:r w:rsidR="002E42F0">
        <w:t>.</w:t>
      </w:r>
    </w:p>
    <w:p w14:paraId="05BAB32B" w14:textId="66783802" w:rsidR="002E42F0" w:rsidRDefault="002E42F0" w:rsidP="00EA4409">
      <w:pPr>
        <w:pStyle w:val="ListParagraph"/>
        <w:numPr>
          <w:ilvl w:val="0"/>
          <w:numId w:val="4"/>
        </w:numPr>
      </w:pPr>
      <w:r>
        <w:t>Information on the size and volume of the business to understand their investment capacity.</w:t>
      </w:r>
    </w:p>
    <w:p w14:paraId="7B9CD500" w14:textId="0A8B7144" w:rsidR="00464A0F" w:rsidRDefault="001A0022" w:rsidP="00EA4409">
      <w:pPr>
        <w:pStyle w:val="Heading3"/>
        <w:numPr>
          <w:ilvl w:val="1"/>
          <w:numId w:val="1"/>
        </w:numPr>
      </w:pPr>
      <w:r>
        <w:t>Identify</w:t>
      </w:r>
      <w:r w:rsidR="009113B7">
        <w:t xml:space="preserve"> and matching</w:t>
      </w:r>
    </w:p>
    <w:p w14:paraId="3537CAFB" w14:textId="77777777" w:rsidR="00723AB1" w:rsidRDefault="00464A0F" w:rsidP="00723AB1">
      <w:pPr>
        <w:pStyle w:val="ListParagraph"/>
        <w:numPr>
          <w:ilvl w:val="2"/>
          <w:numId w:val="4"/>
        </w:numPr>
        <w:ind w:left="709" w:hanging="425"/>
      </w:pPr>
      <w:r>
        <w:t xml:space="preserve">Identify what </w:t>
      </w:r>
      <w:r w:rsidR="00104462">
        <w:t xml:space="preserve">kind of developments or improvements have happened </w:t>
      </w:r>
      <w:r w:rsidR="00270084">
        <w:t xml:space="preserve">and are available </w:t>
      </w:r>
      <w:r w:rsidR="00104462">
        <w:t xml:space="preserve">in the space </w:t>
      </w:r>
      <w:r w:rsidR="00270084">
        <w:t xml:space="preserve">of </w:t>
      </w:r>
      <w:r w:rsidR="00104462">
        <w:t xml:space="preserve">LE </w:t>
      </w:r>
      <w:r w:rsidR="007114F0">
        <w:t xml:space="preserve">capital </w:t>
      </w:r>
      <w:r w:rsidR="00104462">
        <w:t>machineries and technologies</w:t>
      </w:r>
      <w:r w:rsidR="00270084">
        <w:t xml:space="preserve"> </w:t>
      </w:r>
      <w:r w:rsidR="00F70793">
        <w:t>in China</w:t>
      </w:r>
      <w:r w:rsidR="00270084">
        <w:t xml:space="preserve">. </w:t>
      </w:r>
      <w:r w:rsidR="00375C68">
        <w:t xml:space="preserve">Industry experts have mentioned major shifts have happened </w:t>
      </w:r>
      <w:r w:rsidR="00C56F58">
        <w:t xml:space="preserve">where </w:t>
      </w:r>
      <w:r w:rsidR="00251AA2" w:rsidRPr="00251AA2">
        <w:t>Computer Numerical Control (CNC)</w:t>
      </w:r>
      <w:r w:rsidR="00C56F58">
        <w:t xml:space="preserve"> lathe has replaced </w:t>
      </w:r>
      <w:r w:rsidR="00DC728A">
        <w:t xml:space="preserve">conventional or manual lathe, </w:t>
      </w:r>
      <w:r w:rsidR="00DB5273">
        <w:t>t</w:t>
      </w:r>
      <w:r w:rsidR="007D1C7D" w:rsidRPr="007D1C7D">
        <w:t>ungsten inert gas</w:t>
      </w:r>
      <w:r w:rsidR="00DB5273">
        <w:t xml:space="preserve"> (</w:t>
      </w:r>
      <w:r w:rsidR="00DB5273" w:rsidRPr="007D1C7D">
        <w:t>TIG</w:t>
      </w:r>
      <w:r w:rsidR="007D1C7D" w:rsidRPr="007D1C7D">
        <w:t>) and metal inert gas</w:t>
      </w:r>
      <w:r w:rsidR="00DB5273">
        <w:t xml:space="preserve"> (</w:t>
      </w:r>
      <w:r w:rsidR="00DB5273" w:rsidRPr="007D1C7D">
        <w:t>MIG</w:t>
      </w:r>
      <w:r w:rsidR="007D1C7D" w:rsidRPr="007D1C7D">
        <w:t xml:space="preserve">) </w:t>
      </w:r>
      <w:r w:rsidR="007D1C7D">
        <w:t>w</w:t>
      </w:r>
      <w:r w:rsidR="007D1C7D" w:rsidRPr="007D1C7D">
        <w:t>ielding</w:t>
      </w:r>
      <w:r w:rsidR="007D1C7D">
        <w:t xml:space="preserve"> have </w:t>
      </w:r>
      <w:r w:rsidR="004B2984">
        <w:t>replaced</w:t>
      </w:r>
      <w:r w:rsidR="007D1C7D">
        <w:t xml:space="preserve"> stick wielding and </w:t>
      </w:r>
      <w:r w:rsidR="00631BB8">
        <w:t xml:space="preserve">Vertical Machining Center (VMC) machine has replaced </w:t>
      </w:r>
      <w:r w:rsidR="00D73493">
        <w:t xml:space="preserve">conventional milling. </w:t>
      </w:r>
      <w:r w:rsidR="002D0B17">
        <w:t xml:space="preserve">The focus here is to identify the technologies and </w:t>
      </w:r>
      <w:r w:rsidR="007114F0">
        <w:t xml:space="preserve">capital </w:t>
      </w:r>
      <w:r w:rsidR="002D0B17">
        <w:t>machine</w:t>
      </w:r>
      <w:r w:rsidR="007114F0">
        <w:t>ries</w:t>
      </w:r>
      <w:r w:rsidR="002D0B17">
        <w:t xml:space="preserve"> that have been </w:t>
      </w:r>
      <w:r w:rsidR="00CA0183">
        <w:t>tested and in use, not the ones that are still in development stage.</w:t>
      </w:r>
      <w:r w:rsidR="000D5BA0">
        <w:t xml:space="preserve"> Then categorize them based on investments required for these improvements.</w:t>
      </w:r>
    </w:p>
    <w:p w14:paraId="11B17389" w14:textId="77777777" w:rsidR="00723AB1" w:rsidRDefault="007C4402" w:rsidP="00723AB1">
      <w:pPr>
        <w:pStyle w:val="ListParagraph"/>
        <w:numPr>
          <w:ilvl w:val="2"/>
          <w:numId w:val="4"/>
        </w:numPr>
        <w:ind w:left="709" w:hanging="425"/>
      </w:pPr>
      <w:r>
        <w:t>Now match th</w:t>
      </w:r>
      <w:r w:rsidR="00566AE2">
        <w:t xml:space="preserve">is categorization with the </w:t>
      </w:r>
      <w:r w:rsidR="00FF32EC">
        <w:t xml:space="preserve">types </w:t>
      </w:r>
      <w:r w:rsidR="00566AE2">
        <w:t xml:space="preserve">of enterprises </w:t>
      </w:r>
      <w:r w:rsidR="00FF32EC">
        <w:t>identified earlier and their investment capacity to determine what improvements are available for which enterprise</w:t>
      </w:r>
      <w:r w:rsidR="00CD5B32">
        <w:t>.</w:t>
      </w:r>
    </w:p>
    <w:p w14:paraId="511379A7" w14:textId="77777777" w:rsidR="00723AB1" w:rsidRDefault="00825D9D" w:rsidP="00723AB1">
      <w:pPr>
        <w:pStyle w:val="ListParagraph"/>
        <w:numPr>
          <w:ilvl w:val="2"/>
          <w:numId w:val="4"/>
        </w:numPr>
        <w:ind w:left="709" w:hanging="425"/>
      </w:pPr>
      <w:r>
        <w:t xml:space="preserve">Identify the manufacturers that are the best match </w:t>
      </w:r>
      <w:r w:rsidR="005608C4">
        <w:t>for supplying capital machiner</w:t>
      </w:r>
      <w:r w:rsidR="00C11377">
        <w:t xml:space="preserve">ies </w:t>
      </w:r>
      <w:r w:rsidR="005608C4">
        <w:t>as per the need of the LE enterprises</w:t>
      </w:r>
      <w:r w:rsidR="00C11377">
        <w:t>.</w:t>
      </w:r>
    </w:p>
    <w:p w14:paraId="04490E2F" w14:textId="77777777" w:rsidR="00135788" w:rsidRDefault="00D702EA" w:rsidP="00723AB1">
      <w:pPr>
        <w:pStyle w:val="ListParagraph"/>
        <w:numPr>
          <w:ilvl w:val="2"/>
          <w:numId w:val="4"/>
        </w:numPr>
        <w:ind w:left="709" w:hanging="425"/>
      </w:pPr>
      <w:r>
        <w:t xml:space="preserve">At this stage a comparison </w:t>
      </w:r>
      <w:r w:rsidR="007005C1">
        <w:t>will</w:t>
      </w:r>
      <w:r>
        <w:t xml:space="preserve"> be done between capital machineries that can be locally produced and that would be imported</w:t>
      </w:r>
      <w:r w:rsidR="007005C1">
        <w:t xml:space="preserve"> from </w:t>
      </w:r>
      <w:r w:rsidR="00135788" w:rsidRPr="00C93566">
        <w:t>international sources (</w:t>
      </w:r>
      <w:r w:rsidR="00107946" w:rsidRPr="00C93566">
        <w:t xml:space="preserve">India or </w:t>
      </w:r>
      <w:r w:rsidR="007005C1" w:rsidRPr="00C93566">
        <w:t>China</w:t>
      </w:r>
      <w:r w:rsidR="00135788" w:rsidRPr="00C93566">
        <w:t xml:space="preserve"> </w:t>
      </w:r>
      <w:proofErr w:type="spellStart"/>
      <w:r w:rsidR="00135788" w:rsidRPr="00C93566">
        <w:t>etc</w:t>
      </w:r>
      <w:proofErr w:type="spellEnd"/>
      <w:r w:rsidR="00135788" w:rsidRPr="00C93566">
        <w:t>). Comparison to be done</w:t>
      </w:r>
      <w:r w:rsidR="00135788">
        <w:t xml:space="preserve"> in terms of quality, functions, production and operational efficiency, cost efficiency. </w:t>
      </w:r>
    </w:p>
    <w:p w14:paraId="4765D91E" w14:textId="26B05A10" w:rsidR="00D702EA" w:rsidRDefault="00C93566" w:rsidP="00723AB1">
      <w:pPr>
        <w:pStyle w:val="ListParagraph"/>
        <w:numPr>
          <w:ilvl w:val="2"/>
          <w:numId w:val="4"/>
        </w:numPr>
        <w:ind w:left="709" w:hanging="425"/>
      </w:pPr>
      <w:r>
        <w:t>Assess whether manufacturing capital machinery locally would be commercially viable. If viable, what type of enterprises would qualify for initiating such production</w:t>
      </w:r>
      <w:r w:rsidR="00D702EA">
        <w:t>.</w:t>
      </w:r>
    </w:p>
    <w:p w14:paraId="5864E908" w14:textId="03A6CE5A" w:rsidR="00723AB1" w:rsidRPr="00723AB1" w:rsidRDefault="00723AB1" w:rsidP="00723AB1">
      <w:pPr>
        <w:pStyle w:val="ListParagraph"/>
        <w:numPr>
          <w:ilvl w:val="1"/>
          <w:numId w:val="1"/>
        </w:numPr>
        <w:rPr>
          <w:rFonts w:eastAsiaTheme="majorEastAsia" w:cstheme="majorBidi"/>
          <w:b/>
          <w:sz w:val="24"/>
          <w:szCs w:val="24"/>
        </w:rPr>
      </w:pPr>
      <w:r w:rsidRPr="00723AB1">
        <w:rPr>
          <w:rFonts w:eastAsiaTheme="majorEastAsia" w:cstheme="majorBidi"/>
          <w:b/>
          <w:sz w:val="24"/>
          <w:szCs w:val="24"/>
        </w:rPr>
        <w:t xml:space="preserve">Explore options for exposure visit to international markets </w:t>
      </w:r>
    </w:p>
    <w:p w14:paraId="0D212F00" w14:textId="33710CF3" w:rsidR="00723AB1" w:rsidRDefault="00723AB1" w:rsidP="00723AB1">
      <w:pPr>
        <w:pStyle w:val="ListParagraph"/>
        <w:numPr>
          <w:ilvl w:val="0"/>
          <w:numId w:val="19"/>
        </w:numPr>
        <w:ind w:left="709" w:hanging="567"/>
        <w:rPr>
          <w:rFonts w:eastAsiaTheme="majorEastAsia" w:cstheme="majorBidi"/>
          <w:bCs/>
        </w:rPr>
      </w:pPr>
      <w:r>
        <w:rPr>
          <w:rFonts w:eastAsiaTheme="majorEastAsia" w:cstheme="majorBidi"/>
          <w:bCs/>
        </w:rPr>
        <w:t xml:space="preserve">Explore manufacturers of capital machinery in international markets relevant for the Light Engineering sector of </w:t>
      </w:r>
      <w:proofErr w:type="spellStart"/>
      <w:r>
        <w:rPr>
          <w:rFonts w:eastAsiaTheme="majorEastAsia" w:cstheme="majorBidi"/>
          <w:bCs/>
        </w:rPr>
        <w:t>Bogura</w:t>
      </w:r>
      <w:proofErr w:type="spellEnd"/>
      <w:r w:rsidR="001B65B2">
        <w:rPr>
          <w:rFonts w:eastAsiaTheme="majorEastAsia" w:cstheme="majorBidi"/>
          <w:bCs/>
        </w:rPr>
        <w:t xml:space="preserve"> (and other LE clusters). </w:t>
      </w:r>
    </w:p>
    <w:p w14:paraId="726BE8B7" w14:textId="1D1346DA" w:rsidR="00723AB1" w:rsidRDefault="00723AB1" w:rsidP="00723AB1">
      <w:pPr>
        <w:pStyle w:val="ListParagraph"/>
        <w:numPr>
          <w:ilvl w:val="0"/>
          <w:numId w:val="19"/>
        </w:numPr>
        <w:ind w:left="709" w:hanging="567"/>
        <w:rPr>
          <w:rFonts w:eastAsiaTheme="majorEastAsia" w:cstheme="majorBidi"/>
          <w:bCs/>
        </w:rPr>
      </w:pPr>
      <w:r>
        <w:rPr>
          <w:rFonts w:eastAsiaTheme="majorEastAsia" w:cstheme="majorBidi"/>
          <w:bCs/>
        </w:rPr>
        <w:t>Explore feasibility of exposure visit to international markets and provide detailed scope of work and expected knowledge transfer and key learning area (expected output) from such exposure visit.</w:t>
      </w:r>
      <w:r w:rsidR="00135788">
        <w:rPr>
          <w:rFonts w:eastAsiaTheme="majorEastAsia" w:cstheme="majorBidi"/>
          <w:bCs/>
        </w:rPr>
        <w:t xml:space="preserve"> The exposure visit may include visit production and display facility to individual enterprises and/or upcoming exhibitions in 2023. </w:t>
      </w:r>
    </w:p>
    <w:p w14:paraId="514D5B3E" w14:textId="7734C526" w:rsidR="00723AB1" w:rsidRDefault="00135788" w:rsidP="00723AB1">
      <w:pPr>
        <w:pStyle w:val="ListParagraph"/>
        <w:numPr>
          <w:ilvl w:val="0"/>
          <w:numId w:val="19"/>
        </w:numPr>
        <w:ind w:left="709" w:hanging="567"/>
        <w:rPr>
          <w:rFonts w:eastAsiaTheme="majorEastAsia" w:cstheme="majorBidi"/>
          <w:bCs/>
        </w:rPr>
      </w:pPr>
      <w:r>
        <w:rPr>
          <w:rFonts w:eastAsiaTheme="majorEastAsia" w:cstheme="majorBidi"/>
          <w:bCs/>
        </w:rPr>
        <w:t xml:space="preserve">Establish communication with the selected manufacturers internationally to arrange meetings with LE enterprises.  </w:t>
      </w:r>
      <w:r w:rsidR="00723AB1">
        <w:rPr>
          <w:rFonts w:eastAsiaTheme="majorEastAsia" w:cstheme="majorBidi"/>
          <w:bCs/>
        </w:rPr>
        <w:t xml:space="preserve"> </w:t>
      </w:r>
    </w:p>
    <w:p w14:paraId="3E7C3B71" w14:textId="4123E597" w:rsidR="00135788" w:rsidRDefault="00135788" w:rsidP="00723AB1">
      <w:pPr>
        <w:pStyle w:val="ListParagraph"/>
        <w:numPr>
          <w:ilvl w:val="0"/>
          <w:numId w:val="19"/>
        </w:numPr>
        <w:ind w:left="709" w:hanging="567"/>
        <w:rPr>
          <w:rFonts w:eastAsiaTheme="majorEastAsia" w:cstheme="majorBidi"/>
          <w:bCs/>
        </w:rPr>
      </w:pPr>
      <w:r>
        <w:rPr>
          <w:rFonts w:eastAsiaTheme="majorEastAsia" w:cstheme="majorBidi"/>
          <w:bCs/>
        </w:rPr>
        <w:t xml:space="preserve">Suggest criteria for LE workshops and enterprises appropriate to be nominated for such exposure visits. </w:t>
      </w:r>
    </w:p>
    <w:p w14:paraId="192BAFBE" w14:textId="59BCF7AF" w:rsidR="00135788" w:rsidRPr="00723AB1" w:rsidRDefault="00135788" w:rsidP="00723AB1">
      <w:pPr>
        <w:pStyle w:val="ListParagraph"/>
        <w:numPr>
          <w:ilvl w:val="0"/>
          <w:numId w:val="19"/>
        </w:numPr>
        <w:ind w:left="709" w:hanging="567"/>
        <w:rPr>
          <w:rFonts w:eastAsiaTheme="majorEastAsia" w:cstheme="majorBidi"/>
          <w:bCs/>
        </w:rPr>
      </w:pPr>
      <w:r>
        <w:rPr>
          <w:rFonts w:eastAsiaTheme="majorEastAsia" w:cstheme="majorBidi"/>
          <w:bCs/>
        </w:rPr>
        <w:t xml:space="preserve">Suggest visit plan with key contents for such exposure visit. </w:t>
      </w:r>
    </w:p>
    <w:p w14:paraId="14602A89" w14:textId="6F0D244A" w:rsidR="00B63D47" w:rsidRDefault="004424D6" w:rsidP="004424D6">
      <w:pPr>
        <w:pStyle w:val="Heading2"/>
        <w:numPr>
          <w:ilvl w:val="0"/>
          <w:numId w:val="1"/>
        </w:numPr>
      </w:pPr>
      <w:r>
        <w:t>Roles and R</w:t>
      </w:r>
      <w:r w:rsidR="00760720">
        <w:t>e</w:t>
      </w:r>
      <w:r>
        <w:t>sponsibi</w:t>
      </w:r>
      <w:r w:rsidR="00760720">
        <w:t>lities</w:t>
      </w:r>
    </w:p>
    <w:p w14:paraId="423FC632" w14:textId="154B59D4" w:rsidR="00760720" w:rsidRDefault="00760720" w:rsidP="00760720">
      <w:pPr>
        <w:pStyle w:val="Heading3"/>
        <w:numPr>
          <w:ilvl w:val="1"/>
          <w:numId w:val="1"/>
        </w:numPr>
      </w:pPr>
      <w:r>
        <w:t>Consultant(s)</w:t>
      </w:r>
      <w:r w:rsidR="00721E5B">
        <w:t xml:space="preserve">/ Organization </w:t>
      </w:r>
    </w:p>
    <w:p w14:paraId="07A695E6" w14:textId="2256C741" w:rsidR="0096097A" w:rsidRDefault="00D82D3B" w:rsidP="003064AB">
      <w:pPr>
        <w:pStyle w:val="ListParagraph"/>
        <w:numPr>
          <w:ilvl w:val="0"/>
          <w:numId w:val="15"/>
        </w:numPr>
      </w:pPr>
      <w:r>
        <w:t xml:space="preserve">Conduct necessary secondary research and literature review for the market </w:t>
      </w:r>
      <w:proofErr w:type="gramStart"/>
      <w:r>
        <w:t>study</w:t>
      </w:r>
      <w:r w:rsidR="00C93566">
        <w:t>;</w:t>
      </w:r>
      <w:proofErr w:type="gramEnd"/>
    </w:p>
    <w:p w14:paraId="63488423" w14:textId="496ED47B" w:rsidR="003064AB" w:rsidRDefault="00235097" w:rsidP="003064AB">
      <w:pPr>
        <w:pStyle w:val="ListParagraph"/>
        <w:numPr>
          <w:ilvl w:val="0"/>
          <w:numId w:val="15"/>
        </w:numPr>
      </w:pPr>
      <w:r>
        <w:t>Develop a</w:t>
      </w:r>
      <w:r w:rsidR="00160E9B">
        <w:t xml:space="preserve"> </w:t>
      </w:r>
      <w:r w:rsidR="00D82D3B">
        <w:t xml:space="preserve">field </w:t>
      </w:r>
      <w:r w:rsidR="00160E9B">
        <w:t xml:space="preserve">research plan </w:t>
      </w:r>
      <w:r w:rsidR="003064AB">
        <w:t xml:space="preserve">for the market </w:t>
      </w:r>
      <w:proofErr w:type="gramStart"/>
      <w:r w:rsidR="00D82D3B">
        <w:t>study</w:t>
      </w:r>
      <w:r w:rsidR="00C93566">
        <w:t>;</w:t>
      </w:r>
      <w:proofErr w:type="gramEnd"/>
    </w:p>
    <w:p w14:paraId="3FDA7737" w14:textId="205CF593" w:rsidR="002F62E1" w:rsidRDefault="002F62E1" w:rsidP="00235097">
      <w:pPr>
        <w:pStyle w:val="ListParagraph"/>
        <w:numPr>
          <w:ilvl w:val="0"/>
          <w:numId w:val="15"/>
        </w:numPr>
      </w:pPr>
      <w:r>
        <w:t>S</w:t>
      </w:r>
      <w:r w:rsidR="0096097A">
        <w:t xml:space="preserve">hare the research plan with PRABRIDDHI for </w:t>
      </w:r>
      <w:proofErr w:type="gramStart"/>
      <w:r w:rsidR="0096097A">
        <w:t>approva</w:t>
      </w:r>
      <w:r w:rsidR="00C93566">
        <w:t>l;</w:t>
      </w:r>
      <w:proofErr w:type="gramEnd"/>
    </w:p>
    <w:p w14:paraId="2BFF6A8A" w14:textId="7619D7D1" w:rsidR="0096097A" w:rsidRDefault="00D93683" w:rsidP="00235097">
      <w:pPr>
        <w:pStyle w:val="ListParagraph"/>
        <w:numPr>
          <w:ilvl w:val="0"/>
          <w:numId w:val="15"/>
        </w:numPr>
      </w:pPr>
      <w:r>
        <w:t>Recruit</w:t>
      </w:r>
      <w:r w:rsidR="008A6083">
        <w:t xml:space="preserve"> or organize </w:t>
      </w:r>
      <w:r>
        <w:t xml:space="preserve">field </w:t>
      </w:r>
      <w:r w:rsidR="008A6083">
        <w:t xml:space="preserve">research team for the </w:t>
      </w:r>
      <w:proofErr w:type="gramStart"/>
      <w:r w:rsidR="008A6083">
        <w:t>study</w:t>
      </w:r>
      <w:r w:rsidR="00C93566">
        <w:t>;</w:t>
      </w:r>
      <w:proofErr w:type="gramEnd"/>
    </w:p>
    <w:p w14:paraId="04AF657F" w14:textId="44E3A22B" w:rsidR="00AC009A" w:rsidRDefault="00AC009A" w:rsidP="00235097">
      <w:pPr>
        <w:pStyle w:val="ListParagraph"/>
        <w:numPr>
          <w:ilvl w:val="0"/>
          <w:numId w:val="15"/>
        </w:numPr>
      </w:pPr>
      <w:r>
        <w:t xml:space="preserve">Roll out field team for data </w:t>
      </w:r>
      <w:proofErr w:type="gramStart"/>
      <w:r>
        <w:t>collection</w:t>
      </w:r>
      <w:r w:rsidR="00C93566">
        <w:t>;</w:t>
      </w:r>
      <w:proofErr w:type="gramEnd"/>
    </w:p>
    <w:p w14:paraId="05420D69" w14:textId="4FC2669E" w:rsidR="002F62E1" w:rsidRDefault="00AC009A" w:rsidP="00235097">
      <w:pPr>
        <w:pStyle w:val="ListParagraph"/>
        <w:numPr>
          <w:ilvl w:val="0"/>
          <w:numId w:val="15"/>
        </w:numPr>
      </w:pPr>
      <w:r>
        <w:t>Develop data entry templates</w:t>
      </w:r>
      <w:r w:rsidR="00E66224">
        <w:t xml:space="preserve">, conduct data entry and </w:t>
      </w:r>
      <w:proofErr w:type="gramStart"/>
      <w:r w:rsidR="00E66224">
        <w:t>a</w:t>
      </w:r>
      <w:r w:rsidR="00510930">
        <w:t>nalysis</w:t>
      </w:r>
      <w:r w:rsidR="00C93566">
        <w:t>;</w:t>
      </w:r>
      <w:proofErr w:type="gramEnd"/>
    </w:p>
    <w:p w14:paraId="7129B6BA" w14:textId="2534F5BA" w:rsidR="00510930" w:rsidRDefault="00E66224" w:rsidP="00235097">
      <w:pPr>
        <w:pStyle w:val="ListParagraph"/>
        <w:numPr>
          <w:ilvl w:val="0"/>
          <w:numId w:val="15"/>
        </w:numPr>
      </w:pPr>
      <w:r>
        <w:lastRenderedPageBreak/>
        <w:t xml:space="preserve">Develop draft report and share with PRABRIDDHI for </w:t>
      </w:r>
      <w:proofErr w:type="gramStart"/>
      <w:r>
        <w:t>feedback</w:t>
      </w:r>
      <w:r w:rsidR="00C93566">
        <w:t>;</w:t>
      </w:r>
      <w:proofErr w:type="gramEnd"/>
    </w:p>
    <w:p w14:paraId="55075211" w14:textId="1BE7C172" w:rsidR="00510930" w:rsidRDefault="00510930" w:rsidP="00235097">
      <w:pPr>
        <w:pStyle w:val="ListParagraph"/>
        <w:numPr>
          <w:ilvl w:val="0"/>
          <w:numId w:val="15"/>
        </w:numPr>
      </w:pPr>
      <w:r>
        <w:t>F</w:t>
      </w:r>
      <w:r w:rsidR="00E66224">
        <w:t xml:space="preserve">inalize the report incorporating the feedback from </w:t>
      </w:r>
      <w:proofErr w:type="gramStart"/>
      <w:r w:rsidR="00E66224">
        <w:t>PRABRIDDHI</w:t>
      </w:r>
      <w:r w:rsidR="00C93566">
        <w:t>;</w:t>
      </w:r>
      <w:proofErr w:type="gramEnd"/>
    </w:p>
    <w:p w14:paraId="1C0682EB" w14:textId="0B3A9641" w:rsidR="00C853B5" w:rsidRDefault="005937CE" w:rsidP="00C9072F">
      <w:pPr>
        <w:pStyle w:val="Heading3"/>
        <w:numPr>
          <w:ilvl w:val="1"/>
          <w:numId w:val="1"/>
        </w:numPr>
      </w:pPr>
      <w:r>
        <w:t>PRABRIDDHI</w:t>
      </w:r>
    </w:p>
    <w:p w14:paraId="3DD760EA" w14:textId="5A211314" w:rsidR="005937CE" w:rsidRPr="003064AB" w:rsidRDefault="005937CE" w:rsidP="00D34B28">
      <w:pPr>
        <w:pStyle w:val="ListParagraph"/>
        <w:numPr>
          <w:ilvl w:val="0"/>
          <w:numId w:val="14"/>
        </w:numPr>
      </w:pPr>
      <w:r w:rsidRPr="003064AB">
        <w:t xml:space="preserve">Kick-off meeting to discuss details of the scope of this assignment and sign-off final </w:t>
      </w:r>
      <w:r w:rsidR="00332CC7">
        <w:t xml:space="preserve">research </w:t>
      </w:r>
      <w:proofErr w:type="gramStart"/>
      <w:r w:rsidRPr="003064AB">
        <w:t>plan</w:t>
      </w:r>
      <w:r w:rsidR="00C93566">
        <w:t>;</w:t>
      </w:r>
      <w:proofErr w:type="gramEnd"/>
    </w:p>
    <w:p w14:paraId="07C7D0E8" w14:textId="77777777" w:rsidR="00C93566" w:rsidRDefault="005937CE" w:rsidP="00D34B28">
      <w:pPr>
        <w:pStyle w:val="ListParagraph"/>
        <w:numPr>
          <w:ilvl w:val="0"/>
          <w:numId w:val="14"/>
        </w:numPr>
      </w:pPr>
      <w:r w:rsidRPr="003064AB">
        <w:t xml:space="preserve">Provide necessary contacts and introduction with the relevant </w:t>
      </w:r>
      <w:proofErr w:type="gramStart"/>
      <w:r w:rsidRPr="003064AB">
        <w:t>stakeholder</w:t>
      </w:r>
      <w:r w:rsidR="00C93566">
        <w:t>s;</w:t>
      </w:r>
      <w:proofErr w:type="gramEnd"/>
    </w:p>
    <w:p w14:paraId="0AADD02C" w14:textId="5A97F977" w:rsidR="005937CE" w:rsidRPr="003064AB" w:rsidRDefault="00C93566" w:rsidP="00D34B28">
      <w:pPr>
        <w:pStyle w:val="ListParagraph"/>
        <w:numPr>
          <w:ilvl w:val="0"/>
          <w:numId w:val="14"/>
        </w:numPr>
      </w:pPr>
      <w:r>
        <w:t xml:space="preserve">Share relevant </w:t>
      </w:r>
      <w:proofErr w:type="gramStart"/>
      <w:r>
        <w:t>documents;</w:t>
      </w:r>
      <w:proofErr w:type="gramEnd"/>
    </w:p>
    <w:p w14:paraId="1910F83D" w14:textId="6712AF06" w:rsidR="005937CE" w:rsidRDefault="00C93566" w:rsidP="00D34B28">
      <w:pPr>
        <w:pStyle w:val="ListParagraph"/>
        <w:numPr>
          <w:ilvl w:val="0"/>
          <w:numId w:val="14"/>
        </w:numPr>
      </w:pPr>
      <w:r>
        <w:t>Monitoring and p</w:t>
      </w:r>
      <w:r w:rsidR="005937CE" w:rsidRPr="003064AB">
        <w:t>articipat</w:t>
      </w:r>
      <w:r>
        <w:t>ion</w:t>
      </w:r>
      <w:r w:rsidR="005937CE" w:rsidRPr="003064AB">
        <w:t xml:space="preserve"> in periodic </w:t>
      </w:r>
      <w:r w:rsidR="00C0187D">
        <w:t xml:space="preserve">supervision in field data </w:t>
      </w:r>
      <w:proofErr w:type="gramStart"/>
      <w:r w:rsidR="00C0187D">
        <w:t>collection</w:t>
      </w:r>
      <w:r>
        <w:t>;</w:t>
      </w:r>
      <w:proofErr w:type="gramEnd"/>
    </w:p>
    <w:p w14:paraId="79E7E920" w14:textId="2977960F" w:rsidR="00C0187D" w:rsidRPr="003064AB" w:rsidRDefault="00C0187D" w:rsidP="00D34B28">
      <w:pPr>
        <w:pStyle w:val="ListParagraph"/>
        <w:numPr>
          <w:ilvl w:val="0"/>
          <w:numId w:val="14"/>
        </w:numPr>
      </w:pPr>
      <w:r>
        <w:t xml:space="preserve">Provide feedback </w:t>
      </w:r>
      <w:r w:rsidR="008D2CB6">
        <w:t>into draft report for finalization.</w:t>
      </w:r>
    </w:p>
    <w:p w14:paraId="3B7D56BF" w14:textId="071E7AF4" w:rsidR="00D77579" w:rsidRDefault="000273CF" w:rsidP="00457569">
      <w:pPr>
        <w:pStyle w:val="Heading2"/>
        <w:numPr>
          <w:ilvl w:val="0"/>
          <w:numId w:val="1"/>
        </w:numPr>
      </w:pPr>
      <w:r>
        <w:t>Team Composition and Key Requirements</w:t>
      </w:r>
    </w:p>
    <w:p w14:paraId="28E79E91" w14:textId="6A369ACD" w:rsidR="000273CF" w:rsidRDefault="008D2CB6" w:rsidP="000273CF">
      <w:r>
        <w:t xml:space="preserve">The research team </w:t>
      </w:r>
      <w:r w:rsidR="00510108">
        <w:t>should include team members with following key expertise:</w:t>
      </w:r>
    </w:p>
    <w:p w14:paraId="4BDD8BA7" w14:textId="61D9BE8B" w:rsidR="00510108" w:rsidRDefault="00510108" w:rsidP="00510108">
      <w:pPr>
        <w:pStyle w:val="ListParagraph"/>
        <w:numPr>
          <w:ilvl w:val="0"/>
          <w:numId w:val="16"/>
        </w:numPr>
      </w:pPr>
      <w:r w:rsidRPr="005A2E7D">
        <w:rPr>
          <w:b/>
          <w:bCs/>
        </w:rPr>
        <w:t>Technical Expert</w:t>
      </w:r>
      <w:r>
        <w:t xml:space="preserve"> with </w:t>
      </w:r>
      <w:r w:rsidR="00D97F5C">
        <w:t xml:space="preserve">sound </w:t>
      </w:r>
      <w:r>
        <w:t>understanding</w:t>
      </w:r>
      <w:r w:rsidR="002A3ADC">
        <w:t xml:space="preserve"> or subject matter specialization on </w:t>
      </w:r>
      <w:r>
        <w:t xml:space="preserve">the </w:t>
      </w:r>
      <w:r w:rsidR="00D97F5C">
        <w:t xml:space="preserve">capital machineries used in light engineering enterprises based on different products they produce, </w:t>
      </w:r>
      <w:r w:rsidR="002A3ADC">
        <w:t>historical development of the technology in these machineries and current trends.</w:t>
      </w:r>
    </w:p>
    <w:p w14:paraId="796FBB73" w14:textId="4D8511AC" w:rsidR="002A3ADC" w:rsidRPr="000273CF" w:rsidRDefault="002A3ADC" w:rsidP="00510108">
      <w:pPr>
        <w:pStyle w:val="ListParagraph"/>
        <w:numPr>
          <w:ilvl w:val="0"/>
          <w:numId w:val="16"/>
        </w:numPr>
      </w:pPr>
      <w:r w:rsidRPr="005A2E7D">
        <w:rPr>
          <w:b/>
          <w:bCs/>
        </w:rPr>
        <w:t>Market Expert</w:t>
      </w:r>
      <w:r>
        <w:t xml:space="preserve"> with </w:t>
      </w:r>
      <w:r w:rsidR="00EB70BF">
        <w:t xml:space="preserve">deep understanding of the global capital machineries market, manufacturers, export/import, rules and regulation relevant to </w:t>
      </w:r>
      <w:r w:rsidR="00C637DF">
        <w:t xml:space="preserve">manufacturing countries, and capacities to establish communication </w:t>
      </w:r>
      <w:r w:rsidR="00FC3D5F">
        <w:t xml:space="preserve">and </w:t>
      </w:r>
      <w:r w:rsidR="00C637DF">
        <w:t xml:space="preserve">collect crucial information from </w:t>
      </w:r>
      <w:r w:rsidR="00FC3D5F">
        <w:t>these manufacturers remotely.</w:t>
      </w:r>
    </w:p>
    <w:p w14:paraId="5275C41D" w14:textId="195FD0E6" w:rsidR="00D77579" w:rsidRDefault="000273CF" w:rsidP="000273CF">
      <w:pPr>
        <w:pStyle w:val="Heading3"/>
        <w:numPr>
          <w:ilvl w:val="1"/>
          <w:numId w:val="1"/>
        </w:numPr>
      </w:pPr>
      <w:r>
        <w:t xml:space="preserve">Key Requirements: </w:t>
      </w:r>
      <w:r w:rsidR="00F45E2A">
        <w:t>General</w:t>
      </w:r>
    </w:p>
    <w:p w14:paraId="52C7F263" w14:textId="3A66E962" w:rsidR="005B0C3F" w:rsidRDefault="005B0C3F" w:rsidP="005B0C3F">
      <w:pPr>
        <w:pStyle w:val="ListParagraph"/>
        <w:numPr>
          <w:ilvl w:val="0"/>
          <w:numId w:val="6"/>
        </w:numPr>
      </w:pPr>
      <w:r>
        <w:t>Practical and in-depth understanding of the state of the light engineering workshops in Bangladesh and their working condition.</w:t>
      </w:r>
    </w:p>
    <w:p w14:paraId="1914302B" w14:textId="5697611C" w:rsidR="00AA340E" w:rsidRDefault="00AA340E" w:rsidP="005B0C3F">
      <w:pPr>
        <w:pStyle w:val="ListParagraph"/>
        <w:numPr>
          <w:ilvl w:val="0"/>
          <w:numId w:val="6"/>
        </w:numPr>
      </w:pPr>
      <w:r>
        <w:t>Proven experience in conducting similar market research and market development activities.</w:t>
      </w:r>
    </w:p>
    <w:p w14:paraId="4B4B02D7" w14:textId="2F52087A" w:rsidR="0006624C" w:rsidRDefault="005B0C3F" w:rsidP="005B0C3F">
      <w:pPr>
        <w:pStyle w:val="ListParagraph"/>
        <w:numPr>
          <w:ilvl w:val="0"/>
          <w:numId w:val="6"/>
        </w:numPr>
      </w:pPr>
      <w:r>
        <w:t>Light engineering workshops generally have difficult working condition – exceedingly hot and humid, poor safety measures, limited ventilation. Workshop owners generally have low literacy rate. Applicants have to be willing to complete the task in such working condition and have the capacity to communicate with such target groups.</w:t>
      </w:r>
    </w:p>
    <w:p w14:paraId="4E32A1C1" w14:textId="7BCC5DC6" w:rsidR="00D77579" w:rsidRDefault="00F45E2A" w:rsidP="00F45E2A">
      <w:pPr>
        <w:pStyle w:val="Heading3"/>
        <w:numPr>
          <w:ilvl w:val="1"/>
          <w:numId w:val="1"/>
        </w:numPr>
      </w:pPr>
      <w:r>
        <w:t>Key Requirements: Technical Expert</w:t>
      </w:r>
    </w:p>
    <w:p w14:paraId="73450A6D" w14:textId="0C597836" w:rsidR="005B6A4B" w:rsidRDefault="00B87FF8" w:rsidP="00F45E2A">
      <w:pPr>
        <w:pStyle w:val="ListParagraph"/>
        <w:numPr>
          <w:ilvl w:val="0"/>
          <w:numId w:val="6"/>
        </w:numPr>
      </w:pPr>
      <w:r w:rsidRPr="00DC7E43">
        <w:t>Educational qualification in Industrial and Production Engineering</w:t>
      </w:r>
      <w:r>
        <w:t>,</w:t>
      </w:r>
      <w:r w:rsidRPr="00DC7E43">
        <w:t xml:space="preserve"> Industrial Engineering and Management</w:t>
      </w:r>
      <w:r>
        <w:t xml:space="preserve"> or relevant subjects</w:t>
      </w:r>
      <w:r w:rsidRPr="00DC7E43">
        <w:t>.</w:t>
      </w:r>
    </w:p>
    <w:p w14:paraId="5F657081" w14:textId="59399F29" w:rsidR="00B87FF8" w:rsidRDefault="00FF79A1" w:rsidP="00F45E2A">
      <w:pPr>
        <w:pStyle w:val="ListParagraph"/>
        <w:numPr>
          <w:ilvl w:val="0"/>
          <w:numId w:val="6"/>
        </w:numPr>
      </w:pPr>
      <w:r w:rsidRPr="00DC7E43">
        <w:t>Practical experience of working with light engineering workshops and relevant to the tasks mentions in this ToR</w:t>
      </w:r>
      <w:r>
        <w:t>.</w:t>
      </w:r>
    </w:p>
    <w:p w14:paraId="4641C8F2" w14:textId="10BC993E" w:rsidR="002417A6" w:rsidRDefault="002417A6" w:rsidP="002417A6">
      <w:pPr>
        <w:pStyle w:val="Heading3"/>
        <w:numPr>
          <w:ilvl w:val="1"/>
          <w:numId w:val="1"/>
        </w:numPr>
      </w:pPr>
      <w:r>
        <w:t>Key Requirements: Market Expert</w:t>
      </w:r>
    </w:p>
    <w:p w14:paraId="3ABEC5D7" w14:textId="423A765F" w:rsidR="005B6A4B" w:rsidRDefault="00FF79A1" w:rsidP="005B6A4B">
      <w:pPr>
        <w:pStyle w:val="ListParagraph"/>
        <w:numPr>
          <w:ilvl w:val="0"/>
          <w:numId w:val="6"/>
        </w:numPr>
      </w:pPr>
      <w:r>
        <w:t>Practical experience in market development</w:t>
      </w:r>
      <w:r w:rsidR="00DB3A2D">
        <w:t xml:space="preserve">, </w:t>
      </w:r>
      <w:r>
        <w:t>business development</w:t>
      </w:r>
      <w:r w:rsidR="00DB3A2D">
        <w:t xml:space="preserve"> or supply chain of production or manufacturing business, </w:t>
      </w:r>
      <w:r>
        <w:t>preferably relevant to light engineering</w:t>
      </w:r>
      <w:r w:rsidR="00DB3A2D">
        <w:t>.</w:t>
      </w:r>
    </w:p>
    <w:p w14:paraId="5194935E" w14:textId="449AF134" w:rsidR="005B6A4B" w:rsidRDefault="00EF1A01" w:rsidP="005B6A4B">
      <w:pPr>
        <w:pStyle w:val="Heading2"/>
        <w:numPr>
          <w:ilvl w:val="0"/>
          <w:numId w:val="1"/>
        </w:numPr>
      </w:pPr>
      <w:r>
        <w:t>Deliverables</w:t>
      </w:r>
    </w:p>
    <w:p w14:paraId="73B84968" w14:textId="01924142" w:rsidR="009B55A1" w:rsidRDefault="00135788" w:rsidP="00F64A28">
      <w:pPr>
        <w:pStyle w:val="ListParagraph"/>
        <w:numPr>
          <w:ilvl w:val="0"/>
          <w:numId w:val="6"/>
        </w:numPr>
      </w:pPr>
      <w:r>
        <w:t>Inception report detailing r</w:t>
      </w:r>
      <w:r w:rsidR="000D00EC">
        <w:t>esearch plan</w:t>
      </w:r>
      <w:r w:rsidR="000D00EC" w:rsidRPr="00DC7E43">
        <w:t xml:space="preserve"> including description of methodology for conducting the tasks and relevant timeline</w:t>
      </w:r>
      <w:r w:rsidR="001957C3">
        <w:t>.</w:t>
      </w:r>
    </w:p>
    <w:p w14:paraId="44B3C7FF" w14:textId="0DBB7888" w:rsidR="000D00EC" w:rsidRDefault="000D00EC" w:rsidP="000D00EC">
      <w:pPr>
        <w:pStyle w:val="ListParagraph"/>
        <w:numPr>
          <w:ilvl w:val="0"/>
          <w:numId w:val="6"/>
        </w:numPr>
      </w:pPr>
      <w:r>
        <w:t>Data entry templates.</w:t>
      </w:r>
    </w:p>
    <w:p w14:paraId="2245B60C" w14:textId="22ABA42B" w:rsidR="00E20EF9" w:rsidRDefault="00E20EF9" w:rsidP="00E20EF9">
      <w:pPr>
        <w:pStyle w:val="ListParagraph"/>
        <w:numPr>
          <w:ilvl w:val="0"/>
          <w:numId w:val="6"/>
        </w:numPr>
      </w:pPr>
      <w:r>
        <w:t>Report template that includes all the key points mentioned in Section 2</w:t>
      </w:r>
      <w:r w:rsidR="00135788">
        <w:t xml:space="preserve"> and Section 3.</w:t>
      </w:r>
    </w:p>
    <w:p w14:paraId="36504CB1" w14:textId="6C67CFE4" w:rsidR="00E20EF9" w:rsidRDefault="001D3505" w:rsidP="00E20EF9">
      <w:pPr>
        <w:pStyle w:val="ListParagraph"/>
        <w:numPr>
          <w:ilvl w:val="0"/>
          <w:numId w:val="6"/>
        </w:numPr>
      </w:pPr>
      <w:r>
        <w:t>Draft report</w:t>
      </w:r>
    </w:p>
    <w:p w14:paraId="659F4142" w14:textId="70423A61" w:rsidR="001D3505" w:rsidRDefault="001D3505" w:rsidP="00E20EF9">
      <w:pPr>
        <w:pStyle w:val="ListParagraph"/>
        <w:numPr>
          <w:ilvl w:val="0"/>
          <w:numId w:val="6"/>
        </w:numPr>
      </w:pPr>
      <w:r>
        <w:t>Final report</w:t>
      </w:r>
    </w:p>
    <w:p w14:paraId="7699001A" w14:textId="6C8541F3" w:rsidR="00C221F7" w:rsidRDefault="00C221F7" w:rsidP="00E20EF9">
      <w:pPr>
        <w:pStyle w:val="ListParagraph"/>
        <w:numPr>
          <w:ilvl w:val="0"/>
          <w:numId w:val="6"/>
        </w:numPr>
      </w:pPr>
      <w:r>
        <w:t>Cost comparison between importing and local production of selected capital machineries.</w:t>
      </w:r>
    </w:p>
    <w:p w14:paraId="4F3FF3A0" w14:textId="77777777" w:rsidR="00E51E10" w:rsidRDefault="00E51E10" w:rsidP="00E51E10">
      <w:pPr>
        <w:pStyle w:val="ListParagraph"/>
        <w:ind w:left="360"/>
      </w:pPr>
    </w:p>
    <w:p w14:paraId="02B7724C" w14:textId="7E84267B" w:rsidR="00382310" w:rsidRDefault="00EF1A01" w:rsidP="00382310">
      <w:pPr>
        <w:pStyle w:val="Heading2"/>
        <w:numPr>
          <w:ilvl w:val="0"/>
          <w:numId w:val="1"/>
        </w:numPr>
      </w:pPr>
      <w:r>
        <w:t>Timeline</w:t>
      </w:r>
    </w:p>
    <w:p w14:paraId="2EC533AC" w14:textId="307CD80F" w:rsidR="00E51E10" w:rsidRDefault="00E51E10" w:rsidP="00E51E10">
      <w:r>
        <w:t xml:space="preserve">Duration of the assignment is 4 months from the date of commencement of the contract. </w:t>
      </w:r>
    </w:p>
    <w:p w14:paraId="650ADB20" w14:textId="77777777" w:rsidR="00E51E10" w:rsidRPr="00E51E10" w:rsidRDefault="00E51E10" w:rsidP="00E51E10"/>
    <w:p w14:paraId="39A3AED2" w14:textId="22E71900" w:rsidR="00382310" w:rsidRDefault="008E5920" w:rsidP="00382310">
      <w:pPr>
        <w:pStyle w:val="Heading2"/>
        <w:numPr>
          <w:ilvl w:val="0"/>
          <w:numId w:val="1"/>
        </w:numPr>
      </w:pPr>
      <w:r>
        <w:t>Reporting</w:t>
      </w:r>
      <w:r w:rsidR="00E51E10">
        <w:t xml:space="preserve"> Structure </w:t>
      </w:r>
    </w:p>
    <w:p w14:paraId="7FAE2589" w14:textId="77777777" w:rsidR="00E51E10" w:rsidRPr="00E51E10" w:rsidRDefault="00E51E10" w:rsidP="00E51E10">
      <w:pPr>
        <w:rPr>
          <w:rFonts w:ascii="Arial" w:hAnsi="Arial" w:cs="Arial"/>
        </w:rPr>
      </w:pPr>
      <w:r w:rsidRPr="00E51E10">
        <w:rPr>
          <w:rFonts w:ascii="Arial" w:hAnsi="Arial" w:cs="Arial"/>
        </w:rPr>
        <w:t xml:space="preserve">The selected consultant/consultancy firm will report to the Team Leader, PRABRIDDHI and work closely with the assigned project focal. </w:t>
      </w:r>
    </w:p>
    <w:p w14:paraId="7473365F" w14:textId="407976EA" w:rsidR="00E51E10" w:rsidRDefault="00E51E10" w:rsidP="00C21373"/>
    <w:p w14:paraId="33247458" w14:textId="750A27EE" w:rsidR="002B0155" w:rsidRDefault="002B0155" w:rsidP="00E51E10">
      <w:pPr>
        <w:pStyle w:val="Heading2"/>
        <w:numPr>
          <w:ilvl w:val="0"/>
          <w:numId w:val="1"/>
        </w:numPr>
      </w:pPr>
      <w:r>
        <w:t xml:space="preserve">Required documents for evaluating proposal </w:t>
      </w:r>
    </w:p>
    <w:p w14:paraId="1EA9DBC5" w14:textId="77777777" w:rsidR="002B0155" w:rsidRPr="00572BB2" w:rsidRDefault="002B0155" w:rsidP="002B0155">
      <w:pPr>
        <w:rPr>
          <w:rFonts w:ascii="Arial" w:hAnsi="Arial" w:cs="Arial"/>
        </w:rPr>
      </w:pPr>
      <w:r w:rsidRPr="00572BB2">
        <w:rPr>
          <w:rFonts w:ascii="Arial" w:hAnsi="Arial" w:cs="Arial"/>
        </w:rPr>
        <w:t>The selection criteria are divided into two parts:</w:t>
      </w:r>
    </w:p>
    <w:p w14:paraId="7560D347" w14:textId="77777777" w:rsidR="002B0155" w:rsidRPr="00572BB2" w:rsidRDefault="002B0155" w:rsidP="002B0155">
      <w:pPr>
        <w:pStyle w:val="ListParagraph"/>
        <w:numPr>
          <w:ilvl w:val="0"/>
          <w:numId w:val="17"/>
        </w:numPr>
        <w:spacing w:after="160" w:line="259" w:lineRule="auto"/>
        <w:rPr>
          <w:rFonts w:ascii="Arial" w:hAnsi="Arial" w:cs="Arial"/>
        </w:rPr>
      </w:pPr>
      <w:r w:rsidRPr="00572BB2">
        <w:rPr>
          <w:rFonts w:ascii="Arial" w:hAnsi="Arial" w:cs="Arial"/>
        </w:rPr>
        <w:t>Technical Proposal (70% of the total possible score).</w:t>
      </w:r>
    </w:p>
    <w:p w14:paraId="1E964C45" w14:textId="77777777" w:rsidR="002B0155" w:rsidRPr="00572BB2" w:rsidRDefault="002B0155" w:rsidP="002B0155">
      <w:pPr>
        <w:pStyle w:val="ListParagraph"/>
        <w:numPr>
          <w:ilvl w:val="0"/>
          <w:numId w:val="17"/>
        </w:numPr>
        <w:spacing w:after="160" w:line="259" w:lineRule="auto"/>
        <w:rPr>
          <w:rFonts w:ascii="Arial" w:hAnsi="Arial" w:cs="Arial"/>
        </w:rPr>
      </w:pPr>
      <w:r w:rsidRPr="00572BB2">
        <w:rPr>
          <w:rFonts w:ascii="Arial" w:hAnsi="Arial" w:cs="Arial"/>
        </w:rPr>
        <w:t xml:space="preserve">Financial Proposal (30% of the total possible score). </w:t>
      </w:r>
    </w:p>
    <w:p w14:paraId="06F8C81D" w14:textId="77777777" w:rsidR="002B0155" w:rsidRPr="00572BB2" w:rsidRDefault="002B0155" w:rsidP="002B0155">
      <w:pPr>
        <w:rPr>
          <w:rFonts w:ascii="Arial" w:hAnsi="Arial" w:cs="Arial"/>
        </w:rPr>
      </w:pPr>
      <w:r w:rsidRPr="00572BB2">
        <w:rPr>
          <w:rFonts w:ascii="Arial" w:hAnsi="Arial" w:cs="Arial"/>
        </w:rPr>
        <w:t xml:space="preserve">Consultancy contracts are subject to VAT and AIT deduction as per government regulations. </w:t>
      </w:r>
    </w:p>
    <w:p w14:paraId="1121BA3C" w14:textId="3B6A628F" w:rsidR="002B0155" w:rsidRPr="00572BB2" w:rsidRDefault="002B0155" w:rsidP="002B0155">
      <w:pPr>
        <w:rPr>
          <w:rFonts w:ascii="Arial" w:hAnsi="Arial" w:cs="Arial"/>
          <w:b/>
          <w:bCs/>
        </w:rPr>
      </w:pPr>
      <w:r w:rsidRPr="00572BB2">
        <w:rPr>
          <w:rFonts w:ascii="Arial" w:hAnsi="Arial" w:cs="Arial"/>
          <w:b/>
          <w:bCs/>
        </w:rPr>
        <w:t xml:space="preserve">The technical proposal (TP), </w:t>
      </w:r>
      <w:r w:rsidRPr="00572BB2">
        <w:rPr>
          <w:rFonts w:ascii="Arial" w:hAnsi="Arial" w:cs="Arial"/>
        </w:rPr>
        <w:t>not exceeding 6 pages, should include the following elements:</w:t>
      </w:r>
    </w:p>
    <w:p w14:paraId="49426F27"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 xml:space="preserve">Understanding of the assignment and an initial work plan detailing the study as per the </w:t>
      </w:r>
      <w:proofErr w:type="spellStart"/>
      <w:r w:rsidRPr="00572BB2">
        <w:rPr>
          <w:rFonts w:ascii="Arial" w:hAnsi="Arial" w:cs="Arial"/>
        </w:rPr>
        <w:t>ToR</w:t>
      </w:r>
      <w:proofErr w:type="spellEnd"/>
      <w:r w:rsidRPr="00572BB2">
        <w:rPr>
          <w:rFonts w:ascii="Arial" w:hAnsi="Arial" w:cs="Arial"/>
        </w:rPr>
        <w:t xml:space="preserve">.  </w:t>
      </w:r>
    </w:p>
    <w:p w14:paraId="14AF187E"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 xml:space="preserve">Description of individual/organizational capabilities and related experiences. </w:t>
      </w:r>
    </w:p>
    <w:p w14:paraId="1C4B4DC7"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Weblinks or soft copies of relevant previous work.</w:t>
      </w:r>
    </w:p>
    <w:p w14:paraId="0FF38105" w14:textId="0FA00195"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Technical competencies, key skills, and expertise of the expert (</w:t>
      </w:r>
      <w:r w:rsidR="00721E5B" w:rsidRPr="00572BB2">
        <w:rPr>
          <w:rFonts w:ascii="Arial" w:hAnsi="Arial" w:cs="Arial"/>
          <w:color w:val="000000"/>
        </w:rPr>
        <w:t>Please see section on Team Composition and Key Requirements</w:t>
      </w:r>
      <w:r w:rsidR="00721E5B">
        <w:rPr>
          <w:rFonts w:ascii="Arial" w:hAnsi="Arial" w:cs="Arial"/>
        </w:rPr>
        <w:t>)</w:t>
      </w:r>
      <w:r w:rsidRPr="00572BB2">
        <w:rPr>
          <w:rFonts w:ascii="Arial" w:hAnsi="Arial" w:cs="Arial"/>
        </w:rPr>
        <w:t xml:space="preserve">. CV to be attached as an Annex. </w:t>
      </w:r>
    </w:p>
    <w:p w14:paraId="315EC893" w14:textId="77777777" w:rsidR="002B0155" w:rsidRPr="00572BB2" w:rsidRDefault="002B0155" w:rsidP="002B0155">
      <w:pPr>
        <w:pStyle w:val="ListParagraph"/>
        <w:autoSpaceDE w:val="0"/>
        <w:autoSpaceDN w:val="0"/>
        <w:adjustRightInd w:val="0"/>
        <w:spacing w:after="0" w:line="240" w:lineRule="auto"/>
        <w:rPr>
          <w:rFonts w:ascii="Arial" w:hAnsi="Arial" w:cs="Arial"/>
          <w:color w:val="000000"/>
        </w:rPr>
      </w:pPr>
    </w:p>
    <w:p w14:paraId="0125D9E4" w14:textId="513EB4F8" w:rsidR="002B0155" w:rsidRPr="00572BB2" w:rsidRDefault="002B0155" w:rsidP="002B0155">
      <w:pPr>
        <w:rPr>
          <w:rFonts w:ascii="Arial" w:hAnsi="Arial" w:cs="Arial"/>
        </w:rPr>
      </w:pPr>
      <w:r w:rsidRPr="00572BB2">
        <w:rPr>
          <w:rFonts w:ascii="Arial" w:hAnsi="Arial" w:cs="Arial"/>
        </w:rPr>
        <w:t xml:space="preserve">Along with the technical proposal, the bidder is required to submit a financial proposal, in a separate e-mail. </w:t>
      </w:r>
    </w:p>
    <w:p w14:paraId="18194DC1" w14:textId="77777777" w:rsidR="002B0155" w:rsidRPr="00572BB2" w:rsidRDefault="002B0155" w:rsidP="002B0155">
      <w:pPr>
        <w:rPr>
          <w:rFonts w:ascii="Arial" w:hAnsi="Arial" w:cs="Arial"/>
          <w:b/>
          <w:bCs/>
        </w:rPr>
      </w:pPr>
      <w:r w:rsidRPr="00572BB2">
        <w:rPr>
          <w:rFonts w:ascii="Arial" w:hAnsi="Arial" w:cs="Arial"/>
          <w:b/>
          <w:bCs/>
        </w:rPr>
        <w:t xml:space="preserve">The financial proposal </w:t>
      </w:r>
      <w:r w:rsidRPr="00572BB2">
        <w:rPr>
          <w:rFonts w:ascii="Arial" w:hAnsi="Arial" w:cs="Arial"/>
        </w:rPr>
        <w:t>should provide</w:t>
      </w:r>
      <w:r w:rsidRPr="00572BB2">
        <w:rPr>
          <w:rFonts w:ascii="Arial" w:hAnsi="Arial" w:cs="Arial"/>
          <w:b/>
          <w:bCs/>
        </w:rPr>
        <w:t>:</w:t>
      </w:r>
    </w:p>
    <w:p w14:paraId="1DC89465"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 xml:space="preserve">Cost breakdown including monthly rates and/or daily rates as per working modality of the expert or the firm. </w:t>
      </w:r>
    </w:p>
    <w:p w14:paraId="32F1B1C5" w14:textId="77777777" w:rsidR="002B0155" w:rsidRPr="00572BB2" w:rsidRDefault="002B0155" w:rsidP="002B0155">
      <w:pPr>
        <w:rPr>
          <w:rFonts w:ascii="Arial" w:hAnsi="Arial" w:cs="Arial"/>
        </w:rPr>
      </w:pPr>
      <w:r w:rsidRPr="00572BB2">
        <w:rPr>
          <w:rFonts w:ascii="Arial" w:hAnsi="Arial" w:cs="Arial"/>
        </w:rPr>
        <w:t>The financial proposal will be opened only for the applicants scoring 50% and above in the technical proposal. The financial proposal would be evaluated based on:</w:t>
      </w:r>
    </w:p>
    <w:p w14:paraId="7D3DAC8D"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Competitiveness of the financial offer.</w:t>
      </w:r>
    </w:p>
    <w:p w14:paraId="4211A332"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Relevance and consistency with the technical proposal.</w:t>
      </w:r>
    </w:p>
    <w:p w14:paraId="39AE8650" w14:textId="77777777" w:rsidR="002B0155" w:rsidRPr="00572BB2" w:rsidRDefault="002B0155" w:rsidP="002B0155">
      <w:pPr>
        <w:rPr>
          <w:rFonts w:ascii="Arial" w:hAnsi="Arial" w:cs="Arial"/>
        </w:rPr>
      </w:pPr>
      <w:r w:rsidRPr="00572BB2">
        <w:rPr>
          <w:rFonts w:ascii="Arial" w:hAnsi="Arial" w:cs="Arial"/>
        </w:rPr>
        <w:t>In addition to the technical and financial proposals, it is mandatory for the bidders to submit necessary documents demonstrating their legal, taxation and financial statuses. The documents should be part of the technical proposal and include the following:</w:t>
      </w:r>
    </w:p>
    <w:p w14:paraId="77637A09"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A certificate of incorporation (for individual companies- a trade license).</w:t>
      </w:r>
    </w:p>
    <w:p w14:paraId="3E4D9658"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Joint stock registration certificate (if applicable).</w:t>
      </w:r>
    </w:p>
    <w:p w14:paraId="418D772D"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An organizational organogram of key personnel, inclusive of the names of such personnel.</w:t>
      </w:r>
    </w:p>
    <w:p w14:paraId="6B21BE94"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Tax Identification Number (TIN).</w:t>
      </w:r>
    </w:p>
    <w:p w14:paraId="08992DAD"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VAT registration number.</w:t>
      </w:r>
    </w:p>
    <w:p w14:paraId="777A0DB3"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Proof of a segregated account (providing the name and address of such an account).</w:t>
      </w:r>
    </w:p>
    <w:p w14:paraId="206C93A6"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Other valid papers (Provided by Government institutions).</w:t>
      </w:r>
    </w:p>
    <w:p w14:paraId="00691875" w14:textId="77777777" w:rsidR="002B0155" w:rsidRPr="00572BB2"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The vendor must bear all Advance Income Tax (AIT) and VAT. The total amount of VAT should be mentioned in the financial proposal.</w:t>
      </w:r>
    </w:p>
    <w:p w14:paraId="5ADBE91D" w14:textId="77777777" w:rsidR="002B0155" w:rsidRDefault="002B0155" w:rsidP="002B0155">
      <w:pPr>
        <w:pStyle w:val="ListParagraph"/>
        <w:numPr>
          <w:ilvl w:val="0"/>
          <w:numId w:val="18"/>
        </w:numPr>
        <w:spacing w:after="160" w:line="259" w:lineRule="auto"/>
        <w:rPr>
          <w:rFonts w:ascii="Arial" w:hAnsi="Arial" w:cs="Arial"/>
        </w:rPr>
      </w:pPr>
      <w:r w:rsidRPr="00572BB2">
        <w:rPr>
          <w:rFonts w:ascii="Arial" w:hAnsi="Arial" w:cs="Arial"/>
        </w:rPr>
        <w:t>The vendor must bear all Advance Income Tax (AIT) and VAT. The total amount of VAT should be mentioned in the financial proposal</w:t>
      </w:r>
      <w:r w:rsidRPr="00AC14DA">
        <w:rPr>
          <w:rFonts w:ascii="Arial" w:hAnsi="Arial" w:cs="Arial"/>
        </w:rPr>
        <w:t>.</w:t>
      </w:r>
    </w:p>
    <w:p w14:paraId="418AE89C" w14:textId="77777777" w:rsidR="002B0155" w:rsidRPr="002459EC" w:rsidRDefault="002B0155" w:rsidP="002B0155">
      <w:pPr>
        <w:pStyle w:val="Heading1"/>
        <w:ind w:left="360" w:hanging="360"/>
        <w:rPr>
          <w:bCs/>
          <w:sz w:val="26"/>
          <w:szCs w:val="26"/>
        </w:rPr>
      </w:pPr>
      <w:r>
        <w:rPr>
          <w:bCs/>
          <w:sz w:val="26"/>
          <w:szCs w:val="26"/>
        </w:rPr>
        <w:lastRenderedPageBreak/>
        <w:t>10. Submission Procedure</w:t>
      </w:r>
    </w:p>
    <w:p w14:paraId="72E49145" w14:textId="13DBD040" w:rsidR="002B0155" w:rsidRPr="00572BB2" w:rsidRDefault="002B0155" w:rsidP="002B0155">
      <w:pPr>
        <w:rPr>
          <w:rFonts w:ascii="Arial" w:hAnsi="Arial" w:cs="Arial"/>
        </w:rPr>
      </w:pPr>
      <w:r w:rsidRPr="00572BB2">
        <w:rPr>
          <w:rFonts w:ascii="Arial" w:hAnsi="Arial" w:cs="Arial"/>
        </w:rPr>
        <w:t xml:space="preserve">Interested experts/ organizations are requested to submit the technical and financial proposals and other necessary documents by </w:t>
      </w:r>
      <w:r w:rsidR="00721E5B">
        <w:rPr>
          <w:rFonts w:ascii="Arial" w:hAnsi="Arial" w:cs="Arial"/>
          <w:b/>
          <w:bCs/>
        </w:rPr>
        <w:t>12</w:t>
      </w:r>
      <w:r w:rsidRPr="00572BB2">
        <w:rPr>
          <w:rFonts w:ascii="Arial" w:hAnsi="Arial" w:cs="Arial"/>
          <w:b/>
          <w:bCs/>
        </w:rPr>
        <w:t xml:space="preserve"> </w:t>
      </w:r>
      <w:r w:rsidR="00721E5B">
        <w:rPr>
          <w:rFonts w:ascii="Arial" w:hAnsi="Arial" w:cs="Arial"/>
          <w:b/>
          <w:bCs/>
        </w:rPr>
        <w:t>January</w:t>
      </w:r>
      <w:r w:rsidRPr="00572BB2">
        <w:rPr>
          <w:rFonts w:ascii="Arial" w:hAnsi="Arial" w:cs="Arial"/>
          <w:b/>
          <w:bCs/>
        </w:rPr>
        <w:t xml:space="preserve"> 202</w:t>
      </w:r>
      <w:r w:rsidR="00721E5B">
        <w:rPr>
          <w:rFonts w:ascii="Arial" w:hAnsi="Arial" w:cs="Arial"/>
          <w:b/>
          <w:bCs/>
        </w:rPr>
        <w:t>3</w:t>
      </w:r>
      <w:r w:rsidRPr="00572BB2">
        <w:rPr>
          <w:rFonts w:ascii="Arial" w:hAnsi="Arial" w:cs="Arial"/>
        </w:rPr>
        <w:t xml:space="preserve"> to the following e-mail address: </w:t>
      </w:r>
      <w:hyperlink r:id="rId10" w:history="1">
        <w:r w:rsidRPr="00572BB2">
          <w:rPr>
            <w:rStyle w:val="Hyperlink"/>
            <w:rFonts w:ascii="Arial" w:hAnsi="Arial" w:cs="Arial"/>
            <w:b/>
            <w:bCs/>
          </w:rPr>
          <w:t>bd.prabriddhi@swisscontact.org</w:t>
        </w:r>
      </w:hyperlink>
      <w:r w:rsidRPr="00572BB2">
        <w:rPr>
          <w:rFonts w:ascii="Arial" w:hAnsi="Arial" w:cs="Arial"/>
        </w:rPr>
        <w:t xml:space="preserve"> </w:t>
      </w:r>
    </w:p>
    <w:p w14:paraId="45A5EA1E" w14:textId="6B336BC6" w:rsidR="002B0155" w:rsidRPr="00572BB2" w:rsidRDefault="002B0155" w:rsidP="002B0155">
      <w:pPr>
        <w:rPr>
          <w:rFonts w:ascii="Arial" w:hAnsi="Arial" w:cs="Arial"/>
        </w:rPr>
      </w:pPr>
      <w:r w:rsidRPr="00572BB2">
        <w:rPr>
          <w:rFonts w:ascii="Arial" w:hAnsi="Arial" w:cs="Arial"/>
        </w:rPr>
        <w:t xml:space="preserve">The technical and financial proposal should be sent in separate e-mails. Failure to do so will disqualify the applicant from tendering process. </w:t>
      </w:r>
      <w:r w:rsidRPr="00572BB2">
        <w:rPr>
          <w:rFonts w:ascii="Arial" w:hAnsi="Arial" w:cs="Arial"/>
          <w:b/>
          <w:bCs/>
        </w:rPr>
        <w:t xml:space="preserve">“Market study </w:t>
      </w:r>
      <w:proofErr w:type="spellStart"/>
      <w:r w:rsidRPr="00572BB2">
        <w:rPr>
          <w:rFonts w:ascii="Arial" w:hAnsi="Arial" w:cs="Arial"/>
          <w:b/>
          <w:bCs/>
        </w:rPr>
        <w:t>Bogura</w:t>
      </w:r>
      <w:proofErr w:type="spellEnd"/>
      <w:r w:rsidRPr="00572BB2">
        <w:rPr>
          <w:rFonts w:ascii="Arial" w:hAnsi="Arial" w:cs="Arial"/>
          <w:b/>
          <w:bCs/>
        </w:rPr>
        <w:t xml:space="preserve"> Light Engineering Sector”</w:t>
      </w:r>
      <w:r w:rsidRPr="00572BB2">
        <w:rPr>
          <w:rFonts w:ascii="Arial" w:hAnsi="Arial" w:cs="Arial"/>
        </w:rPr>
        <w:t xml:space="preserve"> should be mentioned in the subject line.</w:t>
      </w:r>
    </w:p>
    <w:p w14:paraId="09136A07" w14:textId="77777777" w:rsidR="002B0155" w:rsidRPr="00572BB2" w:rsidRDefault="002B0155" w:rsidP="002B0155">
      <w:pPr>
        <w:rPr>
          <w:rFonts w:ascii="Arial" w:hAnsi="Arial" w:cs="Arial"/>
        </w:rPr>
      </w:pPr>
      <w:r w:rsidRPr="00572BB2">
        <w:rPr>
          <w:rFonts w:ascii="Arial" w:hAnsi="Arial" w:cs="Arial"/>
        </w:rPr>
        <w:t xml:space="preserve">If a proposal is not received in the manner specified in the request, especially if it is not received by the due time, it is deemed as non-qualifying proposal, and will not be considered. </w:t>
      </w:r>
    </w:p>
    <w:p w14:paraId="48D73BF3" w14:textId="77777777" w:rsidR="002B0155" w:rsidRPr="00572BB2" w:rsidRDefault="002B0155" w:rsidP="002B0155">
      <w:pPr>
        <w:rPr>
          <w:rFonts w:ascii="Arial" w:hAnsi="Arial" w:cs="Arial"/>
        </w:rPr>
      </w:pPr>
      <w:r w:rsidRPr="00572BB2">
        <w:rPr>
          <w:rFonts w:ascii="Arial" w:hAnsi="Arial" w:cs="Arial"/>
        </w:rPr>
        <w:t>For more information, please e</w:t>
      </w:r>
      <w:r w:rsidRPr="00572BB2">
        <w:rPr>
          <w:rFonts w:ascii="Cambria Math" w:hAnsi="Cambria Math" w:cs="Cambria Math"/>
        </w:rPr>
        <w:t>‐</w:t>
      </w:r>
      <w:r w:rsidRPr="00572BB2">
        <w:rPr>
          <w:rFonts w:ascii="Arial" w:hAnsi="Arial" w:cs="Arial"/>
        </w:rPr>
        <w:t xml:space="preserve">mail to </w:t>
      </w:r>
      <w:hyperlink r:id="rId11" w:history="1">
        <w:r w:rsidRPr="00572BB2">
          <w:rPr>
            <w:rStyle w:val="Hyperlink"/>
            <w:rFonts w:ascii="Arial" w:hAnsi="Arial" w:cs="Arial"/>
          </w:rPr>
          <w:t>bd.prabriddhi@swisscontact.org</w:t>
        </w:r>
      </w:hyperlink>
      <w:r w:rsidRPr="00572BB2">
        <w:rPr>
          <w:rFonts w:ascii="Arial" w:hAnsi="Arial" w:cs="Arial"/>
        </w:rPr>
        <w:t xml:space="preserve"> </w:t>
      </w:r>
    </w:p>
    <w:p w14:paraId="0423B5F8" w14:textId="77777777" w:rsidR="002B0155" w:rsidRPr="00572BB2" w:rsidRDefault="002B0155" w:rsidP="002B0155">
      <w:pPr>
        <w:rPr>
          <w:rFonts w:ascii="Arial" w:hAnsi="Arial" w:cs="Arial"/>
        </w:rPr>
      </w:pPr>
    </w:p>
    <w:p w14:paraId="636000EA" w14:textId="77777777" w:rsidR="00E51E10" w:rsidRPr="00424FCD" w:rsidRDefault="00E51E10" w:rsidP="00C21373"/>
    <w:sectPr w:rsidR="00E51E10" w:rsidRPr="00424FCD" w:rsidSect="00C25384">
      <w:headerReference w:type="default" r:id="rId12"/>
      <w:footerReference w:type="default" r:id="rId13"/>
      <w:pgSz w:w="11906" w:h="16838" w:code="9"/>
      <w:pgMar w:top="1440" w:right="1440" w:bottom="1440" w:left="1440" w:header="720"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A3C6" w14:textId="77777777" w:rsidR="00E81F18" w:rsidRDefault="00E81F18" w:rsidP="00683638">
      <w:pPr>
        <w:spacing w:after="0" w:line="240" w:lineRule="auto"/>
      </w:pPr>
      <w:r>
        <w:separator/>
      </w:r>
    </w:p>
  </w:endnote>
  <w:endnote w:type="continuationSeparator" w:id="0">
    <w:p w14:paraId="4E09A057" w14:textId="77777777" w:rsidR="00E81F18" w:rsidRDefault="00E81F18" w:rsidP="0068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195204"/>
      <w:docPartObj>
        <w:docPartGallery w:val="Page Numbers (Bottom of Page)"/>
        <w:docPartUnique/>
      </w:docPartObj>
    </w:sdtPr>
    <w:sdtEndPr>
      <w:rPr>
        <w:noProof/>
        <w:sz w:val="16"/>
        <w:szCs w:val="16"/>
      </w:rPr>
    </w:sdtEndPr>
    <w:sdtContent>
      <w:p w14:paraId="34866F90" w14:textId="2406D8DF" w:rsidR="00C25384" w:rsidRPr="00C25384" w:rsidRDefault="002774AB">
        <w:pPr>
          <w:pStyle w:val="Footer"/>
          <w:jc w:val="right"/>
          <w:rPr>
            <w:sz w:val="16"/>
            <w:szCs w:val="16"/>
          </w:rPr>
        </w:pPr>
        <w:r w:rsidRPr="00822F3E">
          <w:rPr>
            <w:noProof/>
            <w:lang w:bidi="bn-BD"/>
          </w:rPr>
          <w:drawing>
            <wp:anchor distT="0" distB="0" distL="114300" distR="114300" simplePos="0" relativeHeight="251661312" behindDoc="0" locked="0" layoutInCell="1" allowOverlap="1" wp14:anchorId="1D557104" wp14:editId="342348C0">
              <wp:simplePos x="0" y="0"/>
              <wp:positionH relativeFrom="margin">
                <wp:posOffset>-212090</wp:posOffset>
              </wp:positionH>
              <wp:positionV relativeFrom="paragraph">
                <wp:posOffset>94615</wp:posOffset>
              </wp:positionV>
              <wp:extent cx="5943600" cy="715010"/>
              <wp:effectExtent l="0" t="0" r="0" b="8890"/>
              <wp:wrapNone/>
              <wp:docPr id="14" name="Picture 6">
                <a:extLst xmlns:a="http://schemas.openxmlformats.org/drawingml/2006/main">
                  <a:ext uri="{FF2B5EF4-FFF2-40B4-BE49-F238E27FC236}">
                    <a16:creationId xmlns:a16="http://schemas.microsoft.com/office/drawing/2014/main" id="{9ED89E4C-F604-4D2D-87CE-59F890160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D89E4C-F604-4D2D-87CE-59F89016092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715010"/>
                      </a:xfrm>
                      <a:prstGeom prst="rect">
                        <a:avLst/>
                      </a:prstGeom>
                    </pic:spPr>
                  </pic:pic>
                </a:graphicData>
              </a:graphic>
              <wp14:sizeRelH relativeFrom="page">
                <wp14:pctWidth>0</wp14:pctWidth>
              </wp14:sizeRelH>
              <wp14:sizeRelV relativeFrom="page">
                <wp14:pctHeight>0</wp14:pctHeight>
              </wp14:sizeRelV>
            </wp:anchor>
          </w:drawing>
        </w:r>
        <w:r w:rsidR="00C25384" w:rsidRPr="00C25384">
          <w:rPr>
            <w:sz w:val="16"/>
            <w:szCs w:val="16"/>
          </w:rPr>
          <w:fldChar w:fldCharType="begin"/>
        </w:r>
        <w:r w:rsidR="00C25384" w:rsidRPr="00C25384">
          <w:rPr>
            <w:sz w:val="16"/>
            <w:szCs w:val="16"/>
          </w:rPr>
          <w:instrText xml:space="preserve"> PAGE   \* MERGEFORMAT </w:instrText>
        </w:r>
        <w:r w:rsidR="00C25384" w:rsidRPr="00C25384">
          <w:rPr>
            <w:sz w:val="16"/>
            <w:szCs w:val="16"/>
          </w:rPr>
          <w:fldChar w:fldCharType="separate"/>
        </w:r>
        <w:r w:rsidR="00C25384" w:rsidRPr="00C25384">
          <w:rPr>
            <w:noProof/>
            <w:sz w:val="16"/>
            <w:szCs w:val="16"/>
          </w:rPr>
          <w:t>2</w:t>
        </w:r>
        <w:r w:rsidR="00C25384" w:rsidRPr="00C25384">
          <w:rPr>
            <w:noProof/>
            <w:sz w:val="16"/>
            <w:szCs w:val="16"/>
          </w:rPr>
          <w:fldChar w:fldCharType="end"/>
        </w:r>
      </w:p>
    </w:sdtContent>
  </w:sdt>
  <w:p w14:paraId="6BB3789F" w14:textId="2C53C059" w:rsidR="00683638" w:rsidRPr="00AB1A7F" w:rsidRDefault="0068363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FE2E" w14:textId="77777777" w:rsidR="00E81F18" w:rsidRDefault="00E81F18" w:rsidP="00683638">
      <w:pPr>
        <w:spacing w:after="0" w:line="240" w:lineRule="auto"/>
      </w:pPr>
      <w:r>
        <w:separator/>
      </w:r>
    </w:p>
  </w:footnote>
  <w:footnote w:type="continuationSeparator" w:id="0">
    <w:p w14:paraId="7FE15F98" w14:textId="77777777" w:rsidR="00E81F18" w:rsidRDefault="00E81F18" w:rsidP="00683638">
      <w:pPr>
        <w:spacing w:after="0" w:line="240" w:lineRule="auto"/>
      </w:pPr>
      <w:r>
        <w:continuationSeparator/>
      </w:r>
    </w:p>
  </w:footnote>
  <w:footnote w:id="1">
    <w:p w14:paraId="6AD2A123" w14:textId="11D19292" w:rsidR="00C53149" w:rsidRPr="00C53149" w:rsidRDefault="00C53149">
      <w:pPr>
        <w:pStyle w:val="FootnoteText"/>
        <w:rPr>
          <w:sz w:val="16"/>
          <w:szCs w:val="16"/>
        </w:rPr>
      </w:pPr>
      <w:r>
        <w:rPr>
          <w:rStyle w:val="FootnoteReference"/>
        </w:rPr>
        <w:footnoteRef/>
      </w:r>
      <w:r>
        <w:t xml:space="preserve"> </w:t>
      </w:r>
      <w:hyperlink r:id="rId1" w:history="1">
        <w:r w:rsidRPr="001E20F5">
          <w:rPr>
            <w:rStyle w:val="Hyperlink"/>
            <w:sz w:val="16"/>
            <w:szCs w:val="16"/>
          </w:rPr>
          <w:t>SME Cluster Report, SME Foundation, March 2013</w:t>
        </w:r>
      </w:hyperlink>
    </w:p>
  </w:footnote>
  <w:footnote w:id="2">
    <w:p w14:paraId="38051C9C" w14:textId="5916E348" w:rsidR="00DE719B" w:rsidRDefault="00DE719B">
      <w:pPr>
        <w:pStyle w:val="FootnoteText"/>
      </w:pPr>
      <w:r>
        <w:rPr>
          <w:rStyle w:val="FootnoteReference"/>
        </w:rPr>
        <w:footnoteRef/>
      </w:r>
      <w:r>
        <w:t xml:space="preserve"> </w:t>
      </w:r>
      <w:hyperlink r:id="rId2" w:history="1">
        <w:r w:rsidRPr="00DE719B">
          <w:rPr>
            <w:rStyle w:val="Hyperlink"/>
            <w:sz w:val="16"/>
            <w:szCs w:val="16"/>
          </w:rPr>
          <w:t>Bogura’s foundries, light engineering industries flourish against odds | undefined (thedailystar.net)</w:t>
        </w:r>
      </w:hyperlink>
    </w:p>
  </w:footnote>
  <w:footnote w:id="3">
    <w:p w14:paraId="5516D880" w14:textId="55709F3B" w:rsidR="00EB05BF" w:rsidRDefault="00EB05BF">
      <w:pPr>
        <w:pStyle w:val="FootnoteText"/>
      </w:pPr>
      <w:r>
        <w:rPr>
          <w:rStyle w:val="FootnoteReference"/>
        </w:rPr>
        <w:footnoteRef/>
      </w:r>
      <w:r>
        <w:t xml:space="preserve"> </w:t>
      </w:r>
      <w:r w:rsidRPr="00EB05BF">
        <w:rPr>
          <w:sz w:val="16"/>
          <w:szCs w:val="16"/>
        </w:rPr>
        <w:t>A REA is a tool to assess the comparative (natural) and competitive (man-made) advantages &amp; disadvantages of a local economy. It is a participatory action research method comprised of interviews, observations, and group discussions with local stakeholders, complemented by secondary data.</w:t>
      </w:r>
    </w:p>
  </w:footnote>
  <w:footnote w:id="4">
    <w:p w14:paraId="3A40EA71" w14:textId="0CD64059" w:rsidR="007B58FA" w:rsidRDefault="007B58FA">
      <w:pPr>
        <w:pStyle w:val="FootnoteText"/>
      </w:pPr>
      <w:r>
        <w:rPr>
          <w:rStyle w:val="FootnoteReference"/>
        </w:rPr>
        <w:footnoteRef/>
      </w:r>
      <w:r>
        <w:t xml:space="preserve"> </w:t>
      </w:r>
      <w:r w:rsidRPr="007B58FA">
        <w:rPr>
          <w:sz w:val="16"/>
          <w:szCs w:val="16"/>
        </w:rPr>
        <w:t>Bangladesh Engineering Industry Owners’ Association</w:t>
      </w:r>
    </w:p>
  </w:footnote>
  <w:footnote w:id="5">
    <w:p w14:paraId="5041C076" w14:textId="46AD98DD" w:rsidR="007B58FA" w:rsidRDefault="007B58FA">
      <w:pPr>
        <w:pStyle w:val="FootnoteText"/>
      </w:pPr>
      <w:r>
        <w:rPr>
          <w:rStyle w:val="FootnoteReference"/>
        </w:rPr>
        <w:footnoteRef/>
      </w:r>
      <w:r>
        <w:t xml:space="preserve"> </w:t>
      </w:r>
      <w:r w:rsidRPr="007B58FA">
        <w:rPr>
          <w:sz w:val="16"/>
          <w:szCs w:val="16"/>
        </w:rPr>
        <w:t>Foundry Owners Association of Bangladesh</w:t>
      </w:r>
    </w:p>
  </w:footnote>
  <w:footnote w:id="6">
    <w:p w14:paraId="656A4D6C" w14:textId="2E457287" w:rsidR="007B58FA" w:rsidRDefault="007B58FA">
      <w:pPr>
        <w:pStyle w:val="FootnoteText"/>
      </w:pPr>
      <w:r>
        <w:rPr>
          <w:rStyle w:val="FootnoteReference"/>
        </w:rPr>
        <w:footnoteRef/>
      </w:r>
      <w:r>
        <w:t xml:space="preserve"> </w:t>
      </w:r>
      <w:r w:rsidRPr="007B58FA">
        <w:rPr>
          <w:sz w:val="16"/>
          <w:szCs w:val="16"/>
        </w:rPr>
        <w:t>Bangladesh Agri-Machineries Merchants Association</w:t>
      </w:r>
    </w:p>
  </w:footnote>
  <w:footnote w:id="7">
    <w:p w14:paraId="18ED5B7C" w14:textId="4D3E2FF0" w:rsidR="008D1C34" w:rsidRPr="00E81292" w:rsidRDefault="008D1C34">
      <w:pPr>
        <w:pStyle w:val="FootnoteText"/>
        <w:rPr>
          <w:sz w:val="16"/>
          <w:szCs w:val="16"/>
        </w:rPr>
      </w:pPr>
      <w:r>
        <w:rPr>
          <w:rStyle w:val="FootnoteReference"/>
        </w:rPr>
        <w:footnoteRef/>
      </w:r>
      <w:r>
        <w:t xml:space="preserve"> </w:t>
      </w:r>
      <w:r w:rsidRPr="00E81292">
        <w:rPr>
          <w:sz w:val="16"/>
          <w:szCs w:val="16"/>
        </w:rPr>
        <w:t xml:space="preserve">Rapid Economic Appraisal Report </w:t>
      </w:r>
      <w:r w:rsidR="00CC7423" w:rsidRPr="00E81292">
        <w:rPr>
          <w:sz w:val="16"/>
          <w:szCs w:val="16"/>
        </w:rPr>
        <w:t>–</w:t>
      </w:r>
      <w:r w:rsidRPr="00E81292">
        <w:rPr>
          <w:sz w:val="16"/>
          <w:szCs w:val="16"/>
        </w:rPr>
        <w:t xml:space="preserve"> Bogura</w:t>
      </w:r>
      <w:r w:rsidR="00CC7423" w:rsidRPr="00E81292">
        <w:rPr>
          <w:sz w:val="16"/>
          <w:szCs w:val="16"/>
        </w:rPr>
        <w:t>, PRABRIDDHI,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CD57" w14:textId="3CE19423" w:rsidR="00683638" w:rsidRDefault="00683638">
    <w:pPr>
      <w:pStyle w:val="Header"/>
    </w:pPr>
    <w:r>
      <w:rPr>
        <w:noProof/>
      </w:rPr>
      <w:drawing>
        <wp:anchor distT="0" distB="0" distL="114300" distR="114300" simplePos="0" relativeHeight="251659264" behindDoc="0" locked="0" layoutInCell="1" allowOverlap="1" wp14:anchorId="34FCD596" wp14:editId="1EBD497E">
          <wp:simplePos x="0" y="0"/>
          <wp:positionH relativeFrom="margin">
            <wp:align>right</wp:align>
          </wp:positionH>
          <wp:positionV relativeFrom="paragraph">
            <wp:posOffset>-190500</wp:posOffset>
          </wp:positionV>
          <wp:extent cx="1312698" cy="650328"/>
          <wp:effectExtent l="0" t="0" r="1905" b="0"/>
          <wp:wrapThrough wrapText="bothSides">
            <wp:wrapPolygon edited="0">
              <wp:start x="0" y="0"/>
              <wp:lineTo x="0" y="20883"/>
              <wp:lineTo x="21318" y="20883"/>
              <wp:lineTo x="213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ABRIDDHI logo.png"/>
                  <pic:cNvPicPr/>
                </pic:nvPicPr>
                <pic:blipFill>
                  <a:blip r:embed="rId1">
                    <a:extLst>
                      <a:ext uri="{28A0092B-C50C-407E-A947-70E740481C1C}">
                        <a14:useLocalDpi xmlns:a14="http://schemas.microsoft.com/office/drawing/2010/main" val="0"/>
                      </a:ext>
                    </a:extLst>
                  </a:blip>
                  <a:stretch>
                    <a:fillRect/>
                  </a:stretch>
                </pic:blipFill>
                <pic:spPr>
                  <a:xfrm>
                    <a:off x="0" y="0"/>
                    <a:ext cx="1312698" cy="6503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00C"/>
    <w:multiLevelType w:val="hybridMultilevel"/>
    <w:tmpl w:val="D9BE0BA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A559B"/>
    <w:multiLevelType w:val="hybridMultilevel"/>
    <w:tmpl w:val="EA1602CC"/>
    <w:lvl w:ilvl="0" w:tplc="2DD822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415A6"/>
    <w:multiLevelType w:val="hybridMultilevel"/>
    <w:tmpl w:val="097C45AE"/>
    <w:lvl w:ilvl="0" w:tplc="83F0F8A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A5DFC"/>
    <w:multiLevelType w:val="hybridMultilevel"/>
    <w:tmpl w:val="52A84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368D7"/>
    <w:multiLevelType w:val="hybridMultilevel"/>
    <w:tmpl w:val="B2FE3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1F1837"/>
    <w:multiLevelType w:val="hybridMultilevel"/>
    <w:tmpl w:val="4F12FD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F10E9"/>
    <w:multiLevelType w:val="hybridMultilevel"/>
    <w:tmpl w:val="BC602ACE"/>
    <w:lvl w:ilvl="0" w:tplc="5B38D1E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442"/>
    <w:multiLevelType w:val="hybridMultilevel"/>
    <w:tmpl w:val="CA8A83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C560D7"/>
    <w:multiLevelType w:val="hybridMultilevel"/>
    <w:tmpl w:val="CA8A83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625C4"/>
    <w:multiLevelType w:val="hybridMultilevel"/>
    <w:tmpl w:val="1C7C188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1A69F7"/>
    <w:multiLevelType w:val="hybridMultilevel"/>
    <w:tmpl w:val="D9BECB8E"/>
    <w:lvl w:ilvl="0" w:tplc="27845540">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B7AD6"/>
    <w:multiLevelType w:val="hybridMultilevel"/>
    <w:tmpl w:val="5EEA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34215C"/>
    <w:multiLevelType w:val="hybridMultilevel"/>
    <w:tmpl w:val="1CCC0586"/>
    <w:lvl w:ilvl="0" w:tplc="CC14D62E">
      <w:numFmt w:val="bullet"/>
      <w:lvlText w:val="-"/>
      <w:lvlJc w:val="left"/>
      <w:pPr>
        <w:ind w:left="720" w:hanging="360"/>
      </w:pPr>
      <w:rPr>
        <w:rFonts w:ascii="Arial" w:eastAsiaTheme="minorEastAsia"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43D6"/>
    <w:multiLevelType w:val="hybridMultilevel"/>
    <w:tmpl w:val="D770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8D4291"/>
    <w:multiLevelType w:val="multilevel"/>
    <w:tmpl w:val="8C7623B0"/>
    <w:lvl w:ilvl="0">
      <w:start w:val="1"/>
      <w:numFmt w:val="decimal"/>
      <w:lvlText w:val="%1."/>
      <w:lvlJc w:val="left"/>
      <w:pPr>
        <w:ind w:left="360" w:hanging="360"/>
      </w:pPr>
      <w:rPr>
        <w:rFonts w:ascii="Arial Narrow" w:hAnsi="Arial Narrow" w:hint="default"/>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6507C9B"/>
    <w:multiLevelType w:val="hybridMultilevel"/>
    <w:tmpl w:val="848C6E34"/>
    <w:lvl w:ilvl="0" w:tplc="FC5AACA4">
      <w:start w:val="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E93030"/>
    <w:multiLevelType w:val="hybridMultilevel"/>
    <w:tmpl w:val="E030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132ADB"/>
    <w:multiLevelType w:val="multilevel"/>
    <w:tmpl w:val="E4DED820"/>
    <w:lvl w:ilvl="0">
      <w:start w:val="1"/>
      <w:numFmt w:val="decimal"/>
      <w:lvlText w:val="%1."/>
      <w:lvlJc w:val="left"/>
      <w:pPr>
        <w:ind w:left="360" w:hanging="360"/>
      </w:pPr>
      <w:rPr>
        <w:rFonts w:ascii="Arial Narrow" w:hAnsi="Arial Narrow" w:hint="default"/>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57D2005"/>
    <w:multiLevelType w:val="hybridMultilevel"/>
    <w:tmpl w:val="2848DC34"/>
    <w:lvl w:ilvl="0" w:tplc="00E6B89E">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17841">
    <w:abstractNumId w:val="17"/>
  </w:num>
  <w:num w:numId="2" w16cid:durableId="2122189862">
    <w:abstractNumId w:val="14"/>
  </w:num>
  <w:num w:numId="3" w16cid:durableId="781194025">
    <w:abstractNumId w:val="13"/>
  </w:num>
  <w:num w:numId="4" w16cid:durableId="605576615">
    <w:abstractNumId w:val="0"/>
  </w:num>
  <w:num w:numId="5" w16cid:durableId="1662388339">
    <w:abstractNumId w:val="5"/>
  </w:num>
  <w:num w:numId="6" w16cid:durableId="1449814322">
    <w:abstractNumId w:val="15"/>
  </w:num>
  <w:num w:numId="7" w16cid:durableId="23941630">
    <w:abstractNumId w:val="2"/>
  </w:num>
  <w:num w:numId="8" w16cid:durableId="1757242465">
    <w:abstractNumId w:val="8"/>
  </w:num>
  <w:num w:numId="9" w16cid:durableId="800416086">
    <w:abstractNumId w:val="7"/>
  </w:num>
  <w:num w:numId="10" w16cid:durableId="168982120">
    <w:abstractNumId w:val="9"/>
  </w:num>
  <w:num w:numId="11" w16cid:durableId="96291095">
    <w:abstractNumId w:val="3"/>
  </w:num>
  <w:num w:numId="12" w16cid:durableId="1167554440">
    <w:abstractNumId w:val="18"/>
  </w:num>
  <w:num w:numId="13" w16cid:durableId="1020084605">
    <w:abstractNumId w:val="4"/>
  </w:num>
  <w:num w:numId="14" w16cid:durableId="945307315">
    <w:abstractNumId w:val="11"/>
  </w:num>
  <w:num w:numId="15" w16cid:durableId="1156141156">
    <w:abstractNumId w:val="16"/>
  </w:num>
  <w:num w:numId="16" w16cid:durableId="288056320">
    <w:abstractNumId w:val="10"/>
  </w:num>
  <w:num w:numId="17" w16cid:durableId="613483137">
    <w:abstractNumId w:val="6"/>
  </w:num>
  <w:num w:numId="18" w16cid:durableId="1122964935">
    <w:abstractNumId w:val="12"/>
  </w:num>
  <w:num w:numId="19" w16cid:durableId="162334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E6"/>
    <w:rsid w:val="000007B8"/>
    <w:rsid w:val="00005272"/>
    <w:rsid w:val="00006DE3"/>
    <w:rsid w:val="00007A1C"/>
    <w:rsid w:val="00010AD7"/>
    <w:rsid w:val="00011AD1"/>
    <w:rsid w:val="000273CF"/>
    <w:rsid w:val="00030A6A"/>
    <w:rsid w:val="00032153"/>
    <w:rsid w:val="00051EAE"/>
    <w:rsid w:val="00061C2E"/>
    <w:rsid w:val="000643C1"/>
    <w:rsid w:val="00065A00"/>
    <w:rsid w:val="00065DEC"/>
    <w:rsid w:val="0006624C"/>
    <w:rsid w:val="000943E7"/>
    <w:rsid w:val="00095E3B"/>
    <w:rsid w:val="000A17A2"/>
    <w:rsid w:val="000A3F16"/>
    <w:rsid w:val="000A62DD"/>
    <w:rsid w:val="000A718E"/>
    <w:rsid w:val="000B2CE6"/>
    <w:rsid w:val="000B4CB8"/>
    <w:rsid w:val="000B51CA"/>
    <w:rsid w:val="000B6697"/>
    <w:rsid w:val="000D00EC"/>
    <w:rsid w:val="000D3730"/>
    <w:rsid w:val="000D5BA0"/>
    <w:rsid w:val="000E22F3"/>
    <w:rsid w:val="000E3B16"/>
    <w:rsid w:val="000F1FA4"/>
    <w:rsid w:val="000F3671"/>
    <w:rsid w:val="001041CB"/>
    <w:rsid w:val="00104462"/>
    <w:rsid w:val="00107946"/>
    <w:rsid w:val="001133BE"/>
    <w:rsid w:val="0012144F"/>
    <w:rsid w:val="00122C36"/>
    <w:rsid w:val="00124DE7"/>
    <w:rsid w:val="00126744"/>
    <w:rsid w:val="001313AD"/>
    <w:rsid w:val="00132070"/>
    <w:rsid w:val="00135788"/>
    <w:rsid w:val="001364DC"/>
    <w:rsid w:val="001414FE"/>
    <w:rsid w:val="00144865"/>
    <w:rsid w:val="00147BDD"/>
    <w:rsid w:val="001504B1"/>
    <w:rsid w:val="001519F4"/>
    <w:rsid w:val="00153839"/>
    <w:rsid w:val="001544C5"/>
    <w:rsid w:val="001606C3"/>
    <w:rsid w:val="00160E9B"/>
    <w:rsid w:val="00170215"/>
    <w:rsid w:val="0018261D"/>
    <w:rsid w:val="00183ED8"/>
    <w:rsid w:val="001937F5"/>
    <w:rsid w:val="00194BC9"/>
    <w:rsid w:val="001957C3"/>
    <w:rsid w:val="001A0022"/>
    <w:rsid w:val="001A4428"/>
    <w:rsid w:val="001B0DCA"/>
    <w:rsid w:val="001B2AC5"/>
    <w:rsid w:val="001B65B2"/>
    <w:rsid w:val="001C7583"/>
    <w:rsid w:val="001D0C4E"/>
    <w:rsid w:val="001D3505"/>
    <w:rsid w:val="001D4518"/>
    <w:rsid w:val="001E20F5"/>
    <w:rsid w:val="001E2216"/>
    <w:rsid w:val="001E2330"/>
    <w:rsid w:val="001E471E"/>
    <w:rsid w:val="001E5198"/>
    <w:rsid w:val="001F2712"/>
    <w:rsid w:val="001F3D31"/>
    <w:rsid w:val="001F6D69"/>
    <w:rsid w:val="002053EA"/>
    <w:rsid w:val="0020619E"/>
    <w:rsid w:val="002118BC"/>
    <w:rsid w:val="0021580D"/>
    <w:rsid w:val="0022463C"/>
    <w:rsid w:val="002261C1"/>
    <w:rsid w:val="00231C8A"/>
    <w:rsid w:val="00235097"/>
    <w:rsid w:val="002417A6"/>
    <w:rsid w:val="00246861"/>
    <w:rsid w:val="00246B80"/>
    <w:rsid w:val="00250932"/>
    <w:rsid w:val="00251AA2"/>
    <w:rsid w:val="002534BE"/>
    <w:rsid w:val="002536E5"/>
    <w:rsid w:val="00254AF8"/>
    <w:rsid w:val="00264055"/>
    <w:rsid w:val="00270084"/>
    <w:rsid w:val="00271A70"/>
    <w:rsid w:val="00271AE1"/>
    <w:rsid w:val="002774AB"/>
    <w:rsid w:val="00280B4A"/>
    <w:rsid w:val="00283242"/>
    <w:rsid w:val="00284F13"/>
    <w:rsid w:val="002944DA"/>
    <w:rsid w:val="0029609A"/>
    <w:rsid w:val="002A1A59"/>
    <w:rsid w:val="002A3ADC"/>
    <w:rsid w:val="002A407C"/>
    <w:rsid w:val="002A4695"/>
    <w:rsid w:val="002A4CF1"/>
    <w:rsid w:val="002A601A"/>
    <w:rsid w:val="002B0155"/>
    <w:rsid w:val="002B0CEE"/>
    <w:rsid w:val="002B2B3F"/>
    <w:rsid w:val="002B4344"/>
    <w:rsid w:val="002D0596"/>
    <w:rsid w:val="002D0B17"/>
    <w:rsid w:val="002D1D48"/>
    <w:rsid w:val="002E42F0"/>
    <w:rsid w:val="002E4DC1"/>
    <w:rsid w:val="002E6CDE"/>
    <w:rsid w:val="002F2ABC"/>
    <w:rsid w:val="002F50AA"/>
    <w:rsid w:val="002F5735"/>
    <w:rsid w:val="002F62E1"/>
    <w:rsid w:val="002F7459"/>
    <w:rsid w:val="003002A1"/>
    <w:rsid w:val="003064AB"/>
    <w:rsid w:val="003066CB"/>
    <w:rsid w:val="00312736"/>
    <w:rsid w:val="00315CC7"/>
    <w:rsid w:val="0031771A"/>
    <w:rsid w:val="003210F5"/>
    <w:rsid w:val="00332CC7"/>
    <w:rsid w:val="00334963"/>
    <w:rsid w:val="00335CA5"/>
    <w:rsid w:val="00341285"/>
    <w:rsid w:val="0034296C"/>
    <w:rsid w:val="00345A3C"/>
    <w:rsid w:val="003521F3"/>
    <w:rsid w:val="003632FF"/>
    <w:rsid w:val="00365DDE"/>
    <w:rsid w:val="003663E1"/>
    <w:rsid w:val="00374A0F"/>
    <w:rsid w:val="00375C68"/>
    <w:rsid w:val="00376DD6"/>
    <w:rsid w:val="00381D2D"/>
    <w:rsid w:val="00382310"/>
    <w:rsid w:val="00385689"/>
    <w:rsid w:val="00390CE5"/>
    <w:rsid w:val="003946DB"/>
    <w:rsid w:val="003A060E"/>
    <w:rsid w:val="003A4C5B"/>
    <w:rsid w:val="003A4DE7"/>
    <w:rsid w:val="003B77C3"/>
    <w:rsid w:val="003B7F5A"/>
    <w:rsid w:val="003C1D95"/>
    <w:rsid w:val="003C4513"/>
    <w:rsid w:val="003D188A"/>
    <w:rsid w:val="003D1CB6"/>
    <w:rsid w:val="003D24AC"/>
    <w:rsid w:val="003E09FE"/>
    <w:rsid w:val="003E0E57"/>
    <w:rsid w:val="003E3947"/>
    <w:rsid w:val="003F5145"/>
    <w:rsid w:val="003F67BA"/>
    <w:rsid w:val="004066A4"/>
    <w:rsid w:val="00413195"/>
    <w:rsid w:val="00414F9D"/>
    <w:rsid w:val="00416489"/>
    <w:rsid w:val="004220BC"/>
    <w:rsid w:val="0042290D"/>
    <w:rsid w:val="004233A8"/>
    <w:rsid w:val="00424FCD"/>
    <w:rsid w:val="0042607A"/>
    <w:rsid w:val="0043041D"/>
    <w:rsid w:val="00441306"/>
    <w:rsid w:val="004424D6"/>
    <w:rsid w:val="00450F9E"/>
    <w:rsid w:val="00457569"/>
    <w:rsid w:val="00462651"/>
    <w:rsid w:val="00464A0F"/>
    <w:rsid w:val="00465323"/>
    <w:rsid w:val="00474A36"/>
    <w:rsid w:val="0048224F"/>
    <w:rsid w:val="00482ECA"/>
    <w:rsid w:val="004842AF"/>
    <w:rsid w:val="0048785A"/>
    <w:rsid w:val="00496845"/>
    <w:rsid w:val="00496B99"/>
    <w:rsid w:val="004A019E"/>
    <w:rsid w:val="004A25D1"/>
    <w:rsid w:val="004A27F5"/>
    <w:rsid w:val="004B2984"/>
    <w:rsid w:val="004B4769"/>
    <w:rsid w:val="004B4E6F"/>
    <w:rsid w:val="004B6FBD"/>
    <w:rsid w:val="004C4AF5"/>
    <w:rsid w:val="004C776E"/>
    <w:rsid w:val="004E431F"/>
    <w:rsid w:val="004E44ED"/>
    <w:rsid w:val="004E5F20"/>
    <w:rsid w:val="004E6F66"/>
    <w:rsid w:val="004F31EF"/>
    <w:rsid w:val="00501E62"/>
    <w:rsid w:val="005032E4"/>
    <w:rsid w:val="00506BF6"/>
    <w:rsid w:val="00506CC4"/>
    <w:rsid w:val="00510108"/>
    <w:rsid w:val="00510930"/>
    <w:rsid w:val="00512B41"/>
    <w:rsid w:val="00517A46"/>
    <w:rsid w:val="00522637"/>
    <w:rsid w:val="00526787"/>
    <w:rsid w:val="005331F5"/>
    <w:rsid w:val="00533CB2"/>
    <w:rsid w:val="00535A5B"/>
    <w:rsid w:val="005371B9"/>
    <w:rsid w:val="00543327"/>
    <w:rsid w:val="00545B88"/>
    <w:rsid w:val="00547D69"/>
    <w:rsid w:val="00555E93"/>
    <w:rsid w:val="005602D9"/>
    <w:rsid w:val="005608C4"/>
    <w:rsid w:val="00566AE2"/>
    <w:rsid w:val="00572BB2"/>
    <w:rsid w:val="00587985"/>
    <w:rsid w:val="005922A8"/>
    <w:rsid w:val="00592D06"/>
    <w:rsid w:val="005937CE"/>
    <w:rsid w:val="0059382F"/>
    <w:rsid w:val="005A2E7D"/>
    <w:rsid w:val="005A30C0"/>
    <w:rsid w:val="005A3F0D"/>
    <w:rsid w:val="005A7CA0"/>
    <w:rsid w:val="005B0C3F"/>
    <w:rsid w:val="005B1A0D"/>
    <w:rsid w:val="005B2935"/>
    <w:rsid w:val="005B2AFD"/>
    <w:rsid w:val="005B2D21"/>
    <w:rsid w:val="005B638A"/>
    <w:rsid w:val="005B6A4B"/>
    <w:rsid w:val="005C193A"/>
    <w:rsid w:val="005C39B5"/>
    <w:rsid w:val="005D1A9B"/>
    <w:rsid w:val="005D1EF0"/>
    <w:rsid w:val="005D24C3"/>
    <w:rsid w:val="005E4CF5"/>
    <w:rsid w:val="005E6FF7"/>
    <w:rsid w:val="005E7C1B"/>
    <w:rsid w:val="005F05D8"/>
    <w:rsid w:val="005F492C"/>
    <w:rsid w:val="006126AC"/>
    <w:rsid w:val="0062210D"/>
    <w:rsid w:val="0062314E"/>
    <w:rsid w:val="00624296"/>
    <w:rsid w:val="00626350"/>
    <w:rsid w:val="00631BB8"/>
    <w:rsid w:val="0065011C"/>
    <w:rsid w:val="00652776"/>
    <w:rsid w:val="00652B87"/>
    <w:rsid w:val="00652BB7"/>
    <w:rsid w:val="00654364"/>
    <w:rsid w:val="00655D70"/>
    <w:rsid w:val="006630EA"/>
    <w:rsid w:val="00663FCD"/>
    <w:rsid w:val="006664DD"/>
    <w:rsid w:val="006669E6"/>
    <w:rsid w:val="00672BE8"/>
    <w:rsid w:val="0067624D"/>
    <w:rsid w:val="00676333"/>
    <w:rsid w:val="0067769C"/>
    <w:rsid w:val="006822CD"/>
    <w:rsid w:val="006824B1"/>
    <w:rsid w:val="00682E0B"/>
    <w:rsid w:val="00683638"/>
    <w:rsid w:val="00686F03"/>
    <w:rsid w:val="00692BF5"/>
    <w:rsid w:val="00692E6A"/>
    <w:rsid w:val="006A00FC"/>
    <w:rsid w:val="006A329F"/>
    <w:rsid w:val="006A68F7"/>
    <w:rsid w:val="006B0B17"/>
    <w:rsid w:val="006B0E88"/>
    <w:rsid w:val="006B3B94"/>
    <w:rsid w:val="006B5530"/>
    <w:rsid w:val="006C04FD"/>
    <w:rsid w:val="006C19AC"/>
    <w:rsid w:val="006C4A5C"/>
    <w:rsid w:val="006D1DA1"/>
    <w:rsid w:val="006D2A33"/>
    <w:rsid w:val="006E0815"/>
    <w:rsid w:val="006E7B25"/>
    <w:rsid w:val="006F434D"/>
    <w:rsid w:val="006F43E6"/>
    <w:rsid w:val="006F47F3"/>
    <w:rsid w:val="007005C1"/>
    <w:rsid w:val="00710C10"/>
    <w:rsid w:val="007114F0"/>
    <w:rsid w:val="007159A1"/>
    <w:rsid w:val="00717BF0"/>
    <w:rsid w:val="00721E5B"/>
    <w:rsid w:val="0072235A"/>
    <w:rsid w:val="007228EE"/>
    <w:rsid w:val="00723AB1"/>
    <w:rsid w:val="007369EF"/>
    <w:rsid w:val="007407E7"/>
    <w:rsid w:val="00742862"/>
    <w:rsid w:val="00754746"/>
    <w:rsid w:val="00754B4D"/>
    <w:rsid w:val="00754DB2"/>
    <w:rsid w:val="00756711"/>
    <w:rsid w:val="0075777B"/>
    <w:rsid w:val="00757F0A"/>
    <w:rsid w:val="00760720"/>
    <w:rsid w:val="00762A4F"/>
    <w:rsid w:val="00770C23"/>
    <w:rsid w:val="007738DA"/>
    <w:rsid w:val="00781B52"/>
    <w:rsid w:val="00791348"/>
    <w:rsid w:val="00793A92"/>
    <w:rsid w:val="007A20EC"/>
    <w:rsid w:val="007A5846"/>
    <w:rsid w:val="007B103C"/>
    <w:rsid w:val="007B2A7B"/>
    <w:rsid w:val="007B41AD"/>
    <w:rsid w:val="007B439C"/>
    <w:rsid w:val="007B58FA"/>
    <w:rsid w:val="007B646E"/>
    <w:rsid w:val="007C4402"/>
    <w:rsid w:val="007D06B9"/>
    <w:rsid w:val="007D1C7D"/>
    <w:rsid w:val="007D46FF"/>
    <w:rsid w:val="007D707C"/>
    <w:rsid w:val="007D7EF6"/>
    <w:rsid w:val="007E1381"/>
    <w:rsid w:val="007E5CE4"/>
    <w:rsid w:val="007E6C3C"/>
    <w:rsid w:val="008022C2"/>
    <w:rsid w:val="0080294D"/>
    <w:rsid w:val="008069AD"/>
    <w:rsid w:val="008111EE"/>
    <w:rsid w:val="008116F4"/>
    <w:rsid w:val="00812054"/>
    <w:rsid w:val="0082535A"/>
    <w:rsid w:val="00825D9D"/>
    <w:rsid w:val="008307E1"/>
    <w:rsid w:val="0083141E"/>
    <w:rsid w:val="0083581C"/>
    <w:rsid w:val="00837341"/>
    <w:rsid w:val="00842D03"/>
    <w:rsid w:val="0085352B"/>
    <w:rsid w:val="00853B2A"/>
    <w:rsid w:val="00863A8F"/>
    <w:rsid w:val="00866C7D"/>
    <w:rsid w:val="008738CC"/>
    <w:rsid w:val="0088005D"/>
    <w:rsid w:val="008939AF"/>
    <w:rsid w:val="00897066"/>
    <w:rsid w:val="008A0C4F"/>
    <w:rsid w:val="008A6083"/>
    <w:rsid w:val="008B1BC6"/>
    <w:rsid w:val="008B72E6"/>
    <w:rsid w:val="008B781B"/>
    <w:rsid w:val="008C37D6"/>
    <w:rsid w:val="008D0A2A"/>
    <w:rsid w:val="008D1C34"/>
    <w:rsid w:val="008D2CB6"/>
    <w:rsid w:val="008D7AC5"/>
    <w:rsid w:val="008E41AE"/>
    <w:rsid w:val="008E5920"/>
    <w:rsid w:val="008E7CBB"/>
    <w:rsid w:val="009113B7"/>
    <w:rsid w:val="00915E4D"/>
    <w:rsid w:val="009170C1"/>
    <w:rsid w:val="009215F3"/>
    <w:rsid w:val="0092205F"/>
    <w:rsid w:val="009226A5"/>
    <w:rsid w:val="009236F4"/>
    <w:rsid w:val="00924D5A"/>
    <w:rsid w:val="009369B3"/>
    <w:rsid w:val="00941029"/>
    <w:rsid w:val="00943213"/>
    <w:rsid w:val="009452F8"/>
    <w:rsid w:val="0094662F"/>
    <w:rsid w:val="00946D8E"/>
    <w:rsid w:val="009526D5"/>
    <w:rsid w:val="0095680B"/>
    <w:rsid w:val="00956E45"/>
    <w:rsid w:val="0096097A"/>
    <w:rsid w:val="009618BB"/>
    <w:rsid w:val="00962A68"/>
    <w:rsid w:val="00963239"/>
    <w:rsid w:val="00963D0D"/>
    <w:rsid w:val="00972BC3"/>
    <w:rsid w:val="00976CCB"/>
    <w:rsid w:val="009816A1"/>
    <w:rsid w:val="00983A87"/>
    <w:rsid w:val="00985497"/>
    <w:rsid w:val="0098685E"/>
    <w:rsid w:val="0099022E"/>
    <w:rsid w:val="009A5EDE"/>
    <w:rsid w:val="009B0076"/>
    <w:rsid w:val="009B55A1"/>
    <w:rsid w:val="009C00FE"/>
    <w:rsid w:val="009C323B"/>
    <w:rsid w:val="009D30C4"/>
    <w:rsid w:val="009E1305"/>
    <w:rsid w:val="009E2FE5"/>
    <w:rsid w:val="009E5B46"/>
    <w:rsid w:val="009E701E"/>
    <w:rsid w:val="009F0B95"/>
    <w:rsid w:val="009F1847"/>
    <w:rsid w:val="00A004CD"/>
    <w:rsid w:val="00A01371"/>
    <w:rsid w:val="00A01C54"/>
    <w:rsid w:val="00A03BDE"/>
    <w:rsid w:val="00A06987"/>
    <w:rsid w:val="00A07A6C"/>
    <w:rsid w:val="00A11B90"/>
    <w:rsid w:val="00A44BA7"/>
    <w:rsid w:val="00A452E8"/>
    <w:rsid w:val="00A51F64"/>
    <w:rsid w:val="00A5459F"/>
    <w:rsid w:val="00A57724"/>
    <w:rsid w:val="00A60444"/>
    <w:rsid w:val="00A76C26"/>
    <w:rsid w:val="00A778DD"/>
    <w:rsid w:val="00A80A96"/>
    <w:rsid w:val="00A80C34"/>
    <w:rsid w:val="00A83929"/>
    <w:rsid w:val="00A904C5"/>
    <w:rsid w:val="00A927F2"/>
    <w:rsid w:val="00A933F8"/>
    <w:rsid w:val="00AA1A93"/>
    <w:rsid w:val="00AA1CA1"/>
    <w:rsid w:val="00AA2ED8"/>
    <w:rsid w:val="00AA2FC9"/>
    <w:rsid w:val="00AA340E"/>
    <w:rsid w:val="00AB1A7F"/>
    <w:rsid w:val="00AC009A"/>
    <w:rsid w:val="00AC63C7"/>
    <w:rsid w:val="00AD2FC6"/>
    <w:rsid w:val="00AE0C9F"/>
    <w:rsid w:val="00AE7077"/>
    <w:rsid w:val="00AE7711"/>
    <w:rsid w:val="00AE7C25"/>
    <w:rsid w:val="00AF34E6"/>
    <w:rsid w:val="00B01C94"/>
    <w:rsid w:val="00B07258"/>
    <w:rsid w:val="00B24FA9"/>
    <w:rsid w:val="00B335E4"/>
    <w:rsid w:val="00B3388A"/>
    <w:rsid w:val="00B349E8"/>
    <w:rsid w:val="00B354E9"/>
    <w:rsid w:val="00B364F5"/>
    <w:rsid w:val="00B40FD9"/>
    <w:rsid w:val="00B431AC"/>
    <w:rsid w:val="00B440C5"/>
    <w:rsid w:val="00B4506F"/>
    <w:rsid w:val="00B51478"/>
    <w:rsid w:val="00B55975"/>
    <w:rsid w:val="00B63D47"/>
    <w:rsid w:val="00B6614C"/>
    <w:rsid w:val="00B66215"/>
    <w:rsid w:val="00B8044B"/>
    <w:rsid w:val="00B8197A"/>
    <w:rsid w:val="00B87FF8"/>
    <w:rsid w:val="00B93380"/>
    <w:rsid w:val="00BA02DC"/>
    <w:rsid w:val="00BA0CDC"/>
    <w:rsid w:val="00BA2262"/>
    <w:rsid w:val="00BB10F9"/>
    <w:rsid w:val="00BB1823"/>
    <w:rsid w:val="00BC06D1"/>
    <w:rsid w:val="00BC0D90"/>
    <w:rsid w:val="00BC1A57"/>
    <w:rsid w:val="00BC2625"/>
    <w:rsid w:val="00BC6500"/>
    <w:rsid w:val="00BC6CC3"/>
    <w:rsid w:val="00BC7217"/>
    <w:rsid w:val="00BD3ADC"/>
    <w:rsid w:val="00BD6D02"/>
    <w:rsid w:val="00BE3B27"/>
    <w:rsid w:val="00BE4E19"/>
    <w:rsid w:val="00C00D27"/>
    <w:rsid w:val="00C0187D"/>
    <w:rsid w:val="00C0277D"/>
    <w:rsid w:val="00C039AB"/>
    <w:rsid w:val="00C05CD9"/>
    <w:rsid w:val="00C11377"/>
    <w:rsid w:val="00C1340F"/>
    <w:rsid w:val="00C14384"/>
    <w:rsid w:val="00C163AD"/>
    <w:rsid w:val="00C21373"/>
    <w:rsid w:val="00C21F2E"/>
    <w:rsid w:val="00C221F7"/>
    <w:rsid w:val="00C25384"/>
    <w:rsid w:val="00C31863"/>
    <w:rsid w:val="00C351B3"/>
    <w:rsid w:val="00C354EB"/>
    <w:rsid w:val="00C41F71"/>
    <w:rsid w:val="00C447D3"/>
    <w:rsid w:val="00C45134"/>
    <w:rsid w:val="00C46088"/>
    <w:rsid w:val="00C47BEA"/>
    <w:rsid w:val="00C52988"/>
    <w:rsid w:val="00C53149"/>
    <w:rsid w:val="00C5487D"/>
    <w:rsid w:val="00C56F58"/>
    <w:rsid w:val="00C623AC"/>
    <w:rsid w:val="00C637DF"/>
    <w:rsid w:val="00C65739"/>
    <w:rsid w:val="00C74FFD"/>
    <w:rsid w:val="00C77CD7"/>
    <w:rsid w:val="00C853B5"/>
    <w:rsid w:val="00C905AB"/>
    <w:rsid w:val="00C9072F"/>
    <w:rsid w:val="00C92C0C"/>
    <w:rsid w:val="00C93566"/>
    <w:rsid w:val="00C97DB0"/>
    <w:rsid w:val="00CA0183"/>
    <w:rsid w:val="00CA1AD4"/>
    <w:rsid w:val="00CA52E7"/>
    <w:rsid w:val="00CA7117"/>
    <w:rsid w:val="00CB02BC"/>
    <w:rsid w:val="00CB2091"/>
    <w:rsid w:val="00CC066C"/>
    <w:rsid w:val="00CC170C"/>
    <w:rsid w:val="00CC316D"/>
    <w:rsid w:val="00CC3ADB"/>
    <w:rsid w:val="00CC50F7"/>
    <w:rsid w:val="00CC7423"/>
    <w:rsid w:val="00CD005E"/>
    <w:rsid w:val="00CD0AAB"/>
    <w:rsid w:val="00CD35CC"/>
    <w:rsid w:val="00CD3B71"/>
    <w:rsid w:val="00CD5B32"/>
    <w:rsid w:val="00CD63EA"/>
    <w:rsid w:val="00CE04CD"/>
    <w:rsid w:val="00CE087D"/>
    <w:rsid w:val="00CE1B8C"/>
    <w:rsid w:val="00CE40F8"/>
    <w:rsid w:val="00CF36D3"/>
    <w:rsid w:val="00CF443C"/>
    <w:rsid w:val="00CF529B"/>
    <w:rsid w:val="00D004CD"/>
    <w:rsid w:val="00D03CAB"/>
    <w:rsid w:val="00D05D1C"/>
    <w:rsid w:val="00D207CE"/>
    <w:rsid w:val="00D213F9"/>
    <w:rsid w:val="00D34B28"/>
    <w:rsid w:val="00D35347"/>
    <w:rsid w:val="00D36729"/>
    <w:rsid w:val="00D3731E"/>
    <w:rsid w:val="00D3783D"/>
    <w:rsid w:val="00D413CD"/>
    <w:rsid w:val="00D46BE5"/>
    <w:rsid w:val="00D47F71"/>
    <w:rsid w:val="00D5590D"/>
    <w:rsid w:val="00D652B3"/>
    <w:rsid w:val="00D702EA"/>
    <w:rsid w:val="00D72CD9"/>
    <w:rsid w:val="00D73493"/>
    <w:rsid w:val="00D76CF0"/>
    <w:rsid w:val="00D77579"/>
    <w:rsid w:val="00D82D3B"/>
    <w:rsid w:val="00D83BFC"/>
    <w:rsid w:val="00D917E3"/>
    <w:rsid w:val="00D925EB"/>
    <w:rsid w:val="00D928C5"/>
    <w:rsid w:val="00D93683"/>
    <w:rsid w:val="00D97F5C"/>
    <w:rsid w:val="00DA6696"/>
    <w:rsid w:val="00DA676C"/>
    <w:rsid w:val="00DB0E86"/>
    <w:rsid w:val="00DB3A2D"/>
    <w:rsid w:val="00DB5273"/>
    <w:rsid w:val="00DB581C"/>
    <w:rsid w:val="00DC0395"/>
    <w:rsid w:val="00DC1CBA"/>
    <w:rsid w:val="00DC47EE"/>
    <w:rsid w:val="00DC4B94"/>
    <w:rsid w:val="00DC728A"/>
    <w:rsid w:val="00DD1E6C"/>
    <w:rsid w:val="00DD5DBB"/>
    <w:rsid w:val="00DE70E7"/>
    <w:rsid w:val="00DE719B"/>
    <w:rsid w:val="00DE74DF"/>
    <w:rsid w:val="00DE7F90"/>
    <w:rsid w:val="00DF03BF"/>
    <w:rsid w:val="00DF24D9"/>
    <w:rsid w:val="00DF515A"/>
    <w:rsid w:val="00DF5F44"/>
    <w:rsid w:val="00E029D3"/>
    <w:rsid w:val="00E07A48"/>
    <w:rsid w:val="00E12E05"/>
    <w:rsid w:val="00E20EF9"/>
    <w:rsid w:val="00E25966"/>
    <w:rsid w:val="00E34271"/>
    <w:rsid w:val="00E36519"/>
    <w:rsid w:val="00E36B82"/>
    <w:rsid w:val="00E47FED"/>
    <w:rsid w:val="00E51E10"/>
    <w:rsid w:val="00E53A8E"/>
    <w:rsid w:val="00E56546"/>
    <w:rsid w:val="00E56790"/>
    <w:rsid w:val="00E57F3A"/>
    <w:rsid w:val="00E60140"/>
    <w:rsid w:val="00E66224"/>
    <w:rsid w:val="00E71589"/>
    <w:rsid w:val="00E74044"/>
    <w:rsid w:val="00E769B4"/>
    <w:rsid w:val="00E81292"/>
    <w:rsid w:val="00E81F18"/>
    <w:rsid w:val="00E87AF2"/>
    <w:rsid w:val="00E87C67"/>
    <w:rsid w:val="00E95838"/>
    <w:rsid w:val="00E9778D"/>
    <w:rsid w:val="00EA1AB9"/>
    <w:rsid w:val="00EA223F"/>
    <w:rsid w:val="00EA4409"/>
    <w:rsid w:val="00EB05BF"/>
    <w:rsid w:val="00EB70BF"/>
    <w:rsid w:val="00EC164A"/>
    <w:rsid w:val="00EC3A9A"/>
    <w:rsid w:val="00ED49D0"/>
    <w:rsid w:val="00ED63CF"/>
    <w:rsid w:val="00EE09DC"/>
    <w:rsid w:val="00EE562D"/>
    <w:rsid w:val="00EF1A01"/>
    <w:rsid w:val="00F02770"/>
    <w:rsid w:val="00F04921"/>
    <w:rsid w:val="00F05F3E"/>
    <w:rsid w:val="00F17E8F"/>
    <w:rsid w:val="00F17ED4"/>
    <w:rsid w:val="00F218D8"/>
    <w:rsid w:val="00F276F9"/>
    <w:rsid w:val="00F31F30"/>
    <w:rsid w:val="00F375C2"/>
    <w:rsid w:val="00F40EB8"/>
    <w:rsid w:val="00F41F38"/>
    <w:rsid w:val="00F455E2"/>
    <w:rsid w:val="00F45E2A"/>
    <w:rsid w:val="00F475C5"/>
    <w:rsid w:val="00F55453"/>
    <w:rsid w:val="00F61274"/>
    <w:rsid w:val="00F64A28"/>
    <w:rsid w:val="00F70793"/>
    <w:rsid w:val="00F719CC"/>
    <w:rsid w:val="00F72711"/>
    <w:rsid w:val="00F82D62"/>
    <w:rsid w:val="00F82D6E"/>
    <w:rsid w:val="00F867FE"/>
    <w:rsid w:val="00F95D74"/>
    <w:rsid w:val="00FA0594"/>
    <w:rsid w:val="00FA24CE"/>
    <w:rsid w:val="00FB53B6"/>
    <w:rsid w:val="00FC04A2"/>
    <w:rsid w:val="00FC3D5F"/>
    <w:rsid w:val="00FC6D57"/>
    <w:rsid w:val="00FD5304"/>
    <w:rsid w:val="00FD6AB5"/>
    <w:rsid w:val="00FE045D"/>
    <w:rsid w:val="00FE1042"/>
    <w:rsid w:val="00FF1C2A"/>
    <w:rsid w:val="00FF2ADB"/>
    <w:rsid w:val="00FF32EC"/>
    <w:rsid w:val="00FF79A1"/>
    <w:rsid w:val="00FF7AB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F37A"/>
  <w15:chartTrackingRefBased/>
  <w15:docId w15:val="{08BACC9A-9395-44D6-8490-76237B42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D3"/>
    <w:pPr>
      <w:spacing w:after="60"/>
    </w:pPr>
    <w:rPr>
      <w:rFonts w:ascii="Arial Narrow" w:hAnsi="Arial Narrow"/>
      <w:lang w:val="en-US"/>
    </w:rPr>
  </w:style>
  <w:style w:type="paragraph" w:styleId="Heading1">
    <w:name w:val="heading 1"/>
    <w:basedOn w:val="Normal"/>
    <w:next w:val="Normal"/>
    <w:link w:val="Heading1Char"/>
    <w:uiPriority w:val="9"/>
    <w:qFormat/>
    <w:rsid w:val="00C039AB"/>
    <w:pPr>
      <w:keepNext/>
      <w:keepLines/>
      <w:spacing w:after="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DF5F44"/>
    <w:pPr>
      <w:keepNext/>
      <w:keepLines/>
      <w:spacing w:before="4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35A5B"/>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E5CE4"/>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638"/>
    <w:pPr>
      <w:tabs>
        <w:tab w:val="center" w:pos="4513"/>
        <w:tab w:val="right" w:pos="9026"/>
      </w:tabs>
      <w:spacing w:line="240" w:lineRule="auto"/>
    </w:pPr>
  </w:style>
  <w:style w:type="character" w:customStyle="1" w:styleId="HeaderChar">
    <w:name w:val="Header Char"/>
    <w:basedOn w:val="DefaultParagraphFont"/>
    <w:link w:val="Header"/>
    <w:uiPriority w:val="99"/>
    <w:rsid w:val="00683638"/>
    <w:rPr>
      <w:lang w:val="en-US"/>
    </w:rPr>
  </w:style>
  <w:style w:type="paragraph" w:styleId="Footer">
    <w:name w:val="footer"/>
    <w:basedOn w:val="Normal"/>
    <w:link w:val="FooterChar"/>
    <w:uiPriority w:val="99"/>
    <w:unhideWhenUsed/>
    <w:rsid w:val="00683638"/>
    <w:pPr>
      <w:tabs>
        <w:tab w:val="center" w:pos="4513"/>
        <w:tab w:val="right" w:pos="9026"/>
      </w:tabs>
      <w:spacing w:line="240" w:lineRule="auto"/>
    </w:pPr>
  </w:style>
  <w:style w:type="character" w:customStyle="1" w:styleId="FooterChar">
    <w:name w:val="Footer Char"/>
    <w:basedOn w:val="DefaultParagraphFont"/>
    <w:link w:val="Footer"/>
    <w:uiPriority w:val="99"/>
    <w:rsid w:val="00683638"/>
    <w:rPr>
      <w:lang w:val="en-US"/>
    </w:rPr>
  </w:style>
  <w:style w:type="character" w:customStyle="1" w:styleId="Heading2Char">
    <w:name w:val="Heading 2 Char"/>
    <w:basedOn w:val="DefaultParagraphFont"/>
    <w:link w:val="Heading2"/>
    <w:uiPriority w:val="9"/>
    <w:rsid w:val="00DF5F44"/>
    <w:rPr>
      <w:rFonts w:ascii="Arial Narrow" w:eastAsiaTheme="majorEastAsia" w:hAnsi="Arial Narrow" w:cstheme="majorBidi"/>
      <w:b/>
      <w:color w:val="2F5496" w:themeColor="accent1" w:themeShade="BF"/>
      <w:sz w:val="26"/>
      <w:szCs w:val="26"/>
      <w:lang w:val="en-US"/>
    </w:rPr>
  </w:style>
  <w:style w:type="character" w:customStyle="1" w:styleId="Heading3Char">
    <w:name w:val="Heading 3 Char"/>
    <w:basedOn w:val="DefaultParagraphFont"/>
    <w:link w:val="Heading3"/>
    <w:uiPriority w:val="9"/>
    <w:rsid w:val="00535A5B"/>
    <w:rPr>
      <w:rFonts w:ascii="Arial Narrow" w:eastAsiaTheme="majorEastAsia" w:hAnsi="Arial Narrow" w:cstheme="majorBidi"/>
      <w:b/>
      <w:sz w:val="24"/>
      <w:szCs w:val="24"/>
      <w:lang w:val="en-US"/>
    </w:rPr>
  </w:style>
  <w:style w:type="paragraph" w:styleId="ListParagraph">
    <w:name w:val="List Paragraph"/>
    <w:aliases w:val="Aufzählung Spiegelstrich,Main numbered paragraph,Paragraph,List Paragraph 1,List-Bulleted,References,Paragraphe de liste1,Normal 2,List Paragraph (numbered (a)),Citation List,Resume Title,Heading 41,ListBullet Paragraph,Numbered Paragraph"/>
    <w:basedOn w:val="Normal"/>
    <w:link w:val="ListParagraphChar"/>
    <w:uiPriority w:val="34"/>
    <w:qFormat/>
    <w:rsid w:val="008307E1"/>
    <w:pPr>
      <w:ind w:left="720"/>
      <w:contextualSpacing/>
    </w:pPr>
  </w:style>
  <w:style w:type="paragraph" w:styleId="Title">
    <w:name w:val="Title"/>
    <w:basedOn w:val="Normal"/>
    <w:link w:val="TitleChar"/>
    <w:uiPriority w:val="10"/>
    <w:qFormat/>
    <w:rsid w:val="003C4513"/>
    <w:pPr>
      <w:spacing w:after="0" w:line="240" w:lineRule="auto"/>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rsid w:val="003C4513"/>
    <w:rPr>
      <w:rFonts w:ascii="Arial Narrow" w:eastAsiaTheme="majorEastAsia" w:hAnsi="Arial Narrow" w:cstheme="majorBidi"/>
      <w:b/>
      <w:kern w:val="28"/>
      <w:sz w:val="32"/>
      <w:szCs w:val="56"/>
      <w:lang w:val="en-US"/>
    </w:rPr>
  </w:style>
  <w:style w:type="character" w:customStyle="1" w:styleId="Heading1Char">
    <w:name w:val="Heading 1 Char"/>
    <w:basedOn w:val="DefaultParagraphFont"/>
    <w:link w:val="Heading1"/>
    <w:uiPriority w:val="9"/>
    <w:rsid w:val="00C039AB"/>
    <w:rPr>
      <w:rFonts w:ascii="Arial Narrow" w:eastAsiaTheme="majorEastAsia" w:hAnsi="Arial Narrow" w:cstheme="majorBidi"/>
      <w:b/>
      <w:color w:val="2F5496" w:themeColor="accent1" w:themeShade="BF"/>
      <w:sz w:val="28"/>
      <w:szCs w:val="32"/>
      <w:lang w:val="en-US"/>
    </w:rPr>
  </w:style>
  <w:style w:type="character" w:styleId="Hyperlink">
    <w:name w:val="Hyperlink"/>
    <w:basedOn w:val="DefaultParagraphFont"/>
    <w:uiPriority w:val="99"/>
    <w:unhideWhenUsed/>
    <w:rsid w:val="005F492C"/>
    <w:rPr>
      <w:color w:val="0563C1" w:themeColor="hyperlink"/>
      <w:u w:val="single"/>
    </w:rPr>
  </w:style>
  <w:style w:type="character" w:styleId="UnresolvedMention">
    <w:name w:val="Unresolved Mention"/>
    <w:basedOn w:val="DefaultParagraphFont"/>
    <w:uiPriority w:val="99"/>
    <w:semiHidden/>
    <w:unhideWhenUsed/>
    <w:rsid w:val="005F492C"/>
    <w:rPr>
      <w:color w:val="605E5C"/>
      <w:shd w:val="clear" w:color="auto" w:fill="E1DFDD"/>
    </w:rPr>
  </w:style>
  <w:style w:type="paragraph" w:styleId="FootnoteText">
    <w:name w:val="footnote text"/>
    <w:basedOn w:val="Normal"/>
    <w:link w:val="FootnoteTextChar"/>
    <w:uiPriority w:val="99"/>
    <w:semiHidden/>
    <w:unhideWhenUsed/>
    <w:rsid w:val="009C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0FE"/>
    <w:rPr>
      <w:rFonts w:ascii="Arial Narrow" w:hAnsi="Arial Narrow"/>
      <w:sz w:val="20"/>
      <w:szCs w:val="20"/>
      <w:lang w:val="en-US"/>
    </w:rPr>
  </w:style>
  <w:style w:type="character" w:styleId="FootnoteReference">
    <w:name w:val="footnote reference"/>
    <w:basedOn w:val="DefaultParagraphFont"/>
    <w:uiPriority w:val="99"/>
    <w:semiHidden/>
    <w:unhideWhenUsed/>
    <w:rsid w:val="009C00FE"/>
    <w:rPr>
      <w:vertAlign w:val="superscript"/>
    </w:rPr>
  </w:style>
  <w:style w:type="character" w:customStyle="1" w:styleId="Heading4Char">
    <w:name w:val="Heading 4 Char"/>
    <w:basedOn w:val="DefaultParagraphFont"/>
    <w:link w:val="Heading4"/>
    <w:uiPriority w:val="9"/>
    <w:rsid w:val="007E5CE4"/>
    <w:rPr>
      <w:rFonts w:ascii="Arial Narrow" w:eastAsiaTheme="majorEastAsia" w:hAnsi="Arial Narrow" w:cstheme="majorBidi"/>
      <w:b/>
      <w:iCs/>
      <w:lang w:val="en-US"/>
    </w:rPr>
  </w:style>
  <w:style w:type="table" w:styleId="TableGrid">
    <w:name w:val="Table Grid"/>
    <w:basedOn w:val="TableNormal"/>
    <w:uiPriority w:val="39"/>
    <w:rsid w:val="004164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DEC"/>
    <w:rPr>
      <w:sz w:val="16"/>
      <w:szCs w:val="16"/>
    </w:rPr>
  </w:style>
  <w:style w:type="paragraph" w:styleId="CommentText">
    <w:name w:val="annotation text"/>
    <w:basedOn w:val="Normal"/>
    <w:link w:val="CommentTextChar"/>
    <w:uiPriority w:val="99"/>
    <w:semiHidden/>
    <w:unhideWhenUsed/>
    <w:rsid w:val="00065DEC"/>
    <w:pPr>
      <w:spacing w:line="240" w:lineRule="auto"/>
    </w:pPr>
    <w:rPr>
      <w:sz w:val="20"/>
      <w:szCs w:val="20"/>
    </w:rPr>
  </w:style>
  <w:style w:type="character" w:customStyle="1" w:styleId="CommentTextChar">
    <w:name w:val="Comment Text Char"/>
    <w:basedOn w:val="DefaultParagraphFont"/>
    <w:link w:val="CommentText"/>
    <w:uiPriority w:val="99"/>
    <w:semiHidden/>
    <w:rsid w:val="00065DEC"/>
    <w:rPr>
      <w:rFonts w:ascii="Arial Narrow" w:hAnsi="Arial Narrow"/>
      <w:sz w:val="20"/>
      <w:szCs w:val="20"/>
      <w:lang w:val="en-US"/>
    </w:rPr>
  </w:style>
  <w:style w:type="paragraph" w:styleId="CommentSubject">
    <w:name w:val="annotation subject"/>
    <w:basedOn w:val="CommentText"/>
    <w:next w:val="CommentText"/>
    <w:link w:val="CommentSubjectChar"/>
    <w:uiPriority w:val="99"/>
    <w:semiHidden/>
    <w:unhideWhenUsed/>
    <w:rsid w:val="00065DEC"/>
    <w:rPr>
      <w:b/>
      <w:bCs/>
    </w:rPr>
  </w:style>
  <w:style w:type="character" w:customStyle="1" w:styleId="CommentSubjectChar">
    <w:name w:val="Comment Subject Char"/>
    <w:basedOn w:val="CommentTextChar"/>
    <w:link w:val="CommentSubject"/>
    <w:uiPriority w:val="99"/>
    <w:semiHidden/>
    <w:rsid w:val="00065DEC"/>
    <w:rPr>
      <w:rFonts w:ascii="Arial Narrow" w:hAnsi="Arial Narrow"/>
      <w:b/>
      <w:bCs/>
      <w:sz w:val="20"/>
      <w:szCs w:val="20"/>
      <w:lang w:val="en-US"/>
    </w:rPr>
  </w:style>
  <w:style w:type="paragraph" w:styleId="Caption">
    <w:name w:val="caption"/>
    <w:basedOn w:val="Normal"/>
    <w:next w:val="Normal"/>
    <w:uiPriority w:val="35"/>
    <w:unhideWhenUsed/>
    <w:qFormat/>
    <w:rsid w:val="00246861"/>
    <w:pPr>
      <w:spacing w:after="200" w:line="240" w:lineRule="auto"/>
    </w:pPr>
    <w:rPr>
      <w:i/>
      <w:iCs/>
      <w:color w:val="44546A" w:themeColor="text2"/>
      <w:sz w:val="18"/>
      <w:szCs w:val="18"/>
    </w:rPr>
  </w:style>
  <w:style w:type="character" w:customStyle="1" w:styleId="ListParagraphChar">
    <w:name w:val="List Paragraph Char"/>
    <w:aliases w:val="Aufzählung Spiegelstrich Char,Main numbered paragraph Char,Paragraph Char,List Paragraph 1 Char,List-Bulleted Char,References Char,Paragraphe de liste1 Char,Normal 2 Char,List Paragraph (numbered (a)) Char,Citation List Char"/>
    <w:link w:val="ListParagraph"/>
    <w:uiPriority w:val="34"/>
    <w:qFormat/>
    <w:rsid w:val="002B0155"/>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fti.org.bd/pdf/Sector_Need_Assessment_Study_Light_Engineering.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prabriddhi@swisscontac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d.prabriddhi@swisscontact.org" TargetMode="External"/><Relationship Id="rId4" Type="http://schemas.openxmlformats.org/officeDocument/2006/relationships/settings" Target="settings.xml"/><Relationship Id="rId9" Type="http://schemas.openxmlformats.org/officeDocument/2006/relationships/hyperlink" Target="https://bida.gov.bd/storage/app/uploads/public/616/6c4/7da/6166c47dacedd867251640.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thedailystar.net/business/bogura-foundries-light-engineering-industries-flourish-against-odds-1857814" TargetMode="External"/><Relationship Id="rId1" Type="http://schemas.openxmlformats.org/officeDocument/2006/relationships/hyperlink" Target="http://www.smef.gov.bd/sites/default/files/files/smef.portal.gov.bd/files/e5e127d5_880a_411a_9910_50622bff866d/2020-10-06-16-57-42779da13626e72de73dfa26815fc0a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EEC3-D936-4A28-A4F5-5ABC1277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Rofiqul</dc:creator>
  <cp:keywords/>
  <dc:description/>
  <cp:lastModifiedBy>Mehjabin Ahmed</cp:lastModifiedBy>
  <cp:revision>5</cp:revision>
  <dcterms:created xsi:type="dcterms:W3CDTF">2022-12-05T05:29:00Z</dcterms:created>
  <dcterms:modified xsi:type="dcterms:W3CDTF">2022-12-27T06:12:00Z</dcterms:modified>
</cp:coreProperties>
</file>