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420F" w14:textId="77777777" w:rsidR="00495E2D" w:rsidRPr="007335AA" w:rsidRDefault="00495E2D" w:rsidP="00946AEB">
      <w:pPr>
        <w:autoSpaceDE w:val="0"/>
        <w:autoSpaceDN w:val="0"/>
        <w:adjustRightInd w:val="0"/>
        <w:spacing w:after="0" w:line="259" w:lineRule="auto"/>
        <w:jc w:val="center"/>
        <w:rPr>
          <w:rFonts w:cs="Calibri-Bold"/>
          <w:color w:val="00338D"/>
          <w:sz w:val="28"/>
          <w:szCs w:val="28"/>
        </w:rPr>
      </w:pPr>
      <w:r w:rsidRPr="007335AA">
        <w:rPr>
          <w:rFonts w:cs="Calibri-Bold"/>
          <w:color w:val="00338D"/>
          <w:sz w:val="28"/>
          <w:szCs w:val="28"/>
        </w:rPr>
        <w:t>Terms of Reference (ToR)</w:t>
      </w:r>
    </w:p>
    <w:p w14:paraId="24F2D759" w14:textId="77777777" w:rsidR="00495E2D" w:rsidRPr="007335AA" w:rsidRDefault="00495E2D" w:rsidP="00946AEB">
      <w:pPr>
        <w:autoSpaceDE w:val="0"/>
        <w:autoSpaceDN w:val="0"/>
        <w:adjustRightInd w:val="0"/>
        <w:spacing w:after="0" w:line="259" w:lineRule="auto"/>
        <w:jc w:val="center"/>
        <w:rPr>
          <w:rFonts w:cs="Calibri-Bold"/>
          <w:color w:val="00338D"/>
          <w:sz w:val="28"/>
          <w:szCs w:val="28"/>
        </w:rPr>
      </w:pPr>
      <w:r w:rsidRPr="007335AA">
        <w:rPr>
          <w:rFonts w:cs="Calibri-Bold"/>
          <w:color w:val="00338D"/>
          <w:sz w:val="28"/>
          <w:szCs w:val="28"/>
        </w:rPr>
        <w:t>for</w:t>
      </w:r>
    </w:p>
    <w:p w14:paraId="133C3705" w14:textId="7B5C3D79" w:rsidR="00495E2D" w:rsidRDefault="00495E2D" w:rsidP="00946AEB">
      <w:pPr>
        <w:autoSpaceDE w:val="0"/>
        <w:autoSpaceDN w:val="0"/>
        <w:adjustRightInd w:val="0"/>
        <w:spacing w:line="259" w:lineRule="auto"/>
        <w:jc w:val="center"/>
        <w:rPr>
          <w:rFonts w:cs="Calibri-Bold"/>
          <w:color w:val="00338D"/>
          <w:sz w:val="28"/>
          <w:szCs w:val="28"/>
        </w:rPr>
      </w:pPr>
      <w:r w:rsidRPr="007335AA">
        <w:rPr>
          <w:rFonts w:cs="Calibri-Bold"/>
          <w:color w:val="00338D"/>
          <w:sz w:val="28"/>
          <w:szCs w:val="28"/>
        </w:rPr>
        <w:t xml:space="preserve">Conducting </w:t>
      </w:r>
      <w:r w:rsidR="00937BE7">
        <w:rPr>
          <w:rFonts w:cs="Calibri-Bold"/>
          <w:color w:val="00338D"/>
          <w:sz w:val="28"/>
          <w:szCs w:val="28"/>
        </w:rPr>
        <w:t>Project</w:t>
      </w:r>
      <w:r>
        <w:rPr>
          <w:rFonts w:cs="Calibri-Bold"/>
          <w:color w:val="00338D"/>
          <w:sz w:val="28"/>
          <w:szCs w:val="28"/>
        </w:rPr>
        <w:t xml:space="preserve"> </w:t>
      </w:r>
      <w:r w:rsidR="009354DA">
        <w:rPr>
          <w:rFonts w:cs="Calibri-Bold"/>
          <w:color w:val="00338D"/>
          <w:sz w:val="28"/>
          <w:szCs w:val="28"/>
        </w:rPr>
        <w:t xml:space="preserve">Impact </w:t>
      </w:r>
      <w:r>
        <w:rPr>
          <w:rFonts w:cs="Calibri-Bold"/>
          <w:color w:val="00338D"/>
          <w:sz w:val="28"/>
          <w:szCs w:val="28"/>
        </w:rPr>
        <w:t>Evaluation</w:t>
      </w:r>
      <w:r w:rsidRPr="007335AA">
        <w:rPr>
          <w:rFonts w:cs="Calibri-Bold"/>
          <w:color w:val="00338D"/>
          <w:sz w:val="28"/>
          <w:szCs w:val="28"/>
        </w:rPr>
        <w:t xml:space="preserve"> for Sarathi – Progress through Financial Inclusion</w:t>
      </w:r>
    </w:p>
    <w:p w14:paraId="1D0BC070" w14:textId="77777777" w:rsidR="00495E2D" w:rsidRPr="00DF7F22" w:rsidRDefault="00495E2D" w:rsidP="003D76FC">
      <w:pPr>
        <w:pStyle w:val="Heading1"/>
        <w:keepNext w:val="0"/>
        <w:keepLines w:val="0"/>
        <w:autoSpaceDE w:val="0"/>
        <w:autoSpaceDN w:val="0"/>
        <w:adjustRightInd w:val="0"/>
        <w:spacing w:before="0" w:after="200" w:line="259" w:lineRule="auto"/>
        <w:ind w:left="720" w:hanging="360"/>
        <w:jc w:val="both"/>
        <w:rPr>
          <w:rFonts w:asciiTheme="minorHAnsi" w:eastAsiaTheme="minorHAnsi" w:hAnsiTheme="minorHAnsi" w:cs="Calibri-Bold"/>
          <w:bCs/>
          <w:color w:val="00338D"/>
          <w:sz w:val="28"/>
          <w:szCs w:val="28"/>
          <w:lang w:val="en-GB" w:eastAsia="en-GB"/>
        </w:rPr>
      </w:pPr>
      <w:r w:rsidRPr="00DF7F22">
        <w:rPr>
          <w:rFonts w:asciiTheme="minorHAnsi" w:eastAsiaTheme="minorHAnsi" w:hAnsiTheme="minorHAnsi" w:cs="Calibri-Bold"/>
          <w:bCs/>
          <w:color w:val="00338D"/>
          <w:sz w:val="28"/>
          <w:szCs w:val="28"/>
          <w:lang w:val="en-GB" w:eastAsia="en-GB"/>
        </w:rPr>
        <w:t>1. Background</w:t>
      </w:r>
    </w:p>
    <w:p w14:paraId="66E237F7" w14:textId="77777777" w:rsidR="00495E2D" w:rsidRPr="00E14C73" w:rsidRDefault="00495E2D" w:rsidP="003D76FC">
      <w:pPr>
        <w:spacing w:line="259" w:lineRule="auto"/>
        <w:jc w:val="both"/>
        <w:rPr>
          <w:rFonts w:ascii="Calibri" w:eastAsia="Calibri" w:hAnsi="Calibri" w:cs="Vrinda"/>
        </w:rPr>
      </w:pPr>
      <w:r w:rsidRPr="00E14C73">
        <w:rPr>
          <w:rFonts w:ascii="Calibri" w:eastAsia="Calibri" w:hAnsi="Calibri" w:cs="Vrinda"/>
        </w:rPr>
        <w:t xml:space="preserve">The RMG workers, despite their significant contribution to the national economy and global fashion industry, remain outside the purview of formal banking services with limited or no access to relevant, quality and affordable banking products and services. </w:t>
      </w:r>
    </w:p>
    <w:p w14:paraId="0F89F02D" w14:textId="3B23191B" w:rsidR="00495E2D" w:rsidRPr="00E14C73" w:rsidRDefault="00495E2D" w:rsidP="003D76FC">
      <w:pPr>
        <w:spacing w:line="259" w:lineRule="auto"/>
        <w:jc w:val="both"/>
        <w:rPr>
          <w:rFonts w:ascii="Calibri" w:eastAsia="Calibri" w:hAnsi="Calibri" w:cs="Vrinda"/>
        </w:rPr>
      </w:pPr>
      <w:r w:rsidRPr="00E14C73">
        <w:rPr>
          <w:rFonts w:ascii="Calibri" w:eastAsia="Calibri" w:hAnsi="Calibri" w:cs="Vrinda"/>
          <w:b/>
        </w:rPr>
        <w:t>Sarathi – Progress through Financial Inclusion</w:t>
      </w:r>
      <w:r w:rsidRPr="00E14C73">
        <w:rPr>
          <w:rFonts w:ascii="Calibri" w:eastAsia="Calibri" w:hAnsi="Calibri" w:cs="Vrinda"/>
        </w:rPr>
        <w:t xml:space="preserve"> is a 3</w:t>
      </w:r>
      <w:r w:rsidR="00264CEA">
        <w:rPr>
          <w:rFonts w:ascii="Calibri" w:eastAsia="Calibri" w:hAnsi="Calibri" w:cs="Vrinda"/>
        </w:rPr>
        <w:t>6</w:t>
      </w:r>
      <w:r w:rsidRPr="00E14C73">
        <w:rPr>
          <w:rFonts w:ascii="Calibri" w:eastAsia="Calibri" w:hAnsi="Calibri" w:cs="Vrinda"/>
        </w:rPr>
        <w:t>-month project (Jan 2018-</w:t>
      </w:r>
      <w:r w:rsidR="00264CEA">
        <w:rPr>
          <w:rFonts w:ascii="Calibri" w:eastAsia="Calibri" w:hAnsi="Calibri" w:cs="Vrinda"/>
        </w:rPr>
        <w:t>Dec</w:t>
      </w:r>
      <w:r w:rsidRPr="00E14C73">
        <w:rPr>
          <w:rFonts w:ascii="Calibri" w:eastAsia="Calibri" w:hAnsi="Calibri" w:cs="Vrinda"/>
        </w:rPr>
        <w:t xml:space="preserve"> 2020), jointly funded by MetLife Foundation and Swisscontact. It is working with commercial banks and RMG factories in Bangladesh to bring RMG workers, especially women, within the sphere of formal banking services and to enable them to conduct financial transactions as account holders and clients. The project activities are directed to find market-based and scalable solutions that address underlying constraints such as: </w:t>
      </w:r>
    </w:p>
    <w:p w14:paraId="39CFA1F9" w14:textId="77777777" w:rsidR="00495E2D" w:rsidRPr="00E14C73" w:rsidRDefault="00495E2D" w:rsidP="003D76FC">
      <w:pPr>
        <w:numPr>
          <w:ilvl w:val="0"/>
          <w:numId w:val="1"/>
        </w:numPr>
        <w:spacing w:line="259" w:lineRule="auto"/>
        <w:contextualSpacing/>
        <w:jc w:val="both"/>
        <w:rPr>
          <w:rFonts w:ascii="Calibri" w:eastAsia="Calibri" w:hAnsi="Calibri" w:cs="Vrinda"/>
        </w:rPr>
      </w:pPr>
      <w:r w:rsidRPr="00E14C73">
        <w:rPr>
          <w:rFonts w:ascii="Calibri" w:eastAsia="Calibri" w:hAnsi="Calibri" w:cs="Vrinda"/>
        </w:rPr>
        <w:t>Inadequate financial literacy</w:t>
      </w:r>
    </w:p>
    <w:p w14:paraId="6D85AD10" w14:textId="77777777" w:rsidR="00495E2D" w:rsidRPr="00E14C73" w:rsidRDefault="00495E2D" w:rsidP="003D76FC">
      <w:pPr>
        <w:numPr>
          <w:ilvl w:val="0"/>
          <w:numId w:val="1"/>
        </w:numPr>
        <w:spacing w:line="259" w:lineRule="auto"/>
        <w:contextualSpacing/>
        <w:jc w:val="both"/>
        <w:rPr>
          <w:rFonts w:ascii="Calibri" w:eastAsia="Calibri" w:hAnsi="Calibri" w:cs="Vrinda"/>
        </w:rPr>
      </w:pPr>
      <w:r w:rsidRPr="00E14C73">
        <w:rPr>
          <w:rFonts w:ascii="Calibri" w:eastAsia="Calibri" w:hAnsi="Calibri" w:cs="Vrinda"/>
        </w:rPr>
        <w:t>Lack of access to formal banking services</w:t>
      </w:r>
    </w:p>
    <w:p w14:paraId="5018B129" w14:textId="6B0BA37E" w:rsidR="00937BE7" w:rsidRDefault="00495E2D" w:rsidP="003D76FC">
      <w:pPr>
        <w:numPr>
          <w:ilvl w:val="0"/>
          <w:numId w:val="1"/>
        </w:numPr>
        <w:spacing w:line="259" w:lineRule="auto"/>
        <w:contextualSpacing/>
        <w:jc w:val="both"/>
        <w:rPr>
          <w:rFonts w:ascii="Calibri" w:eastAsia="Calibri" w:hAnsi="Calibri" w:cs="Vrinda"/>
        </w:rPr>
      </w:pPr>
      <w:r w:rsidRPr="00C14C04">
        <w:rPr>
          <w:rFonts w:ascii="Calibri" w:eastAsia="Calibri" w:hAnsi="Calibri" w:cs="Vrinda"/>
        </w:rPr>
        <w:t>Inadequate commercially viable business solutions for banks to cater to their needs</w:t>
      </w:r>
      <w:r w:rsidRPr="00C14C04">
        <w:t>.</w:t>
      </w:r>
      <w:r w:rsidRPr="00776287">
        <w:t xml:space="preserve"> </w:t>
      </w:r>
    </w:p>
    <w:p w14:paraId="137CD459" w14:textId="77777777" w:rsidR="00413C00" w:rsidRDefault="00413C00" w:rsidP="003D76FC">
      <w:pPr>
        <w:spacing w:after="300"/>
        <w:jc w:val="both"/>
      </w:pPr>
    </w:p>
    <w:p w14:paraId="48880E30" w14:textId="248C1D37" w:rsidR="00937BE7" w:rsidRDefault="00413C00" w:rsidP="003D76FC">
      <w:pPr>
        <w:spacing w:after="300"/>
        <w:jc w:val="both"/>
      </w:pPr>
      <w:r>
        <w:t xml:space="preserve">The project is currently in the last quarter of its intervention. </w:t>
      </w:r>
      <w:r w:rsidR="00937BE7">
        <w:t>The project results as of June 2020:</w:t>
      </w:r>
    </w:p>
    <w:p w14:paraId="4461853F" w14:textId="77777777" w:rsidR="00937BE7" w:rsidRDefault="00937BE7" w:rsidP="003D76FC">
      <w:pPr>
        <w:pStyle w:val="ListParagraph"/>
        <w:numPr>
          <w:ilvl w:val="0"/>
          <w:numId w:val="6"/>
        </w:numPr>
        <w:spacing w:before="100" w:beforeAutospacing="1" w:after="100" w:afterAutospacing="1" w:line="240" w:lineRule="auto"/>
        <w:contextualSpacing w:val="0"/>
        <w:jc w:val="both"/>
        <w:rPr>
          <w:rFonts w:eastAsia="Times New Roman"/>
        </w:rPr>
      </w:pPr>
      <w:r>
        <w:rPr>
          <w:rFonts w:eastAsia="Times New Roman"/>
        </w:rPr>
        <w:t>66,000 RMG worker salary accounts have already been opened across 49 RMG factories through four partner commercial banks;</w:t>
      </w:r>
    </w:p>
    <w:p w14:paraId="6C419F18" w14:textId="77777777" w:rsidR="00937BE7" w:rsidRDefault="00937BE7" w:rsidP="003D76FC">
      <w:pPr>
        <w:pStyle w:val="ListParagraph"/>
        <w:numPr>
          <w:ilvl w:val="0"/>
          <w:numId w:val="6"/>
        </w:numPr>
        <w:spacing w:before="100" w:beforeAutospacing="1" w:after="100" w:afterAutospacing="1" w:line="240" w:lineRule="auto"/>
        <w:contextualSpacing w:val="0"/>
        <w:jc w:val="both"/>
        <w:rPr>
          <w:rFonts w:eastAsia="Times New Roman"/>
        </w:rPr>
      </w:pPr>
      <w:r>
        <w:rPr>
          <w:rFonts w:eastAsia="Times New Roman"/>
        </w:rPr>
        <w:t>Sarathi has organized 225 literacy sessions for 16,950 RMG workers;</w:t>
      </w:r>
    </w:p>
    <w:p w14:paraId="2C815A6D" w14:textId="77777777" w:rsidR="00937BE7" w:rsidRDefault="00937BE7" w:rsidP="003D76FC">
      <w:pPr>
        <w:pStyle w:val="ListParagraph"/>
        <w:numPr>
          <w:ilvl w:val="0"/>
          <w:numId w:val="6"/>
        </w:numPr>
        <w:spacing w:before="100" w:beforeAutospacing="1" w:after="100" w:afterAutospacing="1" w:line="240" w:lineRule="auto"/>
        <w:contextualSpacing w:val="0"/>
        <w:jc w:val="both"/>
        <w:rPr>
          <w:rFonts w:eastAsia="Times New Roman"/>
        </w:rPr>
      </w:pPr>
      <w:r>
        <w:rPr>
          <w:rFonts w:eastAsia="Times New Roman"/>
        </w:rPr>
        <w:t>49 partner RMG factories disburse RMG workers salary through bank accounts;</w:t>
      </w:r>
    </w:p>
    <w:p w14:paraId="314AC8F2" w14:textId="0A0A2D19" w:rsidR="00495E2D" w:rsidRPr="00D24A8A" w:rsidRDefault="00937BE7" w:rsidP="003D76FC">
      <w:pPr>
        <w:pStyle w:val="ListParagraph"/>
        <w:numPr>
          <w:ilvl w:val="0"/>
          <w:numId w:val="6"/>
        </w:numPr>
        <w:spacing w:before="100" w:beforeAutospacing="1" w:after="100" w:afterAutospacing="1" w:line="240" w:lineRule="auto"/>
        <w:contextualSpacing w:val="0"/>
        <w:jc w:val="both"/>
        <w:rPr>
          <w:rFonts w:eastAsia="Times New Roman"/>
        </w:rPr>
      </w:pPr>
      <w:r>
        <w:rPr>
          <w:rFonts w:eastAsia="Times New Roman"/>
        </w:rPr>
        <w:t>64 Alternative Delivery Channels</w:t>
      </w:r>
      <w:r w:rsidR="00DD37A7">
        <w:rPr>
          <w:rFonts w:eastAsia="Times New Roman"/>
        </w:rPr>
        <w:t xml:space="preserve"> (ADCs)</w:t>
      </w:r>
      <w:r>
        <w:rPr>
          <w:rFonts w:eastAsia="Times New Roman"/>
        </w:rPr>
        <w:t xml:space="preserve"> were made accessible to RMG workers</w:t>
      </w:r>
      <w:r w:rsidR="00810375">
        <w:rPr>
          <w:rFonts w:eastAsia="Times New Roman"/>
        </w:rPr>
        <w:t>.</w:t>
      </w:r>
    </w:p>
    <w:p w14:paraId="2B74ECAF" w14:textId="4C6439A5" w:rsidR="00495E2D" w:rsidRPr="00DF7F22" w:rsidRDefault="00946AEB" w:rsidP="003D76FC">
      <w:pPr>
        <w:pStyle w:val="Heading1"/>
        <w:keepNext w:val="0"/>
        <w:keepLines w:val="0"/>
        <w:autoSpaceDE w:val="0"/>
        <w:autoSpaceDN w:val="0"/>
        <w:adjustRightInd w:val="0"/>
        <w:spacing w:before="0" w:after="200" w:line="259" w:lineRule="auto"/>
        <w:ind w:left="720" w:hanging="360"/>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 xml:space="preserve">2. </w:t>
      </w:r>
      <w:r w:rsidR="00495E2D" w:rsidRPr="00DF7F22">
        <w:rPr>
          <w:rFonts w:asciiTheme="minorHAnsi" w:eastAsiaTheme="minorHAnsi" w:hAnsiTheme="minorHAnsi" w:cs="Calibri-Bold"/>
          <w:bCs/>
          <w:color w:val="00338D"/>
          <w:sz w:val="28"/>
          <w:szCs w:val="28"/>
          <w:lang w:val="en-GB" w:eastAsia="en-GB"/>
        </w:rPr>
        <w:t xml:space="preserve">Objectives of the Study </w:t>
      </w:r>
    </w:p>
    <w:p w14:paraId="4938720B" w14:textId="071B5C90" w:rsidR="00495E2D" w:rsidRDefault="002A4151" w:rsidP="003D76FC">
      <w:pPr>
        <w:pStyle w:val="Default"/>
        <w:spacing w:after="200" w:line="259" w:lineRule="auto"/>
        <w:jc w:val="both"/>
        <w:rPr>
          <w:rFonts w:asciiTheme="minorHAnsi" w:hAnsiTheme="minorHAnsi" w:cstheme="minorBidi"/>
          <w:sz w:val="22"/>
          <w:szCs w:val="22"/>
        </w:rPr>
      </w:pPr>
      <w:r w:rsidRPr="002A4151">
        <w:rPr>
          <w:rFonts w:asciiTheme="minorHAnsi" w:hAnsiTheme="minorHAnsi" w:cstheme="minorBidi"/>
          <w:sz w:val="22"/>
          <w:szCs w:val="22"/>
        </w:rPr>
        <w:t>The main objective of this assignment is to assess the overall achievement of the project and quality of implementation as well as the overall impact of the project on</w:t>
      </w:r>
      <w:r>
        <w:rPr>
          <w:rFonts w:asciiTheme="minorHAnsi" w:hAnsiTheme="minorHAnsi" w:cstheme="minorBidi"/>
          <w:sz w:val="22"/>
          <w:szCs w:val="22"/>
        </w:rPr>
        <w:t xml:space="preserve"> project beneficiaries and relevant stakeholders. The purpose of the assignment is to find the following </w:t>
      </w:r>
      <w:r w:rsidR="00810375">
        <w:rPr>
          <w:rFonts w:asciiTheme="minorHAnsi" w:hAnsiTheme="minorHAnsi" w:cstheme="minorBidi"/>
          <w:sz w:val="22"/>
          <w:szCs w:val="22"/>
        </w:rPr>
        <w:t>areas.</w:t>
      </w:r>
    </w:p>
    <w:p w14:paraId="27885F5B" w14:textId="77777777" w:rsidR="00810375" w:rsidRDefault="00587E03" w:rsidP="003D76FC">
      <w:pPr>
        <w:numPr>
          <w:ilvl w:val="0"/>
          <w:numId w:val="3"/>
        </w:numPr>
        <w:overflowPunct w:val="0"/>
        <w:autoSpaceDE w:val="0"/>
        <w:autoSpaceDN w:val="0"/>
        <w:adjustRightInd w:val="0"/>
        <w:spacing w:after="0" w:line="280" w:lineRule="atLeast"/>
        <w:ind w:left="360"/>
        <w:jc w:val="both"/>
        <w:rPr>
          <w:rFonts w:eastAsia="Times New Roman"/>
          <w:color w:val="000000"/>
          <w:lang w:val="en-GB" w:eastAsia="en-GB"/>
        </w:rPr>
      </w:pPr>
      <w:r w:rsidRPr="0069539A">
        <w:rPr>
          <w:rFonts w:eastAsia="Times New Roman"/>
          <w:color w:val="000000"/>
          <w:lang w:val="en-GB" w:eastAsia="en-GB"/>
        </w:rPr>
        <w:t>To conduct assessment of specific outcomes and indicators of Sarathi interventions. The impact assessment study report will be used as a measurement tool to assess the project successes and achievements against the log frame targets</w:t>
      </w:r>
      <w:r w:rsidR="0069539A">
        <w:rPr>
          <w:rFonts w:eastAsia="Times New Roman"/>
          <w:color w:val="000000"/>
          <w:lang w:val="en-GB" w:eastAsia="en-GB"/>
        </w:rPr>
        <w:t>;</w:t>
      </w:r>
    </w:p>
    <w:p w14:paraId="60FBC159" w14:textId="2751522B" w:rsidR="00810375" w:rsidRDefault="00975835" w:rsidP="003D76FC">
      <w:pPr>
        <w:numPr>
          <w:ilvl w:val="0"/>
          <w:numId w:val="3"/>
        </w:numPr>
        <w:overflowPunct w:val="0"/>
        <w:autoSpaceDE w:val="0"/>
        <w:autoSpaceDN w:val="0"/>
        <w:adjustRightInd w:val="0"/>
        <w:spacing w:after="0" w:line="280" w:lineRule="atLeast"/>
        <w:ind w:left="360"/>
        <w:jc w:val="both"/>
        <w:rPr>
          <w:rFonts w:eastAsia="Times New Roman"/>
          <w:color w:val="000000"/>
          <w:lang w:val="en-GB" w:eastAsia="en-GB"/>
        </w:rPr>
      </w:pPr>
      <w:r>
        <w:rPr>
          <w:rFonts w:eastAsia="Times New Roman"/>
          <w:color w:val="000000"/>
          <w:lang w:val="en-GB" w:eastAsia="en-GB"/>
        </w:rPr>
        <w:t>To find the</w:t>
      </w:r>
      <w:r w:rsidR="002A4151" w:rsidRPr="00810375">
        <w:rPr>
          <w:rFonts w:eastAsia="Times New Roman"/>
          <w:color w:val="000000"/>
          <w:lang w:val="en-GB" w:eastAsia="en-GB"/>
        </w:rPr>
        <w:t xml:space="preserve"> impact </w:t>
      </w:r>
      <w:r>
        <w:rPr>
          <w:rFonts w:eastAsia="Times New Roman"/>
          <w:color w:val="000000"/>
          <w:lang w:val="en-GB" w:eastAsia="en-GB"/>
        </w:rPr>
        <w:t xml:space="preserve">of the project </w:t>
      </w:r>
      <w:r w:rsidR="00937BE7" w:rsidRPr="00810375">
        <w:rPr>
          <w:rFonts w:eastAsia="Times New Roman"/>
          <w:color w:val="000000"/>
          <w:lang w:val="en-GB" w:eastAsia="en-GB"/>
        </w:rPr>
        <w:t>on the financial behaviour of</w:t>
      </w:r>
      <w:r w:rsidR="002A4151" w:rsidRPr="00810375">
        <w:rPr>
          <w:rFonts w:eastAsia="Times New Roman"/>
          <w:color w:val="000000"/>
          <w:lang w:val="en-GB" w:eastAsia="en-GB"/>
        </w:rPr>
        <w:t xml:space="preserve"> the RMG workers within </w:t>
      </w:r>
      <w:r>
        <w:rPr>
          <w:rFonts w:eastAsia="Times New Roman"/>
          <w:color w:val="000000"/>
          <w:lang w:val="en-GB" w:eastAsia="en-GB"/>
        </w:rPr>
        <w:t>the project’s</w:t>
      </w:r>
      <w:r w:rsidR="002A4151" w:rsidRPr="00810375">
        <w:rPr>
          <w:rFonts w:eastAsia="Times New Roman"/>
          <w:color w:val="000000"/>
          <w:lang w:val="en-GB" w:eastAsia="en-GB"/>
        </w:rPr>
        <w:t xml:space="preserve"> target group, their families </w:t>
      </w:r>
      <w:r w:rsidR="0075657B" w:rsidRPr="00810375">
        <w:rPr>
          <w:rFonts w:eastAsia="Times New Roman"/>
          <w:color w:val="000000"/>
          <w:lang w:val="en-GB" w:eastAsia="en-GB"/>
        </w:rPr>
        <w:t>and</w:t>
      </w:r>
      <w:r w:rsidR="002A4151" w:rsidRPr="00810375">
        <w:rPr>
          <w:rFonts w:eastAsia="Times New Roman"/>
          <w:color w:val="000000"/>
          <w:lang w:val="en-GB" w:eastAsia="en-GB"/>
        </w:rPr>
        <w:t xml:space="preserve"> communit</w:t>
      </w:r>
      <w:r>
        <w:rPr>
          <w:rFonts w:eastAsia="Times New Roman"/>
          <w:color w:val="000000"/>
          <w:lang w:val="en-GB" w:eastAsia="en-GB"/>
        </w:rPr>
        <w:t>ies;</w:t>
      </w:r>
    </w:p>
    <w:p w14:paraId="35156C50" w14:textId="47EA7114" w:rsidR="000378AB" w:rsidRDefault="00975835" w:rsidP="003D76FC">
      <w:pPr>
        <w:numPr>
          <w:ilvl w:val="0"/>
          <w:numId w:val="3"/>
        </w:numPr>
        <w:overflowPunct w:val="0"/>
        <w:autoSpaceDE w:val="0"/>
        <w:autoSpaceDN w:val="0"/>
        <w:adjustRightInd w:val="0"/>
        <w:spacing w:after="0" w:line="280" w:lineRule="atLeast"/>
        <w:ind w:left="360"/>
        <w:jc w:val="both"/>
        <w:rPr>
          <w:rFonts w:eastAsia="Times New Roman"/>
          <w:color w:val="000000"/>
          <w:lang w:val="en-GB" w:eastAsia="en-GB"/>
        </w:rPr>
      </w:pPr>
      <w:r>
        <w:rPr>
          <w:rFonts w:eastAsia="Times New Roman"/>
          <w:color w:val="000000"/>
          <w:lang w:val="en-GB" w:eastAsia="en-GB"/>
        </w:rPr>
        <w:t>To draw lessons</w:t>
      </w:r>
      <w:r w:rsidR="002A4151" w:rsidRPr="00810375">
        <w:rPr>
          <w:rFonts w:eastAsia="Times New Roman"/>
          <w:color w:val="000000"/>
          <w:lang w:val="en-GB" w:eastAsia="en-GB"/>
        </w:rPr>
        <w:t xml:space="preserve"> from the pr</w:t>
      </w:r>
      <w:r>
        <w:rPr>
          <w:rFonts w:eastAsia="Times New Roman"/>
          <w:color w:val="000000"/>
          <w:lang w:val="en-GB" w:eastAsia="en-GB"/>
        </w:rPr>
        <w:t>oject’s intervention</w:t>
      </w:r>
      <w:r w:rsidR="002A4151" w:rsidRPr="00810375">
        <w:rPr>
          <w:rFonts w:eastAsia="Times New Roman"/>
          <w:color w:val="000000"/>
          <w:lang w:val="en-GB" w:eastAsia="en-GB"/>
        </w:rPr>
        <w:t xml:space="preserve"> that can be taken to further develop the </w:t>
      </w:r>
      <w:r>
        <w:rPr>
          <w:rFonts w:eastAsia="Times New Roman"/>
          <w:color w:val="000000"/>
          <w:lang w:val="en-GB" w:eastAsia="en-GB"/>
        </w:rPr>
        <w:t>project;</w:t>
      </w:r>
    </w:p>
    <w:p w14:paraId="45761EE4" w14:textId="0B9D8574" w:rsidR="002A4151" w:rsidRPr="000378AB" w:rsidRDefault="002A4151" w:rsidP="003D76FC">
      <w:pPr>
        <w:numPr>
          <w:ilvl w:val="0"/>
          <w:numId w:val="3"/>
        </w:numPr>
        <w:overflowPunct w:val="0"/>
        <w:autoSpaceDE w:val="0"/>
        <w:autoSpaceDN w:val="0"/>
        <w:adjustRightInd w:val="0"/>
        <w:spacing w:after="0" w:line="280" w:lineRule="atLeast"/>
        <w:ind w:left="360"/>
        <w:jc w:val="both"/>
        <w:rPr>
          <w:rFonts w:eastAsia="Times New Roman"/>
          <w:color w:val="000000"/>
          <w:lang w:val="en-GB" w:eastAsia="en-GB"/>
        </w:rPr>
      </w:pPr>
      <w:r w:rsidRPr="000378AB">
        <w:rPr>
          <w:rFonts w:eastAsia="Times New Roman"/>
          <w:color w:val="000000"/>
          <w:lang w:val="en-GB" w:eastAsia="en-GB"/>
        </w:rPr>
        <w:t xml:space="preserve">Analysing the </w:t>
      </w:r>
      <w:r w:rsidR="000D687F" w:rsidRPr="000378AB">
        <w:rPr>
          <w:rFonts w:eastAsia="Times New Roman"/>
          <w:color w:val="000000"/>
          <w:lang w:val="en-GB" w:eastAsia="en-GB"/>
        </w:rPr>
        <w:t xml:space="preserve">early sign of </w:t>
      </w:r>
      <w:r w:rsidRPr="000378AB">
        <w:rPr>
          <w:rFonts w:eastAsia="Times New Roman"/>
          <w:color w:val="000000"/>
          <w:lang w:val="en-GB" w:eastAsia="en-GB"/>
        </w:rPr>
        <w:t>systemic change made by the project</w:t>
      </w:r>
      <w:r w:rsidR="0069539A" w:rsidRPr="000378AB">
        <w:rPr>
          <w:rFonts w:eastAsia="Times New Roman"/>
          <w:color w:val="000000"/>
          <w:lang w:val="en-GB" w:eastAsia="en-GB"/>
        </w:rPr>
        <w:t>.</w:t>
      </w:r>
    </w:p>
    <w:p w14:paraId="2E382E37" w14:textId="532BB292" w:rsidR="008867B0" w:rsidRDefault="008867B0" w:rsidP="003D76FC">
      <w:pPr>
        <w:pStyle w:val="Default"/>
        <w:tabs>
          <w:tab w:val="left" w:pos="720"/>
        </w:tabs>
        <w:spacing w:after="200" w:line="259" w:lineRule="auto"/>
        <w:jc w:val="both"/>
        <w:rPr>
          <w:rFonts w:asciiTheme="minorHAnsi" w:eastAsiaTheme="minorHAnsi" w:hAnsiTheme="minorHAnsi" w:cs="Calibri-Bold"/>
          <w:bCs/>
          <w:color w:val="00338D"/>
          <w:sz w:val="28"/>
          <w:szCs w:val="28"/>
        </w:rPr>
      </w:pPr>
    </w:p>
    <w:p w14:paraId="2270D609" w14:textId="4967CD34" w:rsidR="008867B0" w:rsidRPr="00DF7F22" w:rsidRDefault="008867B0" w:rsidP="003D76FC">
      <w:pPr>
        <w:pStyle w:val="Default"/>
        <w:tabs>
          <w:tab w:val="left" w:pos="720"/>
        </w:tabs>
        <w:spacing w:after="200" w:line="259" w:lineRule="auto"/>
        <w:ind w:left="360"/>
        <w:jc w:val="both"/>
        <w:rPr>
          <w:rFonts w:asciiTheme="minorHAnsi" w:eastAsiaTheme="minorHAnsi" w:hAnsiTheme="minorHAnsi" w:cs="Calibri-Bold"/>
          <w:bCs/>
          <w:color w:val="00338D"/>
          <w:sz w:val="28"/>
          <w:szCs w:val="28"/>
        </w:rPr>
      </w:pPr>
      <w:r w:rsidRPr="00DF7F22">
        <w:rPr>
          <w:rFonts w:asciiTheme="minorHAnsi" w:eastAsiaTheme="minorHAnsi" w:hAnsiTheme="minorHAnsi" w:cs="Calibri-Bold"/>
          <w:bCs/>
          <w:color w:val="00338D"/>
          <w:sz w:val="28"/>
          <w:szCs w:val="28"/>
        </w:rPr>
        <w:lastRenderedPageBreak/>
        <w:t>3. Methodology</w:t>
      </w:r>
    </w:p>
    <w:p w14:paraId="080F9009" w14:textId="6BE99B70" w:rsidR="00264CEA" w:rsidRDefault="008867B0" w:rsidP="003D76FC">
      <w:pPr>
        <w:overflowPunct w:val="0"/>
        <w:autoSpaceDE w:val="0"/>
        <w:autoSpaceDN w:val="0"/>
        <w:adjustRightInd w:val="0"/>
        <w:spacing w:after="0" w:line="280" w:lineRule="atLeast"/>
        <w:jc w:val="both"/>
      </w:pPr>
      <w:r w:rsidRPr="008D4991">
        <w:t xml:space="preserve">This study will employ </w:t>
      </w:r>
      <w:r>
        <w:t xml:space="preserve">a </w:t>
      </w:r>
      <w:r w:rsidRPr="008D4991">
        <w:t>multidisciplinary approach</w:t>
      </w:r>
      <w:r>
        <w:t>—</w:t>
      </w:r>
      <w:r w:rsidRPr="008D4991" w:rsidDel="00235A88">
        <w:t xml:space="preserve"> </w:t>
      </w:r>
      <w:r w:rsidRPr="008D4991">
        <w:t>both quantitative and qualitative</w:t>
      </w:r>
      <w:r>
        <w:t xml:space="preserve"> —</w:t>
      </w:r>
      <w:r w:rsidRPr="008D4991">
        <w:t xml:space="preserve"> and will triangulate data gathered from different sources including secondary literature, sample questionnaire survey</w:t>
      </w:r>
      <w:r>
        <w:t>s, in-depth i</w:t>
      </w:r>
      <w:r w:rsidRPr="00420602">
        <w:t>nterview</w:t>
      </w:r>
      <w:r>
        <w:t>s</w:t>
      </w:r>
      <w:r w:rsidRPr="00420602">
        <w:t xml:space="preserve"> (IDI)</w:t>
      </w:r>
      <w:r w:rsidRPr="008D4991">
        <w:t xml:space="preserve"> and key-informant interviews (KII). The representative sample will be included in this study and the analytical results must be disaggregated by location, age and sex.</w:t>
      </w:r>
      <w:r w:rsidR="00476815">
        <w:t xml:space="preserve"> The quantitative survey will be divided in two groups, one is the treatment </w:t>
      </w:r>
      <w:r w:rsidR="00B60ADA">
        <w:t>group,</w:t>
      </w:r>
      <w:r w:rsidR="00476815">
        <w:t xml:space="preserve"> and another is control</w:t>
      </w:r>
      <w:r w:rsidR="00651760">
        <w:t xml:space="preserve"> </w:t>
      </w:r>
      <w:r w:rsidR="00476815">
        <w:t xml:space="preserve">group. </w:t>
      </w:r>
    </w:p>
    <w:p w14:paraId="7BFD0A53" w14:textId="35820F0F" w:rsidR="00F90D29" w:rsidRDefault="00F90D29" w:rsidP="003D76FC">
      <w:pPr>
        <w:overflowPunct w:val="0"/>
        <w:autoSpaceDE w:val="0"/>
        <w:autoSpaceDN w:val="0"/>
        <w:adjustRightInd w:val="0"/>
        <w:spacing w:after="0" w:line="280" w:lineRule="atLeast"/>
        <w:jc w:val="both"/>
      </w:pPr>
    </w:p>
    <w:p w14:paraId="5988847F" w14:textId="11C315CA" w:rsidR="00F90D29" w:rsidRDefault="00F90D29" w:rsidP="003D76FC">
      <w:pPr>
        <w:overflowPunct w:val="0"/>
        <w:autoSpaceDE w:val="0"/>
        <w:autoSpaceDN w:val="0"/>
        <w:adjustRightInd w:val="0"/>
        <w:spacing w:after="0" w:line="280" w:lineRule="atLeast"/>
        <w:jc w:val="both"/>
      </w:pPr>
      <w:r w:rsidRPr="00DF7F22">
        <w:rPr>
          <w:rFonts w:cstheme="minorHAnsi"/>
          <w:color w:val="1F4E79" w:themeColor="accent5" w:themeShade="80"/>
          <w:sz w:val="20"/>
          <w:szCs w:val="20"/>
        </w:rPr>
        <w:t xml:space="preserve">Table </w:t>
      </w:r>
      <w:r>
        <w:rPr>
          <w:rFonts w:cstheme="minorHAnsi"/>
          <w:color w:val="1F4E79" w:themeColor="accent5" w:themeShade="80"/>
          <w:sz w:val="20"/>
          <w:szCs w:val="20"/>
        </w:rPr>
        <w:t>1</w:t>
      </w:r>
      <w:r w:rsidRPr="00DF7F22">
        <w:rPr>
          <w:rFonts w:cstheme="minorHAnsi"/>
          <w:color w:val="1F4E79" w:themeColor="accent5" w:themeShade="80"/>
          <w:sz w:val="20"/>
          <w:szCs w:val="20"/>
        </w:rPr>
        <w:t xml:space="preserve">: </w:t>
      </w:r>
      <w:r>
        <w:rPr>
          <w:rFonts w:cstheme="minorHAnsi"/>
          <w:color w:val="1F4E79" w:themeColor="accent5" w:themeShade="80"/>
          <w:sz w:val="20"/>
          <w:szCs w:val="20"/>
        </w:rPr>
        <w:t xml:space="preserve">Methodology of the </w:t>
      </w:r>
      <w:r w:rsidR="00613EA1">
        <w:rPr>
          <w:rFonts w:cstheme="minorHAnsi"/>
          <w:color w:val="1F4E79" w:themeColor="accent5" w:themeShade="80"/>
          <w:sz w:val="20"/>
          <w:szCs w:val="20"/>
        </w:rPr>
        <w:t>A</w:t>
      </w:r>
      <w:r>
        <w:rPr>
          <w:rFonts w:cstheme="minorHAnsi"/>
          <w:color w:val="1F4E79" w:themeColor="accent5" w:themeShade="80"/>
          <w:sz w:val="20"/>
          <w:szCs w:val="20"/>
        </w:rPr>
        <w:t xml:space="preserve">ssignment </w:t>
      </w:r>
    </w:p>
    <w:p w14:paraId="3F40A221" w14:textId="2D98A587" w:rsidR="00476815" w:rsidRDefault="00476815" w:rsidP="003D76FC">
      <w:pPr>
        <w:overflowPunct w:val="0"/>
        <w:autoSpaceDE w:val="0"/>
        <w:autoSpaceDN w:val="0"/>
        <w:adjustRightInd w:val="0"/>
        <w:spacing w:after="0" w:line="280" w:lineRule="atLeast"/>
        <w:jc w:val="both"/>
      </w:pPr>
    </w:p>
    <w:tbl>
      <w:tblPr>
        <w:tblStyle w:val="TableGrid"/>
        <w:tblW w:w="0" w:type="auto"/>
        <w:tblLook w:val="04A0" w:firstRow="1" w:lastRow="0" w:firstColumn="1" w:lastColumn="0" w:noHBand="0" w:noVBand="1"/>
      </w:tblPr>
      <w:tblGrid>
        <w:gridCol w:w="3116"/>
        <w:gridCol w:w="3117"/>
        <w:gridCol w:w="3117"/>
      </w:tblGrid>
      <w:tr w:rsidR="00476815" w14:paraId="23422559" w14:textId="77777777" w:rsidTr="006035A4">
        <w:tc>
          <w:tcPr>
            <w:tcW w:w="3116" w:type="dxa"/>
            <w:shd w:val="clear" w:color="auto" w:fill="1F3864" w:themeFill="accent1" w:themeFillShade="80"/>
          </w:tcPr>
          <w:p w14:paraId="2F6D5D19" w14:textId="23842B78" w:rsidR="00476815" w:rsidRPr="001037B6" w:rsidRDefault="00476815" w:rsidP="003D76FC">
            <w:pPr>
              <w:overflowPunct w:val="0"/>
              <w:autoSpaceDE w:val="0"/>
              <w:autoSpaceDN w:val="0"/>
              <w:adjustRightInd w:val="0"/>
              <w:spacing w:after="0" w:line="280" w:lineRule="atLeast"/>
              <w:jc w:val="both"/>
              <w:rPr>
                <w:b/>
                <w:bCs/>
                <w:color w:val="FFFFFF" w:themeColor="background1"/>
              </w:rPr>
            </w:pPr>
            <w:r w:rsidRPr="001037B6">
              <w:rPr>
                <w:b/>
                <w:bCs/>
                <w:color w:val="FFFFFF" w:themeColor="background1"/>
              </w:rPr>
              <w:t>Interview Method</w:t>
            </w:r>
          </w:p>
        </w:tc>
        <w:tc>
          <w:tcPr>
            <w:tcW w:w="3117" w:type="dxa"/>
            <w:shd w:val="clear" w:color="auto" w:fill="1F3864" w:themeFill="accent1" w:themeFillShade="80"/>
          </w:tcPr>
          <w:p w14:paraId="1199648C" w14:textId="575E29F9" w:rsidR="00476815" w:rsidRPr="001037B6" w:rsidRDefault="00476815" w:rsidP="003D76FC">
            <w:pPr>
              <w:overflowPunct w:val="0"/>
              <w:autoSpaceDE w:val="0"/>
              <w:autoSpaceDN w:val="0"/>
              <w:adjustRightInd w:val="0"/>
              <w:spacing w:after="0" w:line="280" w:lineRule="atLeast"/>
              <w:jc w:val="both"/>
              <w:rPr>
                <w:b/>
                <w:bCs/>
                <w:color w:val="FFFFFF" w:themeColor="background1"/>
              </w:rPr>
            </w:pPr>
            <w:r w:rsidRPr="001037B6">
              <w:rPr>
                <w:b/>
                <w:bCs/>
                <w:color w:val="FFFFFF" w:themeColor="background1"/>
              </w:rPr>
              <w:t>Respondents</w:t>
            </w:r>
          </w:p>
        </w:tc>
        <w:tc>
          <w:tcPr>
            <w:tcW w:w="3117" w:type="dxa"/>
            <w:shd w:val="clear" w:color="auto" w:fill="1F3864" w:themeFill="accent1" w:themeFillShade="80"/>
          </w:tcPr>
          <w:p w14:paraId="44B307E1" w14:textId="597DBB1D" w:rsidR="00476815" w:rsidRPr="001037B6" w:rsidRDefault="00476815" w:rsidP="003D76FC">
            <w:pPr>
              <w:overflowPunct w:val="0"/>
              <w:autoSpaceDE w:val="0"/>
              <w:autoSpaceDN w:val="0"/>
              <w:adjustRightInd w:val="0"/>
              <w:spacing w:after="0" w:line="280" w:lineRule="atLeast"/>
              <w:jc w:val="both"/>
              <w:rPr>
                <w:b/>
                <w:bCs/>
                <w:color w:val="FFFFFF" w:themeColor="background1"/>
              </w:rPr>
            </w:pPr>
            <w:r w:rsidRPr="001037B6">
              <w:rPr>
                <w:b/>
                <w:bCs/>
                <w:color w:val="FFFFFF" w:themeColor="background1"/>
              </w:rPr>
              <w:t>No of Respondents</w:t>
            </w:r>
          </w:p>
        </w:tc>
      </w:tr>
      <w:tr w:rsidR="00476815" w14:paraId="46CF9DC6" w14:textId="77777777" w:rsidTr="006035A4">
        <w:tc>
          <w:tcPr>
            <w:tcW w:w="3116" w:type="dxa"/>
            <w:shd w:val="clear" w:color="auto" w:fill="D9E2F3" w:themeFill="accent1" w:themeFillTint="33"/>
          </w:tcPr>
          <w:p w14:paraId="3B9F7C4F" w14:textId="02B251D5" w:rsidR="00476815" w:rsidRDefault="00476815" w:rsidP="003D76FC">
            <w:pPr>
              <w:overflowPunct w:val="0"/>
              <w:autoSpaceDE w:val="0"/>
              <w:autoSpaceDN w:val="0"/>
              <w:adjustRightInd w:val="0"/>
              <w:spacing w:after="0" w:line="280" w:lineRule="atLeast"/>
              <w:jc w:val="both"/>
            </w:pPr>
            <w:r>
              <w:t>Quantitative survey</w:t>
            </w:r>
          </w:p>
        </w:tc>
        <w:tc>
          <w:tcPr>
            <w:tcW w:w="3117" w:type="dxa"/>
            <w:shd w:val="clear" w:color="auto" w:fill="D9E2F3" w:themeFill="accent1" w:themeFillTint="33"/>
          </w:tcPr>
          <w:p w14:paraId="7070A648" w14:textId="2E3795DF" w:rsidR="00476815" w:rsidRDefault="00476815" w:rsidP="003D76FC">
            <w:pPr>
              <w:overflowPunct w:val="0"/>
              <w:autoSpaceDE w:val="0"/>
              <w:autoSpaceDN w:val="0"/>
              <w:adjustRightInd w:val="0"/>
              <w:spacing w:after="0" w:line="280" w:lineRule="atLeast"/>
              <w:jc w:val="both"/>
            </w:pPr>
            <w:r>
              <w:t>RMG Workers</w:t>
            </w:r>
          </w:p>
        </w:tc>
        <w:tc>
          <w:tcPr>
            <w:tcW w:w="3117" w:type="dxa"/>
            <w:shd w:val="clear" w:color="auto" w:fill="D9E2F3" w:themeFill="accent1" w:themeFillTint="33"/>
          </w:tcPr>
          <w:p w14:paraId="2CA81237" w14:textId="55D83922" w:rsidR="00476815" w:rsidRDefault="00476815" w:rsidP="003D76FC">
            <w:pPr>
              <w:overflowPunct w:val="0"/>
              <w:autoSpaceDE w:val="0"/>
              <w:autoSpaceDN w:val="0"/>
              <w:adjustRightInd w:val="0"/>
              <w:spacing w:after="0" w:line="280" w:lineRule="atLeast"/>
              <w:jc w:val="both"/>
            </w:pPr>
            <w:r>
              <w:t>400 (</w:t>
            </w:r>
            <w:r w:rsidR="00A66D10">
              <w:t>T</w:t>
            </w:r>
            <w:r>
              <w:t>reatment) 200 (Control)</w:t>
            </w:r>
          </w:p>
        </w:tc>
      </w:tr>
      <w:tr w:rsidR="00476815" w14:paraId="67457B37" w14:textId="77777777" w:rsidTr="006035A4">
        <w:tc>
          <w:tcPr>
            <w:tcW w:w="3116" w:type="dxa"/>
            <w:shd w:val="clear" w:color="auto" w:fill="D9E2F3" w:themeFill="accent1" w:themeFillTint="33"/>
          </w:tcPr>
          <w:p w14:paraId="25E48DF2" w14:textId="6DD53F97" w:rsidR="00476815" w:rsidRDefault="00476815" w:rsidP="003D76FC">
            <w:pPr>
              <w:overflowPunct w:val="0"/>
              <w:autoSpaceDE w:val="0"/>
              <w:autoSpaceDN w:val="0"/>
              <w:adjustRightInd w:val="0"/>
              <w:spacing w:after="0" w:line="280" w:lineRule="atLeast"/>
              <w:jc w:val="both"/>
            </w:pPr>
            <w:r>
              <w:t>In-depth interview</w:t>
            </w:r>
            <w:r w:rsidR="00B64D86">
              <w:t xml:space="preserve"> </w:t>
            </w:r>
            <w:r w:rsidR="00F90D29">
              <w:t>(Beneficiaries</w:t>
            </w:r>
            <w:r w:rsidR="00B64D86">
              <w:t xml:space="preserve"> Stories)</w:t>
            </w:r>
          </w:p>
        </w:tc>
        <w:tc>
          <w:tcPr>
            <w:tcW w:w="3117" w:type="dxa"/>
            <w:shd w:val="clear" w:color="auto" w:fill="D9E2F3" w:themeFill="accent1" w:themeFillTint="33"/>
          </w:tcPr>
          <w:p w14:paraId="4C264EA9" w14:textId="24B1E166" w:rsidR="00476815" w:rsidRDefault="00476815" w:rsidP="003D76FC">
            <w:pPr>
              <w:overflowPunct w:val="0"/>
              <w:autoSpaceDE w:val="0"/>
              <w:autoSpaceDN w:val="0"/>
              <w:adjustRightInd w:val="0"/>
              <w:spacing w:after="0" w:line="280" w:lineRule="atLeast"/>
              <w:jc w:val="both"/>
            </w:pPr>
            <w:r>
              <w:t>RMG workers</w:t>
            </w:r>
          </w:p>
        </w:tc>
        <w:tc>
          <w:tcPr>
            <w:tcW w:w="3117" w:type="dxa"/>
            <w:shd w:val="clear" w:color="auto" w:fill="D9E2F3" w:themeFill="accent1" w:themeFillTint="33"/>
          </w:tcPr>
          <w:p w14:paraId="74A489C0" w14:textId="15D656D7" w:rsidR="00476815" w:rsidRDefault="00B64D86" w:rsidP="003D76FC">
            <w:pPr>
              <w:overflowPunct w:val="0"/>
              <w:autoSpaceDE w:val="0"/>
              <w:autoSpaceDN w:val="0"/>
              <w:adjustRightInd w:val="0"/>
              <w:spacing w:after="0" w:line="280" w:lineRule="atLeast"/>
              <w:jc w:val="both"/>
            </w:pPr>
            <w:r>
              <w:t>50</w:t>
            </w:r>
          </w:p>
        </w:tc>
      </w:tr>
      <w:tr w:rsidR="00476815" w14:paraId="36DE909E" w14:textId="77777777" w:rsidTr="006035A4">
        <w:tc>
          <w:tcPr>
            <w:tcW w:w="3116" w:type="dxa"/>
            <w:vMerge w:val="restart"/>
            <w:shd w:val="clear" w:color="auto" w:fill="D9E2F3" w:themeFill="accent1" w:themeFillTint="33"/>
          </w:tcPr>
          <w:p w14:paraId="7E70C00C" w14:textId="77777777" w:rsidR="00476815" w:rsidRDefault="00476815" w:rsidP="003D76FC">
            <w:pPr>
              <w:overflowPunct w:val="0"/>
              <w:autoSpaceDE w:val="0"/>
              <w:autoSpaceDN w:val="0"/>
              <w:adjustRightInd w:val="0"/>
              <w:spacing w:after="0" w:line="280" w:lineRule="atLeast"/>
              <w:jc w:val="both"/>
            </w:pPr>
          </w:p>
          <w:p w14:paraId="64370E66" w14:textId="77777777" w:rsidR="00476815" w:rsidRDefault="00476815" w:rsidP="003D76FC">
            <w:pPr>
              <w:overflowPunct w:val="0"/>
              <w:autoSpaceDE w:val="0"/>
              <w:autoSpaceDN w:val="0"/>
              <w:adjustRightInd w:val="0"/>
              <w:spacing w:after="0" w:line="280" w:lineRule="atLeast"/>
              <w:jc w:val="both"/>
            </w:pPr>
          </w:p>
          <w:p w14:paraId="6F94DF8B" w14:textId="46848033" w:rsidR="00476815" w:rsidRDefault="00476815" w:rsidP="003D76FC">
            <w:pPr>
              <w:overflowPunct w:val="0"/>
              <w:autoSpaceDE w:val="0"/>
              <w:autoSpaceDN w:val="0"/>
              <w:adjustRightInd w:val="0"/>
              <w:spacing w:after="0" w:line="280" w:lineRule="atLeast"/>
              <w:jc w:val="both"/>
            </w:pPr>
            <w:r>
              <w:t>Key Informant Interviews</w:t>
            </w:r>
          </w:p>
        </w:tc>
        <w:tc>
          <w:tcPr>
            <w:tcW w:w="3117" w:type="dxa"/>
            <w:shd w:val="clear" w:color="auto" w:fill="D9E2F3" w:themeFill="accent1" w:themeFillTint="33"/>
          </w:tcPr>
          <w:p w14:paraId="3D50CD49" w14:textId="1836BB40" w:rsidR="00476815" w:rsidRDefault="00476815" w:rsidP="003D76FC">
            <w:pPr>
              <w:overflowPunct w:val="0"/>
              <w:autoSpaceDE w:val="0"/>
              <w:autoSpaceDN w:val="0"/>
              <w:adjustRightInd w:val="0"/>
              <w:spacing w:after="0" w:line="280" w:lineRule="atLeast"/>
              <w:jc w:val="both"/>
            </w:pPr>
            <w:r>
              <w:t>Bank officials</w:t>
            </w:r>
            <w:r w:rsidR="00B64D86">
              <w:t xml:space="preserve"> </w:t>
            </w:r>
          </w:p>
        </w:tc>
        <w:tc>
          <w:tcPr>
            <w:tcW w:w="3117" w:type="dxa"/>
            <w:vMerge w:val="restart"/>
            <w:shd w:val="clear" w:color="auto" w:fill="D9E2F3" w:themeFill="accent1" w:themeFillTint="33"/>
          </w:tcPr>
          <w:p w14:paraId="7299B442" w14:textId="77777777" w:rsidR="00476815" w:rsidRDefault="00476815" w:rsidP="003D76FC">
            <w:pPr>
              <w:overflowPunct w:val="0"/>
              <w:autoSpaceDE w:val="0"/>
              <w:autoSpaceDN w:val="0"/>
              <w:adjustRightInd w:val="0"/>
              <w:spacing w:after="0" w:line="280" w:lineRule="atLeast"/>
              <w:jc w:val="both"/>
            </w:pPr>
          </w:p>
          <w:p w14:paraId="16D7D505" w14:textId="77777777" w:rsidR="00476815" w:rsidRDefault="00476815" w:rsidP="003D76FC">
            <w:pPr>
              <w:overflowPunct w:val="0"/>
              <w:autoSpaceDE w:val="0"/>
              <w:autoSpaceDN w:val="0"/>
              <w:adjustRightInd w:val="0"/>
              <w:spacing w:after="0" w:line="280" w:lineRule="atLeast"/>
              <w:jc w:val="both"/>
            </w:pPr>
          </w:p>
          <w:p w14:paraId="5FE031AD" w14:textId="63AD31F5" w:rsidR="00476815" w:rsidRDefault="001037B6" w:rsidP="003D76FC">
            <w:pPr>
              <w:overflowPunct w:val="0"/>
              <w:autoSpaceDE w:val="0"/>
              <w:autoSpaceDN w:val="0"/>
              <w:adjustRightInd w:val="0"/>
              <w:spacing w:after="0" w:line="280" w:lineRule="atLeast"/>
              <w:jc w:val="both"/>
            </w:pPr>
            <w:r>
              <w:t>20</w:t>
            </w:r>
          </w:p>
        </w:tc>
      </w:tr>
      <w:tr w:rsidR="00476815" w14:paraId="37B43342" w14:textId="77777777" w:rsidTr="006035A4">
        <w:tc>
          <w:tcPr>
            <w:tcW w:w="3116" w:type="dxa"/>
            <w:vMerge/>
            <w:shd w:val="clear" w:color="auto" w:fill="D9E2F3" w:themeFill="accent1" w:themeFillTint="33"/>
          </w:tcPr>
          <w:p w14:paraId="135EBDEA" w14:textId="77777777" w:rsidR="00476815" w:rsidRDefault="00476815" w:rsidP="003D76FC">
            <w:pPr>
              <w:overflowPunct w:val="0"/>
              <w:autoSpaceDE w:val="0"/>
              <w:autoSpaceDN w:val="0"/>
              <w:adjustRightInd w:val="0"/>
              <w:spacing w:after="0" w:line="280" w:lineRule="atLeast"/>
              <w:jc w:val="both"/>
            </w:pPr>
          </w:p>
        </w:tc>
        <w:tc>
          <w:tcPr>
            <w:tcW w:w="3117" w:type="dxa"/>
            <w:shd w:val="clear" w:color="auto" w:fill="D9E2F3" w:themeFill="accent1" w:themeFillTint="33"/>
          </w:tcPr>
          <w:p w14:paraId="34A87C8C" w14:textId="015337D6" w:rsidR="00476815" w:rsidRDefault="00476815" w:rsidP="003D76FC">
            <w:pPr>
              <w:overflowPunct w:val="0"/>
              <w:autoSpaceDE w:val="0"/>
              <w:autoSpaceDN w:val="0"/>
              <w:adjustRightInd w:val="0"/>
              <w:spacing w:after="0" w:line="280" w:lineRule="atLeast"/>
              <w:jc w:val="both"/>
            </w:pPr>
            <w:r>
              <w:t>Factory Management</w:t>
            </w:r>
          </w:p>
        </w:tc>
        <w:tc>
          <w:tcPr>
            <w:tcW w:w="3117" w:type="dxa"/>
            <w:vMerge/>
            <w:shd w:val="clear" w:color="auto" w:fill="D9E2F3" w:themeFill="accent1" w:themeFillTint="33"/>
          </w:tcPr>
          <w:p w14:paraId="3EBEC5BA" w14:textId="77777777" w:rsidR="00476815" w:rsidRDefault="00476815" w:rsidP="003D76FC">
            <w:pPr>
              <w:overflowPunct w:val="0"/>
              <w:autoSpaceDE w:val="0"/>
              <w:autoSpaceDN w:val="0"/>
              <w:adjustRightInd w:val="0"/>
              <w:spacing w:after="0" w:line="280" w:lineRule="atLeast"/>
              <w:jc w:val="both"/>
            </w:pPr>
          </w:p>
        </w:tc>
      </w:tr>
      <w:tr w:rsidR="00476815" w14:paraId="7DF15866" w14:textId="77777777" w:rsidTr="006035A4">
        <w:tc>
          <w:tcPr>
            <w:tcW w:w="3116" w:type="dxa"/>
            <w:vMerge/>
            <w:shd w:val="clear" w:color="auto" w:fill="D9E2F3" w:themeFill="accent1" w:themeFillTint="33"/>
          </w:tcPr>
          <w:p w14:paraId="171F37C8" w14:textId="77777777" w:rsidR="00476815" w:rsidRDefault="00476815" w:rsidP="003D76FC">
            <w:pPr>
              <w:overflowPunct w:val="0"/>
              <w:autoSpaceDE w:val="0"/>
              <w:autoSpaceDN w:val="0"/>
              <w:adjustRightInd w:val="0"/>
              <w:spacing w:after="0" w:line="280" w:lineRule="atLeast"/>
              <w:jc w:val="both"/>
            </w:pPr>
          </w:p>
        </w:tc>
        <w:tc>
          <w:tcPr>
            <w:tcW w:w="3117" w:type="dxa"/>
            <w:shd w:val="clear" w:color="auto" w:fill="D9E2F3" w:themeFill="accent1" w:themeFillTint="33"/>
          </w:tcPr>
          <w:p w14:paraId="23ABAE1A" w14:textId="75C9F40A" w:rsidR="00476815" w:rsidRDefault="00476815" w:rsidP="003D76FC">
            <w:pPr>
              <w:overflowPunct w:val="0"/>
              <w:autoSpaceDE w:val="0"/>
              <w:autoSpaceDN w:val="0"/>
              <w:adjustRightInd w:val="0"/>
              <w:spacing w:after="0" w:line="280" w:lineRule="atLeast"/>
              <w:jc w:val="both"/>
            </w:pPr>
            <w:r>
              <w:t>Bank Agent</w:t>
            </w:r>
            <w:r w:rsidR="00975835">
              <w:t>s</w:t>
            </w:r>
          </w:p>
        </w:tc>
        <w:tc>
          <w:tcPr>
            <w:tcW w:w="3117" w:type="dxa"/>
            <w:vMerge/>
            <w:shd w:val="clear" w:color="auto" w:fill="D9E2F3" w:themeFill="accent1" w:themeFillTint="33"/>
          </w:tcPr>
          <w:p w14:paraId="0C42E900" w14:textId="77777777" w:rsidR="00476815" w:rsidRDefault="00476815" w:rsidP="003D76FC">
            <w:pPr>
              <w:overflowPunct w:val="0"/>
              <w:autoSpaceDE w:val="0"/>
              <w:autoSpaceDN w:val="0"/>
              <w:adjustRightInd w:val="0"/>
              <w:spacing w:after="0" w:line="280" w:lineRule="atLeast"/>
              <w:jc w:val="both"/>
            </w:pPr>
          </w:p>
        </w:tc>
      </w:tr>
      <w:tr w:rsidR="00476815" w14:paraId="2291516A" w14:textId="77777777" w:rsidTr="006035A4">
        <w:tc>
          <w:tcPr>
            <w:tcW w:w="3116" w:type="dxa"/>
            <w:vMerge/>
            <w:shd w:val="clear" w:color="auto" w:fill="D9E2F3" w:themeFill="accent1" w:themeFillTint="33"/>
          </w:tcPr>
          <w:p w14:paraId="2675F60C" w14:textId="77777777" w:rsidR="00476815" w:rsidRDefault="00476815" w:rsidP="003D76FC">
            <w:pPr>
              <w:overflowPunct w:val="0"/>
              <w:autoSpaceDE w:val="0"/>
              <w:autoSpaceDN w:val="0"/>
              <w:adjustRightInd w:val="0"/>
              <w:spacing w:after="0" w:line="280" w:lineRule="atLeast"/>
              <w:jc w:val="both"/>
            </w:pPr>
          </w:p>
        </w:tc>
        <w:tc>
          <w:tcPr>
            <w:tcW w:w="3117" w:type="dxa"/>
            <w:shd w:val="clear" w:color="auto" w:fill="D9E2F3" w:themeFill="accent1" w:themeFillTint="33"/>
          </w:tcPr>
          <w:p w14:paraId="166CF836" w14:textId="067B1777" w:rsidR="00476815" w:rsidRDefault="00476815" w:rsidP="003D76FC">
            <w:pPr>
              <w:overflowPunct w:val="0"/>
              <w:autoSpaceDE w:val="0"/>
              <w:autoSpaceDN w:val="0"/>
              <w:adjustRightInd w:val="0"/>
              <w:spacing w:after="0" w:line="280" w:lineRule="atLeast"/>
              <w:jc w:val="both"/>
            </w:pPr>
            <w:r>
              <w:t>ATM Representative</w:t>
            </w:r>
            <w:r w:rsidR="00975835">
              <w:t>s</w:t>
            </w:r>
          </w:p>
        </w:tc>
        <w:tc>
          <w:tcPr>
            <w:tcW w:w="3117" w:type="dxa"/>
            <w:vMerge/>
            <w:shd w:val="clear" w:color="auto" w:fill="D9E2F3" w:themeFill="accent1" w:themeFillTint="33"/>
          </w:tcPr>
          <w:p w14:paraId="6D7AFEE4" w14:textId="77777777" w:rsidR="00476815" w:rsidRDefault="00476815" w:rsidP="003D76FC">
            <w:pPr>
              <w:overflowPunct w:val="0"/>
              <w:autoSpaceDE w:val="0"/>
              <w:autoSpaceDN w:val="0"/>
              <w:adjustRightInd w:val="0"/>
              <w:spacing w:after="0" w:line="280" w:lineRule="atLeast"/>
              <w:jc w:val="both"/>
            </w:pPr>
          </w:p>
        </w:tc>
      </w:tr>
      <w:tr w:rsidR="00476815" w14:paraId="1DA00AC8" w14:textId="77777777" w:rsidTr="006035A4">
        <w:tc>
          <w:tcPr>
            <w:tcW w:w="3116" w:type="dxa"/>
            <w:vMerge/>
            <w:shd w:val="clear" w:color="auto" w:fill="D9E2F3" w:themeFill="accent1" w:themeFillTint="33"/>
          </w:tcPr>
          <w:p w14:paraId="6318E7A1" w14:textId="77777777" w:rsidR="00476815" w:rsidRDefault="00476815" w:rsidP="003D76FC">
            <w:pPr>
              <w:overflowPunct w:val="0"/>
              <w:autoSpaceDE w:val="0"/>
              <w:autoSpaceDN w:val="0"/>
              <w:adjustRightInd w:val="0"/>
              <w:spacing w:after="0" w:line="280" w:lineRule="atLeast"/>
              <w:jc w:val="both"/>
            </w:pPr>
          </w:p>
        </w:tc>
        <w:tc>
          <w:tcPr>
            <w:tcW w:w="3117" w:type="dxa"/>
            <w:shd w:val="clear" w:color="auto" w:fill="D9E2F3" w:themeFill="accent1" w:themeFillTint="33"/>
          </w:tcPr>
          <w:p w14:paraId="4D7B0432" w14:textId="132248B0" w:rsidR="00476815" w:rsidRDefault="00476815" w:rsidP="003D76FC">
            <w:pPr>
              <w:overflowPunct w:val="0"/>
              <w:autoSpaceDE w:val="0"/>
              <w:autoSpaceDN w:val="0"/>
              <w:adjustRightInd w:val="0"/>
              <w:spacing w:after="0" w:line="280" w:lineRule="atLeast"/>
              <w:jc w:val="both"/>
            </w:pPr>
            <w:r>
              <w:t>Family members of RMG workers</w:t>
            </w:r>
          </w:p>
        </w:tc>
        <w:tc>
          <w:tcPr>
            <w:tcW w:w="3117" w:type="dxa"/>
            <w:vMerge/>
            <w:shd w:val="clear" w:color="auto" w:fill="D9E2F3" w:themeFill="accent1" w:themeFillTint="33"/>
          </w:tcPr>
          <w:p w14:paraId="035CE3E9" w14:textId="77777777" w:rsidR="00476815" w:rsidRDefault="00476815" w:rsidP="003D76FC">
            <w:pPr>
              <w:overflowPunct w:val="0"/>
              <w:autoSpaceDE w:val="0"/>
              <w:autoSpaceDN w:val="0"/>
              <w:adjustRightInd w:val="0"/>
              <w:spacing w:after="0" w:line="280" w:lineRule="atLeast"/>
              <w:jc w:val="both"/>
            </w:pPr>
          </w:p>
        </w:tc>
      </w:tr>
      <w:tr w:rsidR="00476815" w14:paraId="23DE2EA6" w14:textId="77777777" w:rsidTr="006035A4">
        <w:tc>
          <w:tcPr>
            <w:tcW w:w="3116" w:type="dxa"/>
            <w:vMerge/>
            <w:shd w:val="clear" w:color="auto" w:fill="D9E2F3" w:themeFill="accent1" w:themeFillTint="33"/>
          </w:tcPr>
          <w:p w14:paraId="33041B8C" w14:textId="77777777" w:rsidR="00476815" w:rsidRDefault="00476815" w:rsidP="003D76FC">
            <w:pPr>
              <w:overflowPunct w:val="0"/>
              <w:autoSpaceDE w:val="0"/>
              <w:autoSpaceDN w:val="0"/>
              <w:adjustRightInd w:val="0"/>
              <w:spacing w:after="0" w:line="280" w:lineRule="atLeast"/>
              <w:jc w:val="both"/>
            </w:pPr>
          </w:p>
        </w:tc>
        <w:tc>
          <w:tcPr>
            <w:tcW w:w="3117" w:type="dxa"/>
            <w:shd w:val="clear" w:color="auto" w:fill="D9E2F3" w:themeFill="accent1" w:themeFillTint="33"/>
          </w:tcPr>
          <w:p w14:paraId="3FA19AA2" w14:textId="417AEF50" w:rsidR="00476815" w:rsidRDefault="00476815" w:rsidP="003D76FC">
            <w:pPr>
              <w:overflowPunct w:val="0"/>
              <w:autoSpaceDE w:val="0"/>
              <w:autoSpaceDN w:val="0"/>
              <w:adjustRightInd w:val="0"/>
              <w:spacing w:after="0" w:line="280" w:lineRule="atLeast"/>
              <w:jc w:val="both"/>
            </w:pPr>
            <w:r>
              <w:t>BGMEA and BKMEA officials</w:t>
            </w:r>
          </w:p>
        </w:tc>
        <w:tc>
          <w:tcPr>
            <w:tcW w:w="3117" w:type="dxa"/>
            <w:vMerge/>
            <w:shd w:val="clear" w:color="auto" w:fill="D9E2F3" w:themeFill="accent1" w:themeFillTint="33"/>
          </w:tcPr>
          <w:p w14:paraId="35B60B59" w14:textId="77777777" w:rsidR="00476815" w:rsidRDefault="00476815" w:rsidP="003D76FC">
            <w:pPr>
              <w:overflowPunct w:val="0"/>
              <w:autoSpaceDE w:val="0"/>
              <w:autoSpaceDN w:val="0"/>
              <w:adjustRightInd w:val="0"/>
              <w:spacing w:after="0" w:line="280" w:lineRule="atLeast"/>
              <w:jc w:val="both"/>
            </w:pPr>
          </w:p>
        </w:tc>
      </w:tr>
      <w:tr w:rsidR="001037B6" w14:paraId="20FC7441" w14:textId="77777777" w:rsidTr="006035A4">
        <w:tc>
          <w:tcPr>
            <w:tcW w:w="3116" w:type="dxa"/>
            <w:shd w:val="clear" w:color="auto" w:fill="D9E2F3" w:themeFill="accent1" w:themeFillTint="33"/>
          </w:tcPr>
          <w:p w14:paraId="6E6BD8C5" w14:textId="77777777" w:rsidR="001037B6" w:rsidRDefault="001037B6" w:rsidP="003D76FC">
            <w:pPr>
              <w:overflowPunct w:val="0"/>
              <w:autoSpaceDE w:val="0"/>
              <w:autoSpaceDN w:val="0"/>
              <w:adjustRightInd w:val="0"/>
              <w:spacing w:after="0" w:line="280" w:lineRule="atLeast"/>
              <w:jc w:val="both"/>
            </w:pPr>
          </w:p>
        </w:tc>
        <w:tc>
          <w:tcPr>
            <w:tcW w:w="3117" w:type="dxa"/>
            <w:shd w:val="clear" w:color="auto" w:fill="D9E2F3" w:themeFill="accent1" w:themeFillTint="33"/>
          </w:tcPr>
          <w:p w14:paraId="3A67FA8C" w14:textId="0FA5BDE0" w:rsidR="001037B6" w:rsidRPr="001037B6" w:rsidRDefault="001037B6" w:rsidP="003D76FC">
            <w:pPr>
              <w:overflowPunct w:val="0"/>
              <w:autoSpaceDE w:val="0"/>
              <w:autoSpaceDN w:val="0"/>
              <w:adjustRightInd w:val="0"/>
              <w:spacing w:after="0" w:line="280" w:lineRule="atLeast"/>
              <w:jc w:val="both"/>
              <w:rPr>
                <w:b/>
                <w:bCs/>
              </w:rPr>
            </w:pPr>
            <w:r w:rsidRPr="001037B6">
              <w:rPr>
                <w:b/>
                <w:bCs/>
              </w:rPr>
              <w:t>Total</w:t>
            </w:r>
          </w:p>
        </w:tc>
        <w:tc>
          <w:tcPr>
            <w:tcW w:w="3117" w:type="dxa"/>
            <w:shd w:val="clear" w:color="auto" w:fill="D9E2F3" w:themeFill="accent1" w:themeFillTint="33"/>
          </w:tcPr>
          <w:p w14:paraId="4203A5CD" w14:textId="5ACE3A5D" w:rsidR="001037B6" w:rsidRPr="001037B6" w:rsidRDefault="001037B6" w:rsidP="003D76FC">
            <w:pPr>
              <w:overflowPunct w:val="0"/>
              <w:autoSpaceDE w:val="0"/>
              <w:autoSpaceDN w:val="0"/>
              <w:adjustRightInd w:val="0"/>
              <w:spacing w:after="0" w:line="280" w:lineRule="atLeast"/>
              <w:jc w:val="both"/>
              <w:rPr>
                <w:b/>
                <w:bCs/>
              </w:rPr>
            </w:pPr>
            <w:r w:rsidRPr="001037B6">
              <w:rPr>
                <w:b/>
                <w:bCs/>
              </w:rPr>
              <w:t>6</w:t>
            </w:r>
            <w:r w:rsidR="00B64D86">
              <w:rPr>
                <w:b/>
                <w:bCs/>
              </w:rPr>
              <w:t>7</w:t>
            </w:r>
            <w:r w:rsidRPr="001037B6">
              <w:rPr>
                <w:b/>
                <w:bCs/>
              </w:rPr>
              <w:t>0</w:t>
            </w:r>
          </w:p>
        </w:tc>
      </w:tr>
    </w:tbl>
    <w:p w14:paraId="54130834" w14:textId="77777777" w:rsidR="00476815" w:rsidRDefault="00476815" w:rsidP="003D76FC">
      <w:pPr>
        <w:overflowPunct w:val="0"/>
        <w:autoSpaceDE w:val="0"/>
        <w:autoSpaceDN w:val="0"/>
        <w:adjustRightInd w:val="0"/>
        <w:spacing w:after="0" w:line="280" w:lineRule="atLeast"/>
        <w:jc w:val="both"/>
      </w:pPr>
    </w:p>
    <w:p w14:paraId="3CC18343" w14:textId="4E6E5B83" w:rsidR="008867B0" w:rsidRDefault="008867B0" w:rsidP="003D76FC">
      <w:pPr>
        <w:overflowPunct w:val="0"/>
        <w:autoSpaceDE w:val="0"/>
        <w:autoSpaceDN w:val="0"/>
        <w:adjustRightInd w:val="0"/>
        <w:spacing w:after="0" w:line="280" w:lineRule="atLeast"/>
        <w:jc w:val="both"/>
      </w:pPr>
    </w:p>
    <w:p w14:paraId="3B792A34" w14:textId="11C88FBB" w:rsidR="00987A0D" w:rsidRPr="00DF7F22" w:rsidRDefault="00987A0D" w:rsidP="003D76FC">
      <w:pPr>
        <w:pStyle w:val="Default"/>
        <w:tabs>
          <w:tab w:val="left" w:pos="720"/>
        </w:tabs>
        <w:spacing w:after="200" w:line="259" w:lineRule="auto"/>
        <w:ind w:left="360"/>
        <w:jc w:val="both"/>
        <w:rPr>
          <w:rFonts w:asciiTheme="minorHAnsi" w:eastAsiaTheme="minorHAnsi" w:hAnsiTheme="minorHAnsi" w:cs="Calibri-Bold"/>
          <w:bCs/>
          <w:color w:val="00338D"/>
          <w:sz w:val="28"/>
          <w:szCs w:val="28"/>
        </w:rPr>
      </w:pPr>
      <w:r>
        <w:rPr>
          <w:rFonts w:asciiTheme="minorHAnsi" w:eastAsiaTheme="minorHAnsi" w:hAnsiTheme="minorHAnsi" w:cs="Calibri-Bold"/>
          <w:bCs/>
          <w:color w:val="00338D"/>
          <w:sz w:val="28"/>
          <w:szCs w:val="28"/>
        </w:rPr>
        <w:t>4</w:t>
      </w:r>
      <w:r w:rsidRPr="00DF7F22">
        <w:rPr>
          <w:rFonts w:asciiTheme="minorHAnsi" w:eastAsiaTheme="minorHAnsi" w:hAnsiTheme="minorHAnsi" w:cs="Calibri-Bold"/>
          <w:bCs/>
          <w:color w:val="00338D"/>
          <w:sz w:val="28"/>
          <w:szCs w:val="28"/>
        </w:rPr>
        <w:t xml:space="preserve">. </w:t>
      </w:r>
      <w:r>
        <w:rPr>
          <w:rFonts w:asciiTheme="minorHAnsi" w:eastAsiaTheme="minorHAnsi" w:hAnsiTheme="minorHAnsi" w:cs="Calibri-Bold"/>
          <w:bCs/>
          <w:color w:val="00338D"/>
          <w:sz w:val="28"/>
          <w:szCs w:val="28"/>
        </w:rPr>
        <w:t xml:space="preserve">Geographical Location </w:t>
      </w:r>
    </w:p>
    <w:p w14:paraId="3254D2A6" w14:textId="624F8CAC" w:rsidR="00987A0D" w:rsidRDefault="00987A0D" w:rsidP="003D76FC">
      <w:pPr>
        <w:overflowPunct w:val="0"/>
        <w:autoSpaceDE w:val="0"/>
        <w:autoSpaceDN w:val="0"/>
        <w:adjustRightInd w:val="0"/>
        <w:spacing w:after="0" w:line="280" w:lineRule="atLeast"/>
        <w:jc w:val="both"/>
        <w:rPr>
          <w:rFonts w:eastAsia="Times New Roman"/>
          <w:color w:val="000000"/>
          <w:lang w:val="en-GB" w:eastAsia="en-GB"/>
        </w:rPr>
      </w:pPr>
      <w:r>
        <w:t xml:space="preserve">The </w:t>
      </w:r>
      <w:r w:rsidR="00975835">
        <w:t>impact assessment</w:t>
      </w:r>
      <w:r>
        <w:t xml:space="preserve"> will be carried out in Dhaka, Gazipur</w:t>
      </w:r>
      <w:r w:rsidR="00B64D86">
        <w:t>,</w:t>
      </w:r>
      <w:r w:rsidR="00975835">
        <w:t xml:space="preserve"> </w:t>
      </w:r>
      <w:r>
        <w:t>Naryanganj</w:t>
      </w:r>
      <w:r w:rsidR="00975835">
        <w:t>, Tangail, and Chattogram</w:t>
      </w:r>
      <w:r>
        <w:t xml:space="preserve"> </w:t>
      </w:r>
      <w:r w:rsidR="00810375">
        <w:t>d</w:t>
      </w:r>
      <w:r>
        <w:t>istrict</w:t>
      </w:r>
      <w:r w:rsidR="00810375">
        <w:t>s</w:t>
      </w:r>
      <w:r>
        <w:t xml:space="preserve"> which include project beneficiaries, factory management, </w:t>
      </w:r>
      <w:r w:rsidR="00810375">
        <w:t>b</w:t>
      </w:r>
      <w:r>
        <w:t xml:space="preserve">ank personnel and other relevant stakeholders of the project. </w:t>
      </w:r>
    </w:p>
    <w:p w14:paraId="5ECB66C0" w14:textId="3C31B947" w:rsidR="0086154C" w:rsidRDefault="0086154C" w:rsidP="003D76FC">
      <w:pPr>
        <w:overflowPunct w:val="0"/>
        <w:autoSpaceDE w:val="0"/>
        <w:autoSpaceDN w:val="0"/>
        <w:adjustRightInd w:val="0"/>
        <w:spacing w:after="0" w:line="280" w:lineRule="atLeast"/>
        <w:jc w:val="both"/>
      </w:pPr>
    </w:p>
    <w:p w14:paraId="5A9DB75A" w14:textId="7EFBD0BB" w:rsidR="0086154C" w:rsidRDefault="0086154C" w:rsidP="003D76FC">
      <w:pPr>
        <w:overflowPunct w:val="0"/>
        <w:autoSpaceDE w:val="0"/>
        <w:autoSpaceDN w:val="0"/>
        <w:adjustRightInd w:val="0"/>
        <w:spacing w:after="0" w:line="280" w:lineRule="atLeast"/>
        <w:jc w:val="both"/>
      </w:pPr>
    </w:p>
    <w:p w14:paraId="59327F23" w14:textId="01444B98" w:rsidR="00D24A8A" w:rsidRDefault="00D24A8A" w:rsidP="003D76FC">
      <w:pPr>
        <w:overflowPunct w:val="0"/>
        <w:autoSpaceDE w:val="0"/>
        <w:autoSpaceDN w:val="0"/>
        <w:adjustRightInd w:val="0"/>
        <w:spacing w:after="0" w:line="280" w:lineRule="atLeast"/>
        <w:jc w:val="both"/>
      </w:pPr>
    </w:p>
    <w:p w14:paraId="3414AC95" w14:textId="182DA9F9" w:rsidR="00D24A8A" w:rsidRDefault="00D24A8A" w:rsidP="003D76FC">
      <w:pPr>
        <w:overflowPunct w:val="0"/>
        <w:autoSpaceDE w:val="0"/>
        <w:autoSpaceDN w:val="0"/>
        <w:adjustRightInd w:val="0"/>
        <w:spacing w:after="0" w:line="280" w:lineRule="atLeast"/>
        <w:jc w:val="both"/>
      </w:pPr>
    </w:p>
    <w:p w14:paraId="2ADE6C45" w14:textId="31EC54BE" w:rsidR="00D24A8A" w:rsidRDefault="00D24A8A" w:rsidP="003D76FC">
      <w:pPr>
        <w:overflowPunct w:val="0"/>
        <w:autoSpaceDE w:val="0"/>
        <w:autoSpaceDN w:val="0"/>
        <w:adjustRightInd w:val="0"/>
        <w:spacing w:after="0" w:line="280" w:lineRule="atLeast"/>
        <w:jc w:val="both"/>
      </w:pPr>
    </w:p>
    <w:p w14:paraId="527BCBA9" w14:textId="7240F14A" w:rsidR="00D24A8A" w:rsidRDefault="00D24A8A" w:rsidP="003D76FC">
      <w:pPr>
        <w:overflowPunct w:val="0"/>
        <w:autoSpaceDE w:val="0"/>
        <w:autoSpaceDN w:val="0"/>
        <w:adjustRightInd w:val="0"/>
        <w:spacing w:after="0" w:line="280" w:lineRule="atLeast"/>
        <w:jc w:val="both"/>
      </w:pPr>
    </w:p>
    <w:p w14:paraId="407592C7" w14:textId="798CAF89" w:rsidR="00D24A8A" w:rsidRDefault="00D24A8A" w:rsidP="003D76FC">
      <w:pPr>
        <w:overflowPunct w:val="0"/>
        <w:autoSpaceDE w:val="0"/>
        <w:autoSpaceDN w:val="0"/>
        <w:adjustRightInd w:val="0"/>
        <w:spacing w:after="0" w:line="280" w:lineRule="atLeast"/>
        <w:jc w:val="both"/>
      </w:pPr>
    </w:p>
    <w:p w14:paraId="25371368" w14:textId="4CF04157" w:rsidR="00D24A8A" w:rsidRDefault="00D24A8A" w:rsidP="003D76FC">
      <w:pPr>
        <w:overflowPunct w:val="0"/>
        <w:autoSpaceDE w:val="0"/>
        <w:autoSpaceDN w:val="0"/>
        <w:adjustRightInd w:val="0"/>
        <w:spacing w:after="0" w:line="280" w:lineRule="atLeast"/>
        <w:jc w:val="both"/>
      </w:pPr>
    </w:p>
    <w:p w14:paraId="3807882A" w14:textId="13FF79C5" w:rsidR="00D24A8A" w:rsidRDefault="00D24A8A" w:rsidP="003D76FC">
      <w:pPr>
        <w:overflowPunct w:val="0"/>
        <w:autoSpaceDE w:val="0"/>
        <w:autoSpaceDN w:val="0"/>
        <w:adjustRightInd w:val="0"/>
        <w:spacing w:after="0" w:line="280" w:lineRule="atLeast"/>
        <w:jc w:val="both"/>
      </w:pPr>
    </w:p>
    <w:p w14:paraId="4AEF2B1F" w14:textId="545612B6" w:rsidR="00D24A8A" w:rsidRDefault="00D24A8A" w:rsidP="003D76FC">
      <w:pPr>
        <w:overflowPunct w:val="0"/>
        <w:autoSpaceDE w:val="0"/>
        <w:autoSpaceDN w:val="0"/>
        <w:adjustRightInd w:val="0"/>
        <w:spacing w:after="0" w:line="280" w:lineRule="atLeast"/>
        <w:jc w:val="both"/>
      </w:pPr>
    </w:p>
    <w:p w14:paraId="0518B0C7" w14:textId="1F4281E9" w:rsidR="00D24A8A" w:rsidRDefault="00D24A8A" w:rsidP="003D76FC">
      <w:pPr>
        <w:overflowPunct w:val="0"/>
        <w:autoSpaceDE w:val="0"/>
        <w:autoSpaceDN w:val="0"/>
        <w:adjustRightInd w:val="0"/>
        <w:spacing w:after="0" w:line="280" w:lineRule="atLeast"/>
        <w:jc w:val="both"/>
      </w:pPr>
    </w:p>
    <w:p w14:paraId="557E8349" w14:textId="717F77D6" w:rsidR="00D24A8A" w:rsidRDefault="00D24A8A" w:rsidP="003D76FC">
      <w:pPr>
        <w:overflowPunct w:val="0"/>
        <w:autoSpaceDE w:val="0"/>
        <w:autoSpaceDN w:val="0"/>
        <w:adjustRightInd w:val="0"/>
        <w:spacing w:after="0" w:line="280" w:lineRule="atLeast"/>
        <w:jc w:val="both"/>
      </w:pPr>
    </w:p>
    <w:p w14:paraId="4225314C" w14:textId="77777777" w:rsidR="00D24A8A" w:rsidRDefault="00D24A8A" w:rsidP="003D76FC">
      <w:pPr>
        <w:overflowPunct w:val="0"/>
        <w:autoSpaceDE w:val="0"/>
        <w:autoSpaceDN w:val="0"/>
        <w:adjustRightInd w:val="0"/>
        <w:spacing w:after="0" w:line="280" w:lineRule="atLeast"/>
        <w:jc w:val="both"/>
      </w:pPr>
    </w:p>
    <w:p w14:paraId="2F5814CF" w14:textId="77777777" w:rsidR="004A799A" w:rsidRDefault="004A799A" w:rsidP="003D76FC">
      <w:pPr>
        <w:overflowPunct w:val="0"/>
        <w:autoSpaceDE w:val="0"/>
        <w:autoSpaceDN w:val="0"/>
        <w:adjustRightInd w:val="0"/>
        <w:spacing w:after="0" w:line="280" w:lineRule="atLeast"/>
        <w:jc w:val="both"/>
      </w:pPr>
    </w:p>
    <w:p w14:paraId="7CB9772D" w14:textId="77777777" w:rsidR="0086154C" w:rsidRDefault="0086154C" w:rsidP="003D76FC">
      <w:pPr>
        <w:overflowPunct w:val="0"/>
        <w:autoSpaceDE w:val="0"/>
        <w:autoSpaceDN w:val="0"/>
        <w:adjustRightInd w:val="0"/>
        <w:spacing w:after="0" w:line="280" w:lineRule="atLeast"/>
        <w:jc w:val="both"/>
      </w:pPr>
    </w:p>
    <w:p w14:paraId="6836849D" w14:textId="63ECC24E" w:rsidR="00987A0D" w:rsidRPr="00695829" w:rsidRDefault="00987A0D" w:rsidP="003D76FC">
      <w:pPr>
        <w:pStyle w:val="Heading1"/>
        <w:keepNext w:val="0"/>
        <w:keepLines w:val="0"/>
        <w:autoSpaceDE w:val="0"/>
        <w:autoSpaceDN w:val="0"/>
        <w:adjustRightInd w:val="0"/>
        <w:spacing w:before="0" w:after="200" w:line="259" w:lineRule="auto"/>
        <w:ind w:left="720" w:hanging="360"/>
        <w:jc w:val="both"/>
        <w:rPr>
          <w:rFonts w:asciiTheme="minorHAnsi" w:eastAsiaTheme="minorHAnsi" w:hAnsiTheme="minorHAnsi" w:cs="Calibri-Bold"/>
          <w:bCs/>
          <w:color w:val="1F3864" w:themeColor="accent1" w:themeShade="80"/>
          <w:sz w:val="28"/>
          <w:szCs w:val="28"/>
          <w:lang w:val="en-GB" w:eastAsia="en-GB"/>
        </w:rPr>
      </w:pPr>
      <w:r>
        <w:rPr>
          <w:rFonts w:asciiTheme="minorHAnsi" w:eastAsiaTheme="minorHAnsi" w:hAnsiTheme="minorHAnsi" w:cs="Calibri-Bold"/>
          <w:bCs/>
          <w:color w:val="00338D"/>
          <w:sz w:val="28"/>
          <w:szCs w:val="28"/>
          <w:lang w:val="en-GB" w:eastAsia="en-GB"/>
        </w:rPr>
        <w:lastRenderedPageBreak/>
        <w:t xml:space="preserve">5. </w:t>
      </w:r>
      <w:r w:rsidRPr="00DF7F22">
        <w:rPr>
          <w:rFonts w:asciiTheme="minorHAnsi" w:eastAsiaTheme="minorHAnsi" w:hAnsiTheme="minorHAnsi" w:cs="Calibri-Bold"/>
          <w:bCs/>
          <w:color w:val="00338D"/>
          <w:sz w:val="28"/>
          <w:szCs w:val="28"/>
          <w:lang w:val="en-GB" w:eastAsia="en-GB"/>
        </w:rPr>
        <w:t xml:space="preserve">Duration of assignment, specific </w:t>
      </w:r>
      <w:r w:rsidR="00AD62F3" w:rsidRPr="00DF7F22">
        <w:rPr>
          <w:rFonts w:asciiTheme="minorHAnsi" w:eastAsiaTheme="minorHAnsi" w:hAnsiTheme="minorHAnsi" w:cs="Calibri-Bold"/>
          <w:bCs/>
          <w:color w:val="00338D"/>
          <w:sz w:val="28"/>
          <w:szCs w:val="28"/>
          <w:lang w:val="en-GB" w:eastAsia="en-GB"/>
        </w:rPr>
        <w:t>activities,</w:t>
      </w:r>
      <w:r w:rsidR="00AD62F3">
        <w:rPr>
          <w:rFonts w:asciiTheme="minorHAnsi" w:eastAsiaTheme="minorHAnsi" w:hAnsiTheme="minorHAnsi" w:cs="Calibri-Bold"/>
          <w:bCs/>
          <w:color w:val="00338D"/>
          <w:sz w:val="28"/>
          <w:szCs w:val="28"/>
          <w:lang w:val="en-GB" w:eastAsia="en-GB"/>
        </w:rPr>
        <w:t xml:space="preserve"> and indicators</w:t>
      </w:r>
    </w:p>
    <w:p w14:paraId="0E8A75D9" w14:textId="5947FFAC" w:rsidR="00987A0D" w:rsidRDefault="00987A0D" w:rsidP="003D76FC">
      <w:pPr>
        <w:pStyle w:val="Default"/>
        <w:spacing w:after="200" w:line="259" w:lineRule="auto"/>
        <w:jc w:val="both"/>
        <w:rPr>
          <w:rFonts w:asciiTheme="minorHAnsi" w:hAnsiTheme="minorHAnsi" w:cstheme="minorHAnsi"/>
          <w:sz w:val="22"/>
        </w:rPr>
      </w:pPr>
      <w:r>
        <w:rPr>
          <w:rFonts w:asciiTheme="minorHAnsi" w:hAnsiTheme="minorHAnsi" w:cstheme="minorHAnsi"/>
          <w:b/>
          <w:sz w:val="22"/>
        </w:rPr>
        <w:t>The duration of the assignment is 2</w:t>
      </w:r>
      <w:r w:rsidR="00AD62F3">
        <w:rPr>
          <w:rFonts w:asciiTheme="minorHAnsi" w:hAnsiTheme="minorHAnsi" w:cstheme="minorHAnsi"/>
          <w:b/>
          <w:sz w:val="22"/>
        </w:rPr>
        <w:t>.5</w:t>
      </w:r>
      <w:r>
        <w:rPr>
          <w:rFonts w:asciiTheme="minorHAnsi" w:hAnsiTheme="minorHAnsi" w:cstheme="minorHAnsi"/>
          <w:b/>
          <w:sz w:val="22"/>
        </w:rPr>
        <w:t xml:space="preserve"> months, starting from </w:t>
      </w:r>
      <w:r w:rsidR="00B64D86">
        <w:rPr>
          <w:rFonts w:asciiTheme="minorHAnsi" w:hAnsiTheme="minorHAnsi" w:cstheme="minorHAnsi"/>
          <w:b/>
          <w:sz w:val="22"/>
        </w:rPr>
        <w:t>1</w:t>
      </w:r>
      <w:r>
        <w:rPr>
          <w:rFonts w:asciiTheme="minorHAnsi" w:hAnsiTheme="minorHAnsi" w:cstheme="minorHAnsi"/>
          <w:b/>
          <w:sz w:val="22"/>
        </w:rPr>
        <w:t>5 October</w:t>
      </w:r>
      <w:r w:rsidRPr="00DF7F22">
        <w:rPr>
          <w:rFonts w:asciiTheme="minorHAnsi" w:hAnsiTheme="minorHAnsi" w:cstheme="minorHAnsi"/>
          <w:b/>
          <w:sz w:val="22"/>
        </w:rPr>
        <w:t xml:space="preserve"> 2</w:t>
      </w:r>
      <w:r>
        <w:rPr>
          <w:rFonts w:asciiTheme="minorHAnsi" w:hAnsiTheme="minorHAnsi" w:cstheme="minorHAnsi"/>
          <w:b/>
          <w:sz w:val="22"/>
        </w:rPr>
        <w:t>020</w:t>
      </w:r>
      <w:r w:rsidRPr="00DF7F22">
        <w:rPr>
          <w:rFonts w:asciiTheme="minorHAnsi" w:hAnsiTheme="minorHAnsi" w:cstheme="minorHAnsi"/>
          <w:b/>
          <w:sz w:val="22"/>
        </w:rPr>
        <w:t xml:space="preserve"> </w:t>
      </w:r>
      <w:r>
        <w:rPr>
          <w:rFonts w:asciiTheme="minorHAnsi" w:hAnsiTheme="minorHAnsi" w:cstheme="minorHAnsi"/>
          <w:b/>
          <w:sz w:val="22"/>
        </w:rPr>
        <w:t xml:space="preserve">to </w:t>
      </w:r>
      <w:r w:rsidR="00B64D86">
        <w:rPr>
          <w:rFonts w:asciiTheme="minorHAnsi" w:hAnsiTheme="minorHAnsi" w:cstheme="minorHAnsi"/>
          <w:b/>
          <w:sz w:val="22"/>
        </w:rPr>
        <w:t>31</w:t>
      </w:r>
      <w:r>
        <w:rPr>
          <w:rFonts w:asciiTheme="minorHAnsi" w:hAnsiTheme="minorHAnsi" w:cstheme="minorHAnsi"/>
          <w:b/>
          <w:sz w:val="22"/>
        </w:rPr>
        <w:t xml:space="preserve"> December</w:t>
      </w:r>
      <w:r w:rsidRPr="00DF7F22">
        <w:rPr>
          <w:rFonts w:asciiTheme="minorHAnsi" w:hAnsiTheme="minorHAnsi" w:cstheme="minorHAnsi"/>
          <w:b/>
          <w:sz w:val="22"/>
        </w:rPr>
        <w:t xml:space="preserve"> </w:t>
      </w:r>
      <w:r>
        <w:rPr>
          <w:rFonts w:asciiTheme="minorHAnsi" w:hAnsiTheme="minorHAnsi" w:cstheme="minorHAnsi"/>
          <w:b/>
          <w:sz w:val="22"/>
        </w:rPr>
        <w:t>2020</w:t>
      </w:r>
      <w:r w:rsidRPr="00DF7F22">
        <w:rPr>
          <w:rFonts w:asciiTheme="minorHAnsi" w:hAnsiTheme="minorHAnsi" w:cstheme="minorHAnsi"/>
          <w:b/>
          <w:sz w:val="22"/>
        </w:rPr>
        <w:t xml:space="preserve">. </w:t>
      </w:r>
      <w:r w:rsidRPr="00D54178">
        <w:rPr>
          <w:rFonts w:asciiTheme="minorHAnsi" w:hAnsiTheme="minorHAnsi" w:cstheme="minorHAnsi"/>
          <w:sz w:val="22"/>
        </w:rPr>
        <w:t>For the benefit of effective planning, the prospective bidder can refer to the table below:</w:t>
      </w:r>
    </w:p>
    <w:p w14:paraId="70D7AE24" w14:textId="77777777" w:rsidR="00987A0D" w:rsidRPr="00DF7F22" w:rsidRDefault="00987A0D" w:rsidP="003D76FC">
      <w:pPr>
        <w:pStyle w:val="Default"/>
        <w:spacing w:after="200" w:line="259" w:lineRule="auto"/>
        <w:jc w:val="both"/>
        <w:rPr>
          <w:rFonts w:asciiTheme="minorHAnsi" w:hAnsiTheme="minorHAnsi" w:cstheme="minorHAnsi"/>
          <w:sz w:val="20"/>
          <w:szCs w:val="20"/>
        </w:rPr>
      </w:pPr>
      <w:r w:rsidRPr="00DF7F22">
        <w:rPr>
          <w:rFonts w:asciiTheme="minorHAnsi" w:hAnsiTheme="minorHAnsi" w:cstheme="minorHAnsi"/>
          <w:color w:val="1F4E79" w:themeColor="accent5" w:themeShade="80"/>
          <w:sz w:val="20"/>
          <w:szCs w:val="20"/>
          <w:lang w:val="en-US"/>
        </w:rPr>
        <w:t xml:space="preserve">Table </w:t>
      </w:r>
      <w:r w:rsidRPr="00DF7F22">
        <w:rPr>
          <w:rFonts w:asciiTheme="minorHAnsi" w:hAnsiTheme="minorHAnsi" w:cstheme="minorHAnsi"/>
          <w:color w:val="1F4E79" w:themeColor="accent5" w:themeShade="80"/>
          <w:sz w:val="20"/>
          <w:szCs w:val="20"/>
          <w:lang w:val="en-US"/>
        </w:rPr>
        <w:fldChar w:fldCharType="begin"/>
      </w:r>
      <w:r w:rsidRPr="00DF7F22">
        <w:rPr>
          <w:rFonts w:asciiTheme="minorHAnsi" w:hAnsiTheme="minorHAnsi" w:cstheme="minorHAnsi"/>
          <w:color w:val="1F4E79" w:themeColor="accent5" w:themeShade="80"/>
          <w:sz w:val="20"/>
          <w:szCs w:val="20"/>
          <w:lang w:val="en-US"/>
        </w:rPr>
        <w:instrText xml:space="preserve"> SEQ Table \* ARABIC </w:instrText>
      </w:r>
      <w:r w:rsidRPr="00DF7F22">
        <w:rPr>
          <w:rFonts w:asciiTheme="minorHAnsi" w:hAnsiTheme="minorHAnsi" w:cstheme="minorHAnsi"/>
          <w:color w:val="1F4E79" w:themeColor="accent5" w:themeShade="80"/>
          <w:sz w:val="20"/>
          <w:szCs w:val="20"/>
          <w:lang w:val="en-US"/>
        </w:rPr>
        <w:fldChar w:fldCharType="separate"/>
      </w:r>
      <w:r>
        <w:rPr>
          <w:rFonts w:asciiTheme="minorHAnsi" w:hAnsiTheme="minorHAnsi" w:cstheme="minorHAnsi"/>
          <w:noProof/>
          <w:color w:val="1F4E79" w:themeColor="accent5" w:themeShade="80"/>
          <w:sz w:val="20"/>
          <w:szCs w:val="20"/>
          <w:lang w:val="en-US"/>
        </w:rPr>
        <w:t>2</w:t>
      </w:r>
      <w:r w:rsidRPr="00DF7F22">
        <w:rPr>
          <w:rFonts w:asciiTheme="minorHAnsi" w:hAnsiTheme="minorHAnsi" w:cstheme="minorHAnsi"/>
          <w:color w:val="1F4E79" w:themeColor="accent5" w:themeShade="80"/>
          <w:sz w:val="20"/>
          <w:szCs w:val="20"/>
        </w:rPr>
        <w:fldChar w:fldCharType="end"/>
      </w:r>
      <w:r w:rsidRPr="00DF7F22">
        <w:rPr>
          <w:rFonts w:asciiTheme="minorHAnsi" w:hAnsiTheme="minorHAnsi" w:cstheme="minorHAnsi"/>
          <w:color w:val="1F4E79" w:themeColor="accent5" w:themeShade="80"/>
          <w:sz w:val="20"/>
          <w:szCs w:val="20"/>
          <w:lang w:val="en-US"/>
        </w:rPr>
        <w:t>: Specific Activities</w:t>
      </w:r>
      <w:r>
        <w:rPr>
          <w:rStyle w:val="FootnoteReference"/>
          <w:rFonts w:asciiTheme="minorHAnsi" w:hAnsiTheme="minorHAnsi" w:cstheme="minorHAnsi"/>
          <w:color w:val="1F4E79" w:themeColor="accent5" w:themeShade="80"/>
          <w:sz w:val="20"/>
          <w:szCs w:val="20"/>
          <w:lang w:val="en-US"/>
        </w:rPr>
        <w:footnoteReference w:id="2"/>
      </w:r>
      <w:r w:rsidRPr="00DF7F22">
        <w:rPr>
          <w:rFonts w:asciiTheme="minorHAnsi" w:hAnsiTheme="minorHAnsi" w:cstheme="minorHAnsi"/>
          <w:color w:val="1F4E79" w:themeColor="accent5" w:themeShade="80"/>
          <w:sz w:val="20"/>
          <w:szCs w:val="20"/>
          <w:lang w:val="en-US"/>
        </w:rPr>
        <w:t xml:space="preserve"> </w:t>
      </w:r>
    </w:p>
    <w:tbl>
      <w:tblPr>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8304"/>
      </w:tblGrid>
      <w:tr w:rsidR="004A799A" w:rsidRPr="002D13BB" w14:paraId="580A711A" w14:textId="77777777" w:rsidTr="004A799A">
        <w:trPr>
          <w:trHeight w:val="185"/>
        </w:trPr>
        <w:tc>
          <w:tcPr>
            <w:tcW w:w="1241" w:type="dxa"/>
            <w:tcBorders>
              <w:bottom w:val="single" w:sz="4" w:space="0" w:color="auto"/>
            </w:tcBorders>
            <w:shd w:val="clear" w:color="auto" w:fill="1F3864" w:themeFill="accent1" w:themeFillShade="80"/>
          </w:tcPr>
          <w:p w14:paraId="1D4090A5" w14:textId="77777777" w:rsidR="004A799A" w:rsidRPr="00DF7F22" w:rsidRDefault="004A799A" w:rsidP="003D76FC">
            <w:pPr>
              <w:spacing w:after="0" w:line="259" w:lineRule="auto"/>
              <w:jc w:val="both"/>
              <w:rPr>
                <w:rFonts w:ascii="Calibri" w:eastAsia="Calibri" w:hAnsi="Calibri" w:cs="Vrinda"/>
                <w:b/>
                <w:color w:val="FFFFFF" w:themeColor="background1"/>
              </w:rPr>
            </w:pPr>
            <w:r w:rsidRPr="00DF7F22">
              <w:rPr>
                <w:rFonts w:ascii="Calibri" w:eastAsia="Calibri" w:hAnsi="Calibri" w:cs="Vrinda"/>
                <w:b/>
                <w:color w:val="FFFFFF" w:themeColor="background1"/>
              </w:rPr>
              <w:t>Sl.</w:t>
            </w:r>
          </w:p>
        </w:tc>
        <w:tc>
          <w:tcPr>
            <w:tcW w:w="8304" w:type="dxa"/>
            <w:tcBorders>
              <w:bottom w:val="single" w:sz="4" w:space="0" w:color="auto"/>
            </w:tcBorders>
            <w:shd w:val="clear" w:color="auto" w:fill="1F3864" w:themeFill="accent1" w:themeFillShade="80"/>
          </w:tcPr>
          <w:p w14:paraId="50F9BD44" w14:textId="77991803" w:rsidR="004A799A" w:rsidRPr="00DF7F22" w:rsidRDefault="004A799A" w:rsidP="003D76FC">
            <w:pPr>
              <w:spacing w:after="0" w:line="259" w:lineRule="auto"/>
              <w:jc w:val="both"/>
              <w:rPr>
                <w:rFonts w:ascii="Calibri" w:eastAsia="Calibri" w:hAnsi="Calibri" w:cs="Vrinda"/>
                <w:b/>
                <w:color w:val="FFFFFF" w:themeColor="background1"/>
              </w:rPr>
            </w:pPr>
            <w:r w:rsidRPr="00DF7F22">
              <w:rPr>
                <w:rFonts w:ascii="Calibri" w:eastAsia="Calibri" w:hAnsi="Calibri" w:cs="Vrinda"/>
                <w:b/>
                <w:color w:val="FFFFFF" w:themeColor="background1"/>
              </w:rPr>
              <w:t>Activit</w:t>
            </w:r>
            <w:r w:rsidR="006849CC">
              <w:rPr>
                <w:rFonts w:ascii="Calibri" w:eastAsia="Calibri" w:hAnsi="Calibri" w:cs="Vrinda"/>
                <w:b/>
                <w:color w:val="FFFFFF" w:themeColor="background1"/>
              </w:rPr>
              <w:t>es</w:t>
            </w:r>
          </w:p>
        </w:tc>
      </w:tr>
      <w:tr w:rsidR="004A799A" w:rsidRPr="002D13BB" w:rsidDel="008B385C" w14:paraId="47FFDAB6" w14:textId="77777777" w:rsidTr="00810375">
        <w:trPr>
          <w:trHeight w:val="199"/>
        </w:trPr>
        <w:tc>
          <w:tcPr>
            <w:tcW w:w="1241" w:type="dxa"/>
            <w:shd w:val="clear" w:color="auto" w:fill="2F5496" w:themeFill="accent1" w:themeFillShade="BF"/>
          </w:tcPr>
          <w:p w14:paraId="52416256" w14:textId="4007BB50" w:rsidR="004A799A"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1</w:t>
            </w:r>
          </w:p>
        </w:tc>
        <w:tc>
          <w:tcPr>
            <w:tcW w:w="8304" w:type="dxa"/>
            <w:shd w:val="clear" w:color="auto" w:fill="9CC2E5" w:themeFill="accent5" w:themeFillTint="99"/>
          </w:tcPr>
          <w:p w14:paraId="3166611F" w14:textId="216E1EAD" w:rsidR="004A799A" w:rsidRDefault="004A799A" w:rsidP="003D76FC">
            <w:pPr>
              <w:spacing w:after="0" w:line="259" w:lineRule="auto"/>
              <w:jc w:val="both"/>
              <w:rPr>
                <w:rFonts w:ascii="Calibri" w:eastAsia="Calibri" w:hAnsi="Calibri" w:cs="Calibri"/>
                <w:sz w:val="20"/>
                <w:szCs w:val="20"/>
              </w:rPr>
            </w:pPr>
            <w:r>
              <w:rPr>
                <w:rFonts w:ascii="Calibri" w:eastAsia="Calibri" w:hAnsi="Calibri" w:cs="Calibri"/>
                <w:sz w:val="20"/>
                <w:szCs w:val="20"/>
              </w:rPr>
              <w:t>Inception report and extensive literature review; (Submit a report/presentation of the findings)</w:t>
            </w:r>
          </w:p>
        </w:tc>
      </w:tr>
      <w:tr w:rsidR="004A799A" w:rsidRPr="002D13BB" w:rsidDel="008B385C" w14:paraId="0C582DFF" w14:textId="77777777" w:rsidTr="004A799A">
        <w:trPr>
          <w:trHeight w:val="199"/>
        </w:trPr>
        <w:tc>
          <w:tcPr>
            <w:tcW w:w="1241" w:type="dxa"/>
            <w:shd w:val="clear" w:color="auto" w:fill="2F5496" w:themeFill="accent1" w:themeFillShade="BF"/>
          </w:tcPr>
          <w:p w14:paraId="3D76522E" w14:textId="03A9BA24" w:rsidR="004A799A" w:rsidRPr="002D13BB"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2</w:t>
            </w:r>
          </w:p>
        </w:tc>
        <w:tc>
          <w:tcPr>
            <w:tcW w:w="8304" w:type="dxa"/>
            <w:shd w:val="clear" w:color="auto" w:fill="D9E2F3" w:themeFill="accent1" w:themeFillTint="33"/>
          </w:tcPr>
          <w:p w14:paraId="7F3B9549" w14:textId="77777777" w:rsidR="004A799A" w:rsidRPr="00DF7F22" w:rsidDel="00222574" w:rsidRDefault="004A799A" w:rsidP="003D76FC">
            <w:pPr>
              <w:spacing w:after="0" w:line="259" w:lineRule="auto"/>
              <w:jc w:val="both"/>
              <w:rPr>
                <w:rFonts w:ascii="Calibri" w:eastAsia="Calibri" w:hAnsi="Calibri" w:cs="Calibri"/>
                <w:sz w:val="20"/>
                <w:szCs w:val="20"/>
              </w:rPr>
            </w:pPr>
            <w:r>
              <w:rPr>
                <w:rFonts w:ascii="Calibri" w:eastAsia="Calibri" w:hAnsi="Calibri" w:cs="Calibri"/>
                <w:sz w:val="20"/>
                <w:szCs w:val="20"/>
              </w:rPr>
              <w:t>Finalize RMG factories and communities for sample surveys</w:t>
            </w:r>
          </w:p>
        </w:tc>
      </w:tr>
      <w:tr w:rsidR="004A799A" w:rsidRPr="002D13BB" w:rsidDel="008B385C" w14:paraId="009E8847" w14:textId="77777777" w:rsidTr="006849CC">
        <w:trPr>
          <w:trHeight w:val="595"/>
        </w:trPr>
        <w:tc>
          <w:tcPr>
            <w:tcW w:w="1241" w:type="dxa"/>
            <w:shd w:val="clear" w:color="auto" w:fill="2F5496" w:themeFill="accent1" w:themeFillShade="BF"/>
          </w:tcPr>
          <w:p w14:paraId="2DE950D3" w14:textId="2156B4E5" w:rsidR="004A799A" w:rsidRPr="002D13BB"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3</w:t>
            </w:r>
          </w:p>
        </w:tc>
        <w:tc>
          <w:tcPr>
            <w:tcW w:w="8304" w:type="dxa"/>
            <w:shd w:val="clear" w:color="auto" w:fill="9CC2E5" w:themeFill="accent5" w:themeFillTint="99"/>
          </w:tcPr>
          <w:p w14:paraId="6ACE898A" w14:textId="4B3F7270" w:rsidR="004A799A" w:rsidRPr="002D13BB" w:rsidDel="00222574" w:rsidRDefault="004A799A" w:rsidP="003D76FC">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Develop overall work plan and detailed field plan with assigned responsibilities of each human resource recruited for this assignment. Set day wise targets for every individual   </w:t>
            </w:r>
          </w:p>
        </w:tc>
      </w:tr>
      <w:tr w:rsidR="00881B5E" w:rsidRPr="002D13BB" w14:paraId="068845EC" w14:textId="77777777" w:rsidTr="004A799A">
        <w:trPr>
          <w:trHeight w:val="199"/>
        </w:trPr>
        <w:tc>
          <w:tcPr>
            <w:tcW w:w="1241" w:type="dxa"/>
            <w:shd w:val="clear" w:color="auto" w:fill="2F5496" w:themeFill="accent1" w:themeFillShade="BF"/>
          </w:tcPr>
          <w:p w14:paraId="186D7E61" w14:textId="1666896A" w:rsidR="00881B5E"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4</w:t>
            </w:r>
          </w:p>
        </w:tc>
        <w:tc>
          <w:tcPr>
            <w:tcW w:w="8304" w:type="dxa"/>
            <w:shd w:val="clear" w:color="auto" w:fill="D9E2F3" w:themeFill="accent1" w:themeFillTint="33"/>
          </w:tcPr>
          <w:p w14:paraId="3B960D48" w14:textId="4A86C492" w:rsidR="00881B5E" w:rsidRDefault="00881B5E" w:rsidP="003D76FC">
            <w:pPr>
              <w:spacing w:after="0" w:line="259" w:lineRule="auto"/>
              <w:jc w:val="both"/>
              <w:rPr>
                <w:rFonts w:ascii="Calibri" w:eastAsia="Calibri" w:hAnsi="Calibri" w:cs="Vrinda"/>
                <w:sz w:val="20"/>
                <w:szCs w:val="20"/>
              </w:rPr>
            </w:pPr>
            <w:r>
              <w:rPr>
                <w:rFonts w:ascii="Calibri" w:eastAsia="Calibri" w:hAnsi="Calibri" w:cs="Vrinda"/>
                <w:sz w:val="20"/>
                <w:szCs w:val="20"/>
              </w:rPr>
              <w:t>Finalize the study methodology</w:t>
            </w:r>
          </w:p>
        </w:tc>
      </w:tr>
      <w:tr w:rsidR="004A799A" w:rsidRPr="002D13BB" w14:paraId="2C14902F" w14:textId="77777777" w:rsidTr="004A799A">
        <w:trPr>
          <w:trHeight w:val="199"/>
        </w:trPr>
        <w:tc>
          <w:tcPr>
            <w:tcW w:w="1241" w:type="dxa"/>
            <w:shd w:val="clear" w:color="auto" w:fill="2F5496" w:themeFill="accent1" w:themeFillShade="BF"/>
          </w:tcPr>
          <w:p w14:paraId="5CDEB8E6" w14:textId="76B26146" w:rsidR="004A799A" w:rsidRPr="002D13BB"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5</w:t>
            </w:r>
          </w:p>
        </w:tc>
        <w:tc>
          <w:tcPr>
            <w:tcW w:w="8304" w:type="dxa"/>
            <w:shd w:val="clear" w:color="auto" w:fill="D9E2F3" w:themeFill="accent1" w:themeFillTint="33"/>
          </w:tcPr>
          <w:p w14:paraId="676836BB" w14:textId="77777777" w:rsidR="004A799A" w:rsidRDefault="004A799A" w:rsidP="003D76FC">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Finalize questionnaires and checklists for: </w:t>
            </w:r>
          </w:p>
          <w:p w14:paraId="24088DCF" w14:textId="6AE752BC" w:rsidR="004A799A" w:rsidRDefault="00881B5E" w:rsidP="003D76FC">
            <w:pPr>
              <w:pStyle w:val="ListParagraph"/>
              <w:numPr>
                <w:ilvl w:val="0"/>
                <w:numId w:val="4"/>
              </w:numPr>
              <w:spacing w:after="0" w:line="259" w:lineRule="auto"/>
              <w:jc w:val="both"/>
              <w:rPr>
                <w:rFonts w:ascii="Calibri" w:eastAsia="Calibri" w:hAnsi="Calibri" w:cs="Vrinda"/>
                <w:sz w:val="20"/>
                <w:szCs w:val="20"/>
              </w:rPr>
            </w:pPr>
            <w:r>
              <w:rPr>
                <w:rFonts w:ascii="Calibri" w:eastAsia="Calibri" w:hAnsi="Calibri" w:cs="Vrinda"/>
                <w:sz w:val="20"/>
                <w:szCs w:val="20"/>
              </w:rPr>
              <w:t>Quantitative surveys</w:t>
            </w:r>
            <w:r w:rsidR="006849CC">
              <w:rPr>
                <w:rFonts w:ascii="Calibri" w:eastAsia="Calibri" w:hAnsi="Calibri" w:cs="Vrinda"/>
                <w:sz w:val="20"/>
                <w:szCs w:val="20"/>
              </w:rPr>
              <w:t>;</w:t>
            </w:r>
          </w:p>
          <w:p w14:paraId="77350AEC" w14:textId="475DD9BA" w:rsidR="004A799A" w:rsidRDefault="00881B5E" w:rsidP="003D76FC">
            <w:pPr>
              <w:pStyle w:val="ListParagraph"/>
              <w:numPr>
                <w:ilvl w:val="0"/>
                <w:numId w:val="4"/>
              </w:numPr>
              <w:spacing w:after="0" w:line="259" w:lineRule="auto"/>
              <w:jc w:val="both"/>
              <w:rPr>
                <w:rFonts w:ascii="Calibri" w:eastAsia="Calibri" w:hAnsi="Calibri" w:cs="Vrinda"/>
                <w:sz w:val="20"/>
                <w:szCs w:val="20"/>
              </w:rPr>
            </w:pPr>
            <w:r>
              <w:rPr>
                <w:rFonts w:ascii="Calibri" w:eastAsia="Calibri" w:hAnsi="Calibri" w:cs="Vrinda"/>
                <w:sz w:val="20"/>
                <w:szCs w:val="20"/>
              </w:rPr>
              <w:t>In depth interviews</w:t>
            </w:r>
            <w:r w:rsidR="004A799A">
              <w:rPr>
                <w:rFonts w:ascii="Calibri" w:eastAsia="Calibri" w:hAnsi="Calibri" w:cs="Vrinda"/>
                <w:sz w:val="20"/>
                <w:szCs w:val="20"/>
              </w:rPr>
              <w:t xml:space="preserve"> (</w:t>
            </w:r>
            <w:r w:rsidR="00913698">
              <w:rPr>
                <w:rFonts w:ascii="Calibri" w:eastAsia="Calibri" w:hAnsi="Calibri" w:cs="Vrinda"/>
                <w:sz w:val="20"/>
                <w:szCs w:val="20"/>
              </w:rPr>
              <w:t>f</w:t>
            </w:r>
            <w:r w:rsidR="004A799A">
              <w:rPr>
                <w:rFonts w:ascii="Calibri" w:eastAsia="Calibri" w:hAnsi="Calibri" w:cs="Vrinda"/>
                <w:sz w:val="20"/>
                <w:szCs w:val="20"/>
              </w:rPr>
              <w:t>inding success stories)</w:t>
            </w:r>
            <w:r w:rsidR="006849CC">
              <w:rPr>
                <w:rFonts w:ascii="Calibri" w:eastAsia="Calibri" w:hAnsi="Calibri" w:cs="Vrinda"/>
                <w:sz w:val="20"/>
                <w:szCs w:val="20"/>
              </w:rPr>
              <w:t>;</w:t>
            </w:r>
          </w:p>
          <w:p w14:paraId="48F0FFF0" w14:textId="3D7BA13B" w:rsidR="004A799A" w:rsidRPr="00DF7F22" w:rsidRDefault="004A799A" w:rsidP="003D76FC">
            <w:pPr>
              <w:pStyle w:val="ListParagraph"/>
              <w:numPr>
                <w:ilvl w:val="0"/>
                <w:numId w:val="4"/>
              </w:numPr>
              <w:spacing w:after="0" w:line="259" w:lineRule="auto"/>
              <w:jc w:val="both"/>
              <w:rPr>
                <w:rFonts w:ascii="Calibri" w:eastAsia="Calibri" w:hAnsi="Calibri" w:cs="Vrinda"/>
                <w:sz w:val="20"/>
                <w:szCs w:val="20"/>
              </w:rPr>
            </w:pPr>
            <w:r>
              <w:rPr>
                <w:rFonts w:ascii="Calibri" w:eastAsia="Calibri" w:hAnsi="Calibri" w:cs="Vrinda"/>
                <w:sz w:val="20"/>
                <w:szCs w:val="20"/>
              </w:rPr>
              <w:t>K</w:t>
            </w:r>
            <w:r w:rsidR="00881B5E">
              <w:rPr>
                <w:rFonts w:ascii="Calibri" w:eastAsia="Calibri" w:hAnsi="Calibri" w:cs="Vrinda"/>
                <w:sz w:val="20"/>
                <w:szCs w:val="20"/>
              </w:rPr>
              <w:t>ey Informants Interviews</w:t>
            </w:r>
            <w:r>
              <w:rPr>
                <w:rFonts w:ascii="Calibri" w:eastAsia="Calibri" w:hAnsi="Calibri" w:cs="Vrinda"/>
                <w:sz w:val="20"/>
                <w:szCs w:val="20"/>
              </w:rPr>
              <w:t xml:space="preserve"> (as defined in Table 1)</w:t>
            </w:r>
            <w:r w:rsidR="006849CC">
              <w:rPr>
                <w:rFonts w:ascii="Calibri" w:eastAsia="Calibri" w:hAnsi="Calibri" w:cs="Vrinda"/>
                <w:sz w:val="20"/>
                <w:szCs w:val="20"/>
              </w:rPr>
              <w:t>.</w:t>
            </w:r>
          </w:p>
        </w:tc>
      </w:tr>
      <w:tr w:rsidR="004A799A" w:rsidRPr="002D13BB" w:rsidDel="00A87238" w14:paraId="1B654998" w14:textId="77777777" w:rsidTr="00810375">
        <w:trPr>
          <w:trHeight w:val="224"/>
        </w:trPr>
        <w:tc>
          <w:tcPr>
            <w:tcW w:w="1241" w:type="dxa"/>
            <w:shd w:val="clear" w:color="auto" w:fill="2F5496" w:themeFill="accent1" w:themeFillShade="BF"/>
          </w:tcPr>
          <w:p w14:paraId="2BEC252E" w14:textId="344ABC5B" w:rsidR="004A799A"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6</w:t>
            </w:r>
          </w:p>
        </w:tc>
        <w:tc>
          <w:tcPr>
            <w:tcW w:w="8304" w:type="dxa"/>
            <w:shd w:val="clear" w:color="auto" w:fill="9CC2E5" w:themeFill="accent5" w:themeFillTint="99"/>
          </w:tcPr>
          <w:p w14:paraId="1D5B21D7" w14:textId="77777777" w:rsidR="004A799A" w:rsidRDefault="004A799A" w:rsidP="003D76FC">
            <w:pPr>
              <w:spacing w:after="0" w:line="259" w:lineRule="auto"/>
              <w:jc w:val="both"/>
              <w:rPr>
                <w:rFonts w:ascii="Calibri" w:eastAsia="Calibri" w:hAnsi="Calibri" w:cs="Vrinda"/>
                <w:sz w:val="20"/>
                <w:szCs w:val="20"/>
              </w:rPr>
            </w:pPr>
            <w:r>
              <w:rPr>
                <w:rFonts w:ascii="Calibri" w:eastAsia="Calibri" w:hAnsi="Calibri" w:cs="Vrinda"/>
                <w:sz w:val="20"/>
                <w:szCs w:val="20"/>
              </w:rPr>
              <w:t>Conduct pre-testing of questionnaires and make improvisation as per need</w:t>
            </w:r>
          </w:p>
        </w:tc>
      </w:tr>
      <w:tr w:rsidR="004A799A" w:rsidRPr="002D13BB" w:rsidDel="00A87238" w14:paraId="34C8E0D3" w14:textId="77777777" w:rsidTr="004A799A">
        <w:trPr>
          <w:trHeight w:val="224"/>
        </w:trPr>
        <w:tc>
          <w:tcPr>
            <w:tcW w:w="1241" w:type="dxa"/>
            <w:shd w:val="clear" w:color="auto" w:fill="2F5496" w:themeFill="accent1" w:themeFillShade="BF"/>
          </w:tcPr>
          <w:p w14:paraId="17C4FC40" w14:textId="3228C7B3" w:rsidR="004A799A" w:rsidRPr="002D13BB" w:rsidDel="00A87238"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7</w:t>
            </w:r>
          </w:p>
        </w:tc>
        <w:tc>
          <w:tcPr>
            <w:tcW w:w="8304" w:type="dxa"/>
            <w:shd w:val="clear" w:color="auto" w:fill="D9E2F3" w:themeFill="accent1" w:themeFillTint="33"/>
          </w:tcPr>
          <w:p w14:paraId="7B0DE748" w14:textId="77777777" w:rsidR="004A799A" w:rsidRDefault="004A799A" w:rsidP="003D76FC">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Conduct data collection </w:t>
            </w:r>
          </w:p>
        </w:tc>
      </w:tr>
      <w:tr w:rsidR="004A799A" w:rsidRPr="002D13BB" w:rsidDel="00A87238" w14:paraId="7CD0D9E9" w14:textId="77777777" w:rsidTr="00810375">
        <w:trPr>
          <w:trHeight w:val="224"/>
        </w:trPr>
        <w:tc>
          <w:tcPr>
            <w:tcW w:w="1241" w:type="dxa"/>
            <w:shd w:val="clear" w:color="auto" w:fill="2F5496" w:themeFill="accent1" w:themeFillShade="BF"/>
          </w:tcPr>
          <w:p w14:paraId="1965D9EB" w14:textId="6181F34B" w:rsidR="004A799A" w:rsidRPr="002D13BB" w:rsidDel="00A87238" w:rsidRDefault="006849CC" w:rsidP="003D76FC">
            <w:pPr>
              <w:spacing w:after="0" w:line="259" w:lineRule="auto"/>
              <w:jc w:val="both"/>
              <w:rPr>
                <w:rFonts w:ascii="Calibri" w:eastAsia="Calibri" w:hAnsi="Calibri" w:cs="Calibri"/>
                <w:color w:val="FFFFFF"/>
                <w:sz w:val="20"/>
                <w:szCs w:val="20"/>
              </w:rPr>
            </w:pPr>
            <w:r>
              <w:rPr>
                <w:rFonts w:ascii="Calibri" w:eastAsia="Calibri" w:hAnsi="Calibri" w:cs="Calibri"/>
                <w:color w:val="FFFFFF"/>
                <w:sz w:val="20"/>
                <w:szCs w:val="20"/>
              </w:rPr>
              <w:t>8</w:t>
            </w:r>
          </w:p>
        </w:tc>
        <w:tc>
          <w:tcPr>
            <w:tcW w:w="8304" w:type="dxa"/>
            <w:shd w:val="clear" w:color="auto" w:fill="9CC2E5" w:themeFill="accent5" w:themeFillTint="99"/>
          </w:tcPr>
          <w:p w14:paraId="7365C8FC" w14:textId="77777777" w:rsidR="004A799A" w:rsidRPr="002D13BB" w:rsidDel="00A87238" w:rsidRDefault="004A799A" w:rsidP="003D76FC">
            <w:pPr>
              <w:spacing w:after="0" w:line="259" w:lineRule="auto"/>
              <w:jc w:val="both"/>
              <w:rPr>
                <w:rFonts w:ascii="Calibri" w:eastAsia="Calibri" w:hAnsi="Calibri" w:cs="Vrinda"/>
                <w:sz w:val="20"/>
                <w:szCs w:val="20"/>
              </w:rPr>
            </w:pPr>
            <w:r>
              <w:rPr>
                <w:rFonts w:ascii="Calibri" w:eastAsia="Calibri" w:hAnsi="Calibri" w:cs="Vrinda"/>
                <w:sz w:val="20"/>
                <w:szCs w:val="20"/>
              </w:rPr>
              <w:t xml:space="preserve">Complete data triangulation, cleaning, coding and analysis  </w:t>
            </w:r>
          </w:p>
        </w:tc>
      </w:tr>
      <w:tr w:rsidR="004A799A" w:rsidRPr="002D13BB" w14:paraId="38D35AEF" w14:textId="77777777" w:rsidTr="004A799A">
        <w:trPr>
          <w:trHeight w:val="245"/>
        </w:trPr>
        <w:tc>
          <w:tcPr>
            <w:tcW w:w="1241" w:type="dxa"/>
            <w:shd w:val="clear" w:color="auto" w:fill="2F5496" w:themeFill="accent1" w:themeFillShade="BF"/>
          </w:tcPr>
          <w:p w14:paraId="7344BB93" w14:textId="515F7935" w:rsidR="004A799A" w:rsidRDefault="006849CC" w:rsidP="003D76FC">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9</w:t>
            </w:r>
          </w:p>
        </w:tc>
        <w:tc>
          <w:tcPr>
            <w:tcW w:w="8304" w:type="dxa"/>
            <w:shd w:val="clear" w:color="auto" w:fill="D9E2F3" w:themeFill="accent1" w:themeFillTint="33"/>
          </w:tcPr>
          <w:p w14:paraId="2EDCE107" w14:textId="5A5CAE83" w:rsidR="004A799A" w:rsidRPr="00DF7F22" w:rsidRDefault="004A799A" w:rsidP="003D76FC">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Prepare a dashboard for Sarathi where </w:t>
            </w:r>
            <w:r w:rsidR="006849CC">
              <w:rPr>
                <w:rFonts w:ascii="Calibri" w:eastAsia="Calibri" w:hAnsi="Calibri" w:cs="Calibri"/>
                <w:sz w:val="20"/>
                <w:szCs w:val="20"/>
              </w:rPr>
              <w:t>the project team</w:t>
            </w:r>
            <w:r>
              <w:rPr>
                <w:rFonts w:ascii="Calibri" w:eastAsia="Calibri" w:hAnsi="Calibri" w:cs="Calibri"/>
                <w:sz w:val="20"/>
                <w:szCs w:val="20"/>
              </w:rPr>
              <w:t xml:space="preserve"> can efficiently summarize and view key project outcome indicators </w:t>
            </w:r>
          </w:p>
        </w:tc>
      </w:tr>
      <w:tr w:rsidR="004A799A" w:rsidRPr="002D13BB" w14:paraId="3B5A23CF" w14:textId="77777777" w:rsidTr="00810375">
        <w:trPr>
          <w:trHeight w:val="209"/>
        </w:trPr>
        <w:tc>
          <w:tcPr>
            <w:tcW w:w="1241" w:type="dxa"/>
            <w:shd w:val="clear" w:color="auto" w:fill="2F5496" w:themeFill="accent1" w:themeFillShade="BF"/>
          </w:tcPr>
          <w:p w14:paraId="1F545420" w14:textId="32276692" w:rsidR="004A799A" w:rsidRPr="00DF7F22" w:rsidRDefault="006849CC" w:rsidP="003D76FC">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10</w:t>
            </w:r>
          </w:p>
        </w:tc>
        <w:tc>
          <w:tcPr>
            <w:tcW w:w="8304" w:type="dxa"/>
            <w:shd w:val="clear" w:color="auto" w:fill="9CC2E5" w:themeFill="accent5" w:themeFillTint="99"/>
          </w:tcPr>
          <w:p w14:paraId="012C062D" w14:textId="7BE1DE0C" w:rsidR="004A799A" w:rsidRPr="002D13BB" w:rsidRDefault="004A799A" w:rsidP="003D76FC">
            <w:pPr>
              <w:spacing w:after="0" w:line="259" w:lineRule="auto"/>
              <w:jc w:val="both"/>
              <w:rPr>
                <w:rFonts w:ascii="Calibri" w:eastAsia="Calibri" w:hAnsi="Calibri" w:cs="Vrinda"/>
                <w:sz w:val="20"/>
                <w:szCs w:val="20"/>
              </w:rPr>
            </w:pPr>
            <w:r>
              <w:rPr>
                <w:rFonts w:ascii="Calibri" w:eastAsia="Calibri" w:hAnsi="Calibri" w:cs="Vrinda"/>
                <w:sz w:val="20"/>
                <w:szCs w:val="20"/>
              </w:rPr>
              <w:t>Submit draft report and present findings to Sarathi</w:t>
            </w:r>
          </w:p>
        </w:tc>
      </w:tr>
      <w:tr w:rsidR="004A799A" w:rsidRPr="002D13BB" w14:paraId="07DE8831" w14:textId="77777777" w:rsidTr="004A799A">
        <w:trPr>
          <w:trHeight w:val="209"/>
        </w:trPr>
        <w:tc>
          <w:tcPr>
            <w:tcW w:w="1241" w:type="dxa"/>
            <w:shd w:val="clear" w:color="auto" w:fill="2F5496" w:themeFill="accent1" w:themeFillShade="BF"/>
          </w:tcPr>
          <w:p w14:paraId="0C1C7EED" w14:textId="2B3B843D" w:rsidR="004A799A" w:rsidRPr="00DF7F22" w:rsidRDefault="006849CC" w:rsidP="003D76FC">
            <w:pPr>
              <w:spacing w:after="0" w:line="259" w:lineRule="auto"/>
              <w:jc w:val="both"/>
              <w:rPr>
                <w:rFonts w:ascii="Calibri" w:eastAsia="Calibri" w:hAnsi="Calibri" w:cs="Calibri"/>
                <w:color w:val="FFFFFF" w:themeColor="background1"/>
                <w:sz w:val="20"/>
                <w:szCs w:val="20"/>
              </w:rPr>
            </w:pPr>
            <w:r>
              <w:rPr>
                <w:rFonts w:ascii="Calibri" w:eastAsia="Calibri" w:hAnsi="Calibri" w:cs="Calibri"/>
                <w:color w:val="FFFFFF" w:themeColor="background1"/>
                <w:sz w:val="20"/>
                <w:szCs w:val="20"/>
              </w:rPr>
              <w:t>11</w:t>
            </w:r>
          </w:p>
        </w:tc>
        <w:tc>
          <w:tcPr>
            <w:tcW w:w="8304" w:type="dxa"/>
            <w:shd w:val="clear" w:color="auto" w:fill="D9E2F3" w:themeFill="accent1" w:themeFillTint="33"/>
          </w:tcPr>
          <w:p w14:paraId="3C3E073D" w14:textId="77777777" w:rsidR="004A799A" w:rsidRDefault="004A799A" w:rsidP="003D76FC">
            <w:pPr>
              <w:spacing w:after="0" w:line="259" w:lineRule="auto"/>
              <w:jc w:val="both"/>
              <w:rPr>
                <w:rFonts w:ascii="Calibri" w:eastAsia="Calibri" w:hAnsi="Calibri" w:cs="Calibri"/>
                <w:sz w:val="20"/>
                <w:szCs w:val="20"/>
              </w:rPr>
            </w:pPr>
            <w:r>
              <w:rPr>
                <w:rFonts w:ascii="Calibri" w:eastAsia="Calibri" w:hAnsi="Calibri" w:cs="Calibri"/>
                <w:sz w:val="20"/>
                <w:szCs w:val="20"/>
              </w:rPr>
              <w:t xml:space="preserve">Incorporate feedback and submit the final report </w:t>
            </w:r>
          </w:p>
        </w:tc>
      </w:tr>
    </w:tbl>
    <w:p w14:paraId="7F1B71A0" w14:textId="77777777" w:rsidR="00987A0D" w:rsidRDefault="00987A0D" w:rsidP="003D76FC">
      <w:pPr>
        <w:pStyle w:val="Default"/>
        <w:spacing w:after="200" w:line="259" w:lineRule="auto"/>
        <w:jc w:val="both"/>
        <w:rPr>
          <w:rFonts w:asciiTheme="minorHAnsi" w:hAnsiTheme="minorHAnsi" w:cstheme="minorHAnsi"/>
          <w:sz w:val="22"/>
        </w:rPr>
      </w:pPr>
    </w:p>
    <w:p w14:paraId="5AE2FF4F" w14:textId="77777777" w:rsidR="00987A0D" w:rsidRPr="00695829" w:rsidRDefault="00987A0D" w:rsidP="003D76FC">
      <w:pPr>
        <w:pStyle w:val="Heading2"/>
        <w:tabs>
          <w:tab w:val="left" w:pos="0"/>
        </w:tabs>
        <w:spacing w:before="0" w:after="200" w:line="259" w:lineRule="auto"/>
        <w:jc w:val="both"/>
        <w:rPr>
          <w:rFonts w:asciiTheme="minorHAnsi" w:hAnsiTheme="minorHAnsi" w:cstheme="minorHAnsi"/>
          <w:b/>
          <w:color w:val="auto"/>
          <w:sz w:val="22"/>
          <w:szCs w:val="22"/>
          <w:lang w:val="en-GB"/>
        </w:rPr>
      </w:pPr>
      <w:r w:rsidRPr="00A24F06">
        <w:rPr>
          <w:rFonts w:asciiTheme="minorHAnsi" w:hAnsiTheme="minorHAnsi" w:cstheme="minorHAnsi"/>
          <w:b/>
          <w:color w:val="auto"/>
          <w:sz w:val="22"/>
          <w:szCs w:val="22"/>
          <w:lang w:val="en-GB"/>
        </w:rPr>
        <w:t xml:space="preserve">The role of Swisscontact will be to: </w:t>
      </w:r>
      <w:r w:rsidRPr="00695829">
        <w:rPr>
          <w:rFonts w:asciiTheme="minorHAnsi" w:hAnsiTheme="minorHAnsi" w:cstheme="minorHAnsi"/>
          <w:b/>
          <w:color w:val="auto"/>
          <w:sz w:val="22"/>
          <w:szCs w:val="22"/>
          <w:lang w:val="en-GB"/>
        </w:rPr>
        <w:t xml:space="preserve"> </w:t>
      </w:r>
    </w:p>
    <w:p w14:paraId="51696106" w14:textId="77777777" w:rsidR="00987A0D" w:rsidRPr="008E1C9F" w:rsidRDefault="00987A0D" w:rsidP="003D76FC">
      <w:pPr>
        <w:pStyle w:val="ListParagraph"/>
        <w:numPr>
          <w:ilvl w:val="0"/>
          <w:numId w:val="4"/>
        </w:numPr>
        <w:spacing w:line="259" w:lineRule="auto"/>
        <w:jc w:val="both"/>
      </w:pPr>
      <w:r w:rsidRPr="008E1C9F">
        <w:rPr>
          <w:rFonts w:cstheme="minorHAnsi"/>
        </w:rPr>
        <w:t>Provide approval</w:t>
      </w:r>
      <w:r w:rsidRPr="00C61E77">
        <w:rPr>
          <w:rFonts w:cstheme="minorHAnsi"/>
        </w:rPr>
        <w:t xml:space="preserve"> </w:t>
      </w:r>
      <w:r w:rsidRPr="00023291">
        <w:rPr>
          <w:rFonts w:cstheme="minorHAnsi"/>
        </w:rPr>
        <w:t xml:space="preserve">of the </w:t>
      </w:r>
      <w:r w:rsidRPr="00C14C04">
        <w:t>methodology</w:t>
      </w:r>
      <w:r>
        <w:t xml:space="preserve"> and work plan;</w:t>
      </w:r>
    </w:p>
    <w:p w14:paraId="52BC0F86" w14:textId="77777777" w:rsidR="00987A0D" w:rsidRPr="008D4991" w:rsidRDefault="00987A0D" w:rsidP="003D76FC">
      <w:pPr>
        <w:pStyle w:val="ListParagraph"/>
        <w:numPr>
          <w:ilvl w:val="0"/>
          <w:numId w:val="4"/>
        </w:numPr>
        <w:spacing w:line="259" w:lineRule="auto"/>
        <w:jc w:val="both"/>
      </w:pPr>
      <w:r w:rsidRPr="00C14C04">
        <w:rPr>
          <w:rFonts w:cstheme="minorHAnsi"/>
        </w:rPr>
        <w:t>Review and approve the questionnaire;</w:t>
      </w:r>
    </w:p>
    <w:p w14:paraId="13AC7A8C" w14:textId="77777777" w:rsidR="00987A0D" w:rsidRPr="00023291" w:rsidRDefault="00987A0D" w:rsidP="003D76FC">
      <w:pPr>
        <w:pStyle w:val="ListParagraph"/>
        <w:numPr>
          <w:ilvl w:val="0"/>
          <w:numId w:val="4"/>
        </w:numPr>
        <w:spacing w:line="259" w:lineRule="auto"/>
        <w:jc w:val="both"/>
        <w:rPr>
          <w:rFonts w:cstheme="minorHAnsi"/>
        </w:rPr>
      </w:pPr>
      <w:r w:rsidRPr="008E1C9F">
        <w:rPr>
          <w:rFonts w:cstheme="minorHAnsi"/>
        </w:rPr>
        <w:t xml:space="preserve">Supervise data collection, </w:t>
      </w:r>
      <w:r w:rsidRPr="00C61E77">
        <w:rPr>
          <w:rFonts w:cstheme="minorHAnsi"/>
        </w:rPr>
        <w:t>cleaning</w:t>
      </w:r>
      <w:r w:rsidRPr="00023291">
        <w:rPr>
          <w:rFonts w:cstheme="minorHAnsi"/>
        </w:rPr>
        <w:t xml:space="preserve"> and analysis through active participation; </w:t>
      </w:r>
    </w:p>
    <w:p w14:paraId="5AE611CB" w14:textId="77777777" w:rsidR="00987A0D" w:rsidRDefault="00987A0D" w:rsidP="003D76FC">
      <w:pPr>
        <w:pStyle w:val="ListParagraph"/>
        <w:numPr>
          <w:ilvl w:val="0"/>
          <w:numId w:val="4"/>
        </w:numPr>
        <w:spacing w:line="259" w:lineRule="auto"/>
        <w:jc w:val="both"/>
      </w:pPr>
      <w:r w:rsidRPr="0064081E">
        <w:t>Provide feedback on the draft report</w:t>
      </w:r>
      <w:r>
        <w:t>;</w:t>
      </w:r>
    </w:p>
    <w:p w14:paraId="474576C8" w14:textId="64CC16C7" w:rsidR="00987A0D" w:rsidRDefault="00987A0D" w:rsidP="003D76FC">
      <w:pPr>
        <w:pStyle w:val="ListParagraph"/>
        <w:numPr>
          <w:ilvl w:val="0"/>
          <w:numId w:val="4"/>
        </w:numPr>
        <w:spacing w:line="259" w:lineRule="auto"/>
        <w:jc w:val="both"/>
      </w:pPr>
      <w:r w:rsidRPr="00DF7F22">
        <w:rPr>
          <w:rFonts w:ascii="Calibri" w:hAnsi="Calibri" w:cs="Calibri"/>
          <w:color w:val="000000"/>
        </w:rPr>
        <w:t xml:space="preserve">Approve personnel proposed for conducting surveys, </w:t>
      </w:r>
      <w:r>
        <w:rPr>
          <w:rFonts w:ascii="Calibri" w:hAnsi="Calibri" w:cs="Calibri"/>
          <w:color w:val="000000"/>
        </w:rPr>
        <w:t>Qualitative Study</w:t>
      </w:r>
      <w:r w:rsidRPr="00DF7F22">
        <w:rPr>
          <w:rFonts w:ascii="Calibri" w:hAnsi="Calibri" w:cs="Calibri"/>
          <w:color w:val="000000"/>
        </w:rPr>
        <w:t xml:space="preserve"> and </w:t>
      </w:r>
      <w:r>
        <w:rPr>
          <w:rFonts w:ascii="Calibri" w:hAnsi="Calibri" w:cs="Calibri"/>
          <w:color w:val="000000"/>
        </w:rPr>
        <w:t>KII</w:t>
      </w:r>
      <w:r w:rsidRPr="00DF7F22">
        <w:rPr>
          <w:rFonts w:ascii="Calibri" w:hAnsi="Calibri" w:cs="Calibri"/>
          <w:color w:val="000000"/>
        </w:rPr>
        <w:t>s;</w:t>
      </w:r>
    </w:p>
    <w:p w14:paraId="4EEAAEEC" w14:textId="77777777" w:rsidR="00987A0D" w:rsidRPr="008D4991" w:rsidRDefault="00987A0D" w:rsidP="003D76FC">
      <w:pPr>
        <w:pStyle w:val="ListParagraph"/>
        <w:numPr>
          <w:ilvl w:val="0"/>
          <w:numId w:val="4"/>
        </w:numPr>
        <w:spacing w:line="259" w:lineRule="auto"/>
        <w:jc w:val="both"/>
      </w:pPr>
      <w:r w:rsidRPr="00DF7F22">
        <w:rPr>
          <w:rFonts w:cs="Calibri"/>
          <w:color w:val="000000"/>
        </w:rPr>
        <w:t>Cover all associated costs for this assignment upon submission of appropriate supporting documents, bills and vouchers;</w:t>
      </w:r>
    </w:p>
    <w:p w14:paraId="1C456C87" w14:textId="77777777" w:rsidR="00987A0D" w:rsidRDefault="00987A0D" w:rsidP="003D76FC">
      <w:pPr>
        <w:pStyle w:val="ListParagraph"/>
        <w:numPr>
          <w:ilvl w:val="0"/>
          <w:numId w:val="4"/>
        </w:numPr>
        <w:spacing w:line="259" w:lineRule="auto"/>
        <w:jc w:val="both"/>
      </w:pPr>
      <w:r w:rsidRPr="00DF7F22">
        <w:rPr>
          <w:rFonts w:cs="Calibri"/>
          <w:color w:val="000000"/>
        </w:rPr>
        <w:t>Provide approval for the final report</w:t>
      </w:r>
      <w:r>
        <w:rPr>
          <w:rFonts w:cs="Calibri"/>
          <w:color w:val="000000"/>
        </w:rPr>
        <w:t>;</w:t>
      </w:r>
      <w:r w:rsidRPr="00DF7F22">
        <w:rPr>
          <w:rFonts w:cs="Calibri"/>
          <w:color w:val="000000"/>
        </w:rPr>
        <w:t xml:space="preserve"> </w:t>
      </w:r>
    </w:p>
    <w:p w14:paraId="2FEF7E9D" w14:textId="7AF5FD62" w:rsidR="00413C00" w:rsidRPr="0082301B" w:rsidRDefault="00987A0D" w:rsidP="003D76FC">
      <w:pPr>
        <w:pStyle w:val="ListParagraph"/>
        <w:numPr>
          <w:ilvl w:val="0"/>
          <w:numId w:val="4"/>
        </w:numPr>
        <w:spacing w:line="259" w:lineRule="auto"/>
        <w:contextualSpacing w:val="0"/>
        <w:jc w:val="both"/>
        <w:rPr>
          <w:rFonts w:cs="Calibri"/>
        </w:rPr>
      </w:pPr>
      <w:r w:rsidRPr="00DF7F22">
        <w:rPr>
          <w:rFonts w:cs="Calibri"/>
          <w:color w:val="000000"/>
        </w:rPr>
        <w:t xml:space="preserve">Learn to update and operate the </w:t>
      </w:r>
      <w:r>
        <w:rPr>
          <w:rFonts w:cs="Calibri"/>
          <w:color w:val="000000"/>
        </w:rPr>
        <w:t>dash</w:t>
      </w:r>
      <w:r w:rsidRPr="00DF7F22">
        <w:rPr>
          <w:rFonts w:cs="Calibri"/>
          <w:color w:val="000000"/>
        </w:rPr>
        <w:t>board prepared</w:t>
      </w:r>
    </w:p>
    <w:p w14:paraId="46EE0DAC" w14:textId="77777777" w:rsidR="000A20AC" w:rsidRDefault="000A20AC" w:rsidP="003D76FC">
      <w:pPr>
        <w:jc w:val="both"/>
        <w:rPr>
          <w:b/>
          <w:bCs/>
        </w:rPr>
      </w:pPr>
    </w:p>
    <w:p w14:paraId="55E16827" w14:textId="77777777" w:rsidR="000A20AC" w:rsidRDefault="000A20AC" w:rsidP="003D76FC">
      <w:pPr>
        <w:jc w:val="both"/>
        <w:rPr>
          <w:b/>
          <w:bCs/>
        </w:rPr>
      </w:pPr>
    </w:p>
    <w:p w14:paraId="2939D70D" w14:textId="0BD0F59F" w:rsidR="000A20AC" w:rsidRDefault="000A20AC" w:rsidP="003D76FC">
      <w:pPr>
        <w:jc w:val="both"/>
        <w:rPr>
          <w:b/>
          <w:bCs/>
        </w:rPr>
      </w:pPr>
    </w:p>
    <w:p w14:paraId="1EC09E56" w14:textId="77777777" w:rsidR="0069539A" w:rsidRDefault="0069539A" w:rsidP="003D76FC">
      <w:pPr>
        <w:jc w:val="both"/>
        <w:rPr>
          <w:b/>
          <w:bCs/>
        </w:rPr>
      </w:pPr>
    </w:p>
    <w:p w14:paraId="32D1407A" w14:textId="77777777" w:rsidR="004A799A" w:rsidRDefault="00413C00" w:rsidP="003D76FC">
      <w:pPr>
        <w:jc w:val="both"/>
        <w:rPr>
          <w:b/>
          <w:bCs/>
        </w:rPr>
      </w:pPr>
      <w:r w:rsidRPr="0082301B">
        <w:rPr>
          <w:b/>
          <w:bCs/>
        </w:rPr>
        <w:lastRenderedPageBreak/>
        <w:t>Project indicators</w:t>
      </w:r>
      <w:r w:rsidR="004A799A">
        <w:rPr>
          <w:b/>
          <w:bCs/>
        </w:rPr>
        <w:t xml:space="preserve">: </w:t>
      </w:r>
    </w:p>
    <w:p w14:paraId="11D91E1C" w14:textId="5ED20AD1" w:rsidR="00413C00" w:rsidRDefault="00946AEB" w:rsidP="003D76FC">
      <w:pPr>
        <w:jc w:val="both"/>
        <w:rPr>
          <w:b/>
          <w:bCs/>
        </w:rPr>
      </w:pPr>
      <w:r>
        <w:t>The impact assessment must find the outcomes of the following indicators in addition to other relevant indicators:</w:t>
      </w:r>
      <w:r w:rsidR="004A799A">
        <w:rPr>
          <w:b/>
          <w:bCs/>
        </w:rPr>
        <w:t xml:space="preserve"> </w:t>
      </w:r>
    </w:p>
    <w:p w14:paraId="2578904A" w14:textId="1C49983F" w:rsidR="004A799A" w:rsidRPr="004A799A" w:rsidRDefault="004A799A" w:rsidP="003D76FC">
      <w:pPr>
        <w:pStyle w:val="Default"/>
        <w:spacing w:after="200" w:line="259" w:lineRule="auto"/>
        <w:jc w:val="both"/>
        <w:rPr>
          <w:rFonts w:asciiTheme="minorHAnsi" w:hAnsiTheme="minorHAnsi" w:cstheme="minorHAnsi"/>
          <w:sz w:val="20"/>
          <w:szCs w:val="20"/>
        </w:rPr>
      </w:pPr>
      <w:r w:rsidRPr="00DF7F22">
        <w:rPr>
          <w:rFonts w:asciiTheme="minorHAnsi" w:hAnsiTheme="minorHAnsi" w:cstheme="minorHAnsi"/>
          <w:color w:val="1F4E79" w:themeColor="accent5" w:themeShade="80"/>
          <w:sz w:val="20"/>
          <w:szCs w:val="20"/>
          <w:lang w:val="en-US"/>
        </w:rPr>
        <w:t xml:space="preserve">Table </w:t>
      </w:r>
      <w:r>
        <w:rPr>
          <w:rFonts w:asciiTheme="minorHAnsi" w:hAnsiTheme="minorHAnsi" w:cstheme="minorHAnsi"/>
          <w:color w:val="1F4E79" w:themeColor="accent5" w:themeShade="80"/>
          <w:sz w:val="20"/>
          <w:szCs w:val="20"/>
          <w:lang w:val="en-US"/>
        </w:rPr>
        <w:t>3: Sarathi Project Indicators</w:t>
      </w:r>
    </w:p>
    <w:tbl>
      <w:tblPr>
        <w:tblStyle w:val="TableGrid"/>
        <w:tblW w:w="9625" w:type="dxa"/>
        <w:tblLook w:val="04A0" w:firstRow="1" w:lastRow="0" w:firstColumn="1" w:lastColumn="0" w:noHBand="0" w:noVBand="1"/>
      </w:tblPr>
      <w:tblGrid>
        <w:gridCol w:w="456"/>
        <w:gridCol w:w="9169"/>
      </w:tblGrid>
      <w:tr w:rsidR="0069539A" w14:paraId="55BEBD66" w14:textId="77777777" w:rsidTr="00830C78">
        <w:trPr>
          <w:trHeight w:val="481"/>
        </w:trPr>
        <w:tc>
          <w:tcPr>
            <w:tcW w:w="421" w:type="dxa"/>
            <w:vMerge w:val="restart"/>
            <w:shd w:val="clear" w:color="auto" w:fill="1F3864" w:themeFill="accent1" w:themeFillShade="80"/>
          </w:tcPr>
          <w:p w14:paraId="5164E02D" w14:textId="77777777" w:rsidR="0069539A" w:rsidRPr="00DD37A7" w:rsidRDefault="0069539A" w:rsidP="003D76FC">
            <w:pPr>
              <w:jc w:val="both"/>
              <w:rPr>
                <w:b/>
                <w:bCs/>
                <w:sz w:val="20"/>
                <w:szCs w:val="20"/>
              </w:rPr>
            </w:pPr>
            <w:r w:rsidRPr="00DD37A7">
              <w:rPr>
                <w:b/>
                <w:bCs/>
                <w:sz w:val="20"/>
                <w:szCs w:val="20"/>
              </w:rPr>
              <w:t>SL No</w:t>
            </w:r>
          </w:p>
        </w:tc>
        <w:tc>
          <w:tcPr>
            <w:tcW w:w="9204" w:type="dxa"/>
            <w:vMerge w:val="restart"/>
            <w:shd w:val="clear" w:color="auto" w:fill="1F3864" w:themeFill="accent1" w:themeFillShade="80"/>
          </w:tcPr>
          <w:p w14:paraId="645CDC52" w14:textId="77777777" w:rsidR="0069539A" w:rsidRDefault="0069539A" w:rsidP="003D76FC">
            <w:pPr>
              <w:jc w:val="both"/>
              <w:rPr>
                <w:b/>
                <w:bCs/>
                <w:sz w:val="20"/>
                <w:szCs w:val="20"/>
              </w:rPr>
            </w:pPr>
          </w:p>
          <w:p w14:paraId="25F90D8B" w14:textId="7749C6CF" w:rsidR="0069539A" w:rsidRPr="00DD37A7" w:rsidRDefault="0069539A" w:rsidP="003D76FC">
            <w:pPr>
              <w:jc w:val="both"/>
              <w:rPr>
                <w:b/>
                <w:bCs/>
                <w:sz w:val="20"/>
                <w:szCs w:val="20"/>
              </w:rPr>
            </w:pPr>
            <w:r w:rsidRPr="00DD37A7">
              <w:rPr>
                <w:b/>
                <w:bCs/>
                <w:sz w:val="20"/>
                <w:szCs w:val="20"/>
              </w:rPr>
              <w:t>Indicators</w:t>
            </w:r>
          </w:p>
        </w:tc>
      </w:tr>
      <w:tr w:rsidR="0069539A" w14:paraId="2466DC6E" w14:textId="77777777" w:rsidTr="00830C78">
        <w:trPr>
          <w:trHeight w:val="481"/>
        </w:trPr>
        <w:tc>
          <w:tcPr>
            <w:tcW w:w="421" w:type="dxa"/>
            <w:vMerge/>
            <w:shd w:val="clear" w:color="auto" w:fill="1F3864" w:themeFill="accent1" w:themeFillShade="80"/>
          </w:tcPr>
          <w:p w14:paraId="1174DE54" w14:textId="77777777" w:rsidR="0069539A" w:rsidRPr="00DD37A7" w:rsidRDefault="0069539A" w:rsidP="003D76FC">
            <w:pPr>
              <w:jc w:val="both"/>
              <w:rPr>
                <w:b/>
                <w:bCs/>
                <w:sz w:val="20"/>
                <w:szCs w:val="20"/>
              </w:rPr>
            </w:pPr>
          </w:p>
        </w:tc>
        <w:tc>
          <w:tcPr>
            <w:tcW w:w="9204" w:type="dxa"/>
            <w:vMerge/>
            <w:shd w:val="clear" w:color="auto" w:fill="1F3864" w:themeFill="accent1" w:themeFillShade="80"/>
          </w:tcPr>
          <w:p w14:paraId="4B82020C" w14:textId="77777777" w:rsidR="0069539A" w:rsidRPr="00DD37A7" w:rsidRDefault="0069539A" w:rsidP="003D76FC">
            <w:pPr>
              <w:jc w:val="both"/>
              <w:rPr>
                <w:b/>
                <w:bCs/>
                <w:sz w:val="20"/>
                <w:szCs w:val="20"/>
              </w:rPr>
            </w:pPr>
          </w:p>
        </w:tc>
      </w:tr>
      <w:tr w:rsidR="0069539A" w14:paraId="2A81FEA5" w14:textId="77777777" w:rsidTr="00830C78">
        <w:trPr>
          <w:trHeight w:val="483"/>
        </w:trPr>
        <w:tc>
          <w:tcPr>
            <w:tcW w:w="421" w:type="dxa"/>
            <w:shd w:val="clear" w:color="auto" w:fill="2F5496" w:themeFill="accent1" w:themeFillShade="BF"/>
          </w:tcPr>
          <w:p w14:paraId="19232EFF" w14:textId="77777777" w:rsidR="0069539A" w:rsidRPr="000A20AC" w:rsidRDefault="0069539A" w:rsidP="003D76FC">
            <w:pPr>
              <w:jc w:val="both"/>
              <w:rPr>
                <w:color w:val="FFFFFF" w:themeColor="background1"/>
                <w:sz w:val="20"/>
                <w:szCs w:val="20"/>
              </w:rPr>
            </w:pPr>
            <w:r w:rsidRPr="000A20AC">
              <w:rPr>
                <w:color w:val="FFFFFF" w:themeColor="background1"/>
                <w:sz w:val="20"/>
                <w:szCs w:val="20"/>
              </w:rPr>
              <w:t>1</w:t>
            </w:r>
          </w:p>
        </w:tc>
        <w:tc>
          <w:tcPr>
            <w:tcW w:w="9204" w:type="dxa"/>
            <w:shd w:val="clear" w:color="auto" w:fill="D9E2F3" w:themeFill="accent1" w:themeFillTint="33"/>
          </w:tcPr>
          <w:p w14:paraId="75CEA79A" w14:textId="77777777" w:rsidR="0069539A" w:rsidRPr="00DD37A7" w:rsidRDefault="0069539A" w:rsidP="003D76FC">
            <w:pPr>
              <w:jc w:val="both"/>
              <w:rPr>
                <w:sz w:val="20"/>
                <w:szCs w:val="20"/>
              </w:rPr>
            </w:pPr>
            <w:r w:rsidRPr="00DD37A7">
              <w:rPr>
                <w:sz w:val="20"/>
                <w:szCs w:val="20"/>
              </w:rPr>
              <w:t>Number of banks developed and offered appropriate loan products and other bundles for the RMG workers through their ADCs</w:t>
            </w:r>
          </w:p>
        </w:tc>
      </w:tr>
      <w:tr w:rsidR="0069539A" w14:paraId="78C60523" w14:textId="77777777" w:rsidTr="00830C78">
        <w:trPr>
          <w:trHeight w:val="477"/>
        </w:trPr>
        <w:tc>
          <w:tcPr>
            <w:tcW w:w="421" w:type="dxa"/>
            <w:shd w:val="clear" w:color="auto" w:fill="2F5496" w:themeFill="accent1" w:themeFillShade="BF"/>
          </w:tcPr>
          <w:p w14:paraId="5812CD0B" w14:textId="77777777" w:rsidR="0069539A" w:rsidRPr="000A20AC" w:rsidRDefault="0069539A" w:rsidP="003D76FC">
            <w:pPr>
              <w:jc w:val="both"/>
              <w:rPr>
                <w:color w:val="FFFFFF" w:themeColor="background1"/>
                <w:sz w:val="20"/>
                <w:szCs w:val="20"/>
              </w:rPr>
            </w:pPr>
            <w:r w:rsidRPr="000A20AC">
              <w:rPr>
                <w:color w:val="FFFFFF" w:themeColor="background1"/>
                <w:sz w:val="20"/>
                <w:szCs w:val="20"/>
              </w:rPr>
              <w:t>2</w:t>
            </w:r>
          </w:p>
        </w:tc>
        <w:tc>
          <w:tcPr>
            <w:tcW w:w="9204" w:type="dxa"/>
            <w:shd w:val="clear" w:color="auto" w:fill="D9E2F3" w:themeFill="accent1" w:themeFillTint="33"/>
          </w:tcPr>
          <w:p w14:paraId="6450F550" w14:textId="77777777" w:rsidR="0069539A" w:rsidRPr="00DD37A7" w:rsidRDefault="0069539A" w:rsidP="003D76FC">
            <w:pPr>
              <w:jc w:val="both"/>
              <w:rPr>
                <w:sz w:val="20"/>
                <w:szCs w:val="20"/>
              </w:rPr>
            </w:pPr>
            <w:r w:rsidRPr="00DD37A7">
              <w:rPr>
                <w:sz w:val="20"/>
                <w:szCs w:val="20"/>
              </w:rPr>
              <w:t>Number of RMG workers who have improved knowledge on available counselling services</w:t>
            </w:r>
          </w:p>
        </w:tc>
      </w:tr>
      <w:tr w:rsidR="0069539A" w14:paraId="5FC6C558" w14:textId="77777777" w:rsidTr="00830C78">
        <w:trPr>
          <w:trHeight w:val="477"/>
        </w:trPr>
        <w:tc>
          <w:tcPr>
            <w:tcW w:w="421" w:type="dxa"/>
            <w:shd w:val="clear" w:color="auto" w:fill="2F5496" w:themeFill="accent1" w:themeFillShade="BF"/>
          </w:tcPr>
          <w:p w14:paraId="5FC01263" w14:textId="597D2FFF" w:rsidR="0069539A" w:rsidRPr="000A20AC" w:rsidRDefault="0069539A" w:rsidP="003D76FC">
            <w:pPr>
              <w:jc w:val="both"/>
              <w:rPr>
                <w:color w:val="FFFFFF" w:themeColor="background1"/>
                <w:sz w:val="20"/>
                <w:szCs w:val="20"/>
              </w:rPr>
            </w:pPr>
            <w:r w:rsidRPr="000A20AC">
              <w:rPr>
                <w:color w:val="FFFFFF" w:themeColor="background1"/>
                <w:sz w:val="20"/>
                <w:szCs w:val="20"/>
              </w:rPr>
              <w:t>3</w:t>
            </w:r>
          </w:p>
        </w:tc>
        <w:tc>
          <w:tcPr>
            <w:tcW w:w="9204" w:type="dxa"/>
            <w:shd w:val="clear" w:color="auto" w:fill="D9E2F3" w:themeFill="accent1" w:themeFillTint="33"/>
          </w:tcPr>
          <w:p w14:paraId="668E57C6" w14:textId="77777777" w:rsidR="0069539A" w:rsidRPr="00DD37A7" w:rsidRDefault="0069539A" w:rsidP="003D76FC">
            <w:pPr>
              <w:jc w:val="both"/>
              <w:rPr>
                <w:sz w:val="20"/>
                <w:szCs w:val="20"/>
              </w:rPr>
            </w:pPr>
            <w:r w:rsidRPr="00DD37A7">
              <w:rPr>
                <w:sz w:val="20"/>
                <w:szCs w:val="20"/>
              </w:rPr>
              <w:t>Number of RMG workers have improved knowledge on financial planning</w:t>
            </w:r>
          </w:p>
        </w:tc>
      </w:tr>
      <w:tr w:rsidR="0069539A" w14:paraId="0D7249B6" w14:textId="77777777" w:rsidTr="00830C78">
        <w:trPr>
          <w:trHeight w:val="486"/>
        </w:trPr>
        <w:tc>
          <w:tcPr>
            <w:tcW w:w="421" w:type="dxa"/>
            <w:shd w:val="clear" w:color="auto" w:fill="2F5496" w:themeFill="accent1" w:themeFillShade="BF"/>
          </w:tcPr>
          <w:p w14:paraId="678DB52E" w14:textId="32A72D4B" w:rsidR="0069539A" w:rsidRPr="000A20AC" w:rsidRDefault="0069539A" w:rsidP="003D76FC">
            <w:pPr>
              <w:jc w:val="both"/>
              <w:rPr>
                <w:color w:val="FFFFFF" w:themeColor="background1"/>
                <w:sz w:val="20"/>
                <w:szCs w:val="20"/>
              </w:rPr>
            </w:pPr>
            <w:r w:rsidRPr="000A20AC">
              <w:rPr>
                <w:color w:val="FFFFFF" w:themeColor="background1"/>
                <w:sz w:val="20"/>
                <w:szCs w:val="20"/>
              </w:rPr>
              <w:t>4</w:t>
            </w:r>
          </w:p>
        </w:tc>
        <w:tc>
          <w:tcPr>
            <w:tcW w:w="9204" w:type="dxa"/>
            <w:shd w:val="clear" w:color="auto" w:fill="D9E2F3" w:themeFill="accent1" w:themeFillTint="33"/>
          </w:tcPr>
          <w:p w14:paraId="426C9B59" w14:textId="77777777" w:rsidR="0069539A" w:rsidRPr="00DD37A7" w:rsidRDefault="0069539A" w:rsidP="003D76FC">
            <w:pPr>
              <w:tabs>
                <w:tab w:val="left" w:pos="1216"/>
              </w:tabs>
              <w:jc w:val="both"/>
              <w:rPr>
                <w:sz w:val="20"/>
                <w:szCs w:val="20"/>
              </w:rPr>
            </w:pPr>
            <w:r w:rsidRPr="00DD37A7">
              <w:rPr>
                <w:sz w:val="20"/>
                <w:szCs w:val="20"/>
              </w:rPr>
              <w:t>Number of RMG workers who have a formal account for the digitized wage payment</w:t>
            </w:r>
          </w:p>
        </w:tc>
      </w:tr>
      <w:tr w:rsidR="0069539A" w14:paraId="2E5B3617" w14:textId="77777777" w:rsidTr="00830C78">
        <w:trPr>
          <w:trHeight w:val="477"/>
        </w:trPr>
        <w:tc>
          <w:tcPr>
            <w:tcW w:w="421" w:type="dxa"/>
            <w:shd w:val="clear" w:color="auto" w:fill="2F5496" w:themeFill="accent1" w:themeFillShade="BF"/>
          </w:tcPr>
          <w:p w14:paraId="74828CD4" w14:textId="5281600D" w:rsidR="0069539A" w:rsidRPr="000A20AC" w:rsidRDefault="0069539A" w:rsidP="003D76FC">
            <w:pPr>
              <w:jc w:val="both"/>
              <w:rPr>
                <w:color w:val="FFFFFF" w:themeColor="background1"/>
                <w:sz w:val="20"/>
                <w:szCs w:val="20"/>
              </w:rPr>
            </w:pPr>
            <w:r w:rsidRPr="000A20AC">
              <w:rPr>
                <w:color w:val="FFFFFF" w:themeColor="background1"/>
                <w:sz w:val="20"/>
                <w:szCs w:val="20"/>
              </w:rPr>
              <w:t>5</w:t>
            </w:r>
          </w:p>
        </w:tc>
        <w:tc>
          <w:tcPr>
            <w:tcW w:w="9204" w:type="dxa"/>
            <w:shd w:val="clear" w:color="auto" w:fill="D9E2F3" w:themeFill="accent1" w:themeFillTint="33"/>
          </w:tcPr>
          <w:p w14:paraId="4F618651" w14:textId="77777777" w:rsidR="0069539A" w:rsidRPr="00DD37A7" w:rsidRDefault="0069539A" w:rsidP="003D76FC">
            <w:pPr>
              <w:jc w:val="both"/>
              <w:rPr>
                <w:sz w:val="20"/>
                <w:szCs w:val="20"/>
              </w:rPr>
            </w:pPr>
            <w:r w:rsidRPr="00DD37A7">
              <w:rPr>
                <w:sz w:val="20"/>
                <w:szCs w:val="20"/>
              </w:rPr>
              <w:t>Number of RMG workers who have a formal savings/deposit account</w:t>
            </w:r>
          </w:p>
        </w:tc>
      </w:tr>
      <w:tr w:rsidR="0069539A" w14:paraId="36DF13E3" w14:textId="77777777" w:rsidTr="00830C78">
        <w:trPr>
          <w:trHeight w:val="486"/>
        </w:trPr>
        <w:tc>
          <w:tcPr>
            <w:tcW w:w="421" w:type="dxa"/>
            <w:shd w:val="clear" w:color="auto" w:fill="2F5496" w:themeFill="accent1" w:themeFillShade="BF"/>
          </w:tcPr>
          <w:p w14:paraId="7C36D9B5" w14:textId="484EA957" w:rsidR="0069539A" w:rsidRPr="000A20AC" w:rsidRDefault="0069539A" w:rsidP="003D76FC">
            <w:pPr>
              <w:jc w:val="both"/>
              <w:rPr>
                <w:color w:val="FFFFFF" w:themeColor="background1"/>
                <w:sz w:val="20"/>
                <w:szCs w:val="20"/>
              </w:rPr>
            </w:pPr>
            <w:r w:rsidRPr="000A20AC">
              <w:rPr>
                <w:color w:val="FFFFFF" w:themeColor="background1"/>
                <w:sz w:val="20"/>
                <w:szCs w:val="20"/>
              </w:rPr>
              <w:t>6</w:t>
            </w:r>
          </w:p>
        </w:tc>
        <w:tc>
          <w:tcPr>
            <w:tcW w:w="9204" w:type="dxa"/>
            <w:shd w:val="clear" w:color="auto" w:fill="D9E2F3" w:themeFill="accent1" w:themeFillTint="33"/>
          </w:tcPr>
          <w:p w14:paraId="5F4AEE49" w14:textId="77777777" w:rsidR="0069539A" w:rsidRPr="00DD37A7" w:rsidRDefault="0069539A" w:rsidP="003D76FC">
            <w:pPr>
              <w:jc w:val="both"/>
              <w:rPr>
                <w:sz w:val="20"/>
                <w:szCs w:val="20"/>
              </w:rPr>
            </w:pPr>
            <w:r w:rsidRPr="00DD37A7">
              <w:rPr>
                <w:sz w:val="20"/>
                <w:szCs w:val="20"/>
              </w:rPr>
              <w:t>Number of RMG workers who have a formal credit account</w:t>
            </w:r>
          </w:p>
        </w:tc>
      </w:tr>
      <w:tr w:rsidR="0069539A" w14:paraId="38E6DA2D" w14:textId="77777777" w:rsidTr="00830C78">
        <w:trPr>
          <w:trHeight w:val="477"/>
        </w:trPr>
        <w:tc>
          <w:tcPr>
            <w:tcW w:w="421" w:type="dxa"/>
            <w:shd w:val="clear" w:color="auto" w:fill="2F5496" w:themeFill="accent1" w:themeFillShade="BF"/>
          </w:tcPr>
          <w:p w14:paraId="270ABC3D" w14:textId="0CC3478C" w:rsidR="0069539A" w:rsidRPr="000A20AC" w:rsidRDefault="0069539A" w:rsidP="003D76FC">
            <w:pPr>
              <w:jc w:val="both"/>
              <w:rPr>
                <w:color w:val="FFFFFF" w:themeColor="background1"/>
                <w:sz w:val="20"/>
                <w:szCs w:val="20"/>
              </w:rPr>
            </w:pPr>
            <w:r w:rsidRPr="000A20AC">
              <w:rPr>
                <w:color w:val="FFFFFF" w:themeColor="background1"/>
                <w:sz w:val="20"/>
                <w:szCs w:val="20"/>
              </w:rPr>
              <w:t>7</w:t>
            </w:r>
          </w:p>
        </w:tc>
        <w:tc>
          <w:tcPr>
            <w:tcW w:w="9204" w:type="dxa"/>
            <w:shd w:val="clear" w:color="auto" w:fill="D9E2F3" w:themeFill="accent1" w:themeFillTint="33"/>
          </w:tcPr>
          <w:p w14:paraId="61E442A8" w14:textId="77777777" w:rsidR="0069539A" w:rsidRPr="00DD37A7" w:rsidRDefault="0069539A" w:rsidP="003D76FC">
            <w:pPr>
              <w:jc w:val="both"/>
              <w:rPr>
                <w:sz w:val="20"/>
                <w:szCs w:val="20"/>
              </w:rPr>
            </w:pPr>
            <w:r w:rsidRPr="00DD37A7">
              <w:rPr>
                <w:sz w:val="20"/>
                <w:szCs w:val="20"/>
              </w:rPr>
              <w:t>Number of RMG workers with at least one active formal account</w:t>
            </w:r>
          </w:p>
        </w:tc>
      </w:tr>
      <w:tr w:rsidR="0069539A" w14:paraId="3985E456" w14:textId="77777777" w:rsidTr="00830C78">
        <w:trPr>
          <w:trHeight w:val="486"/>
        </w:trPr>
        <w:tc>
          <w:tcPr>
            <w:tcW w:w="421" w:type="dxa"/>
            <w:shd w:val="clear" w:color="auto" w:fill="2F5496" w:themeFill="accent1" w:themeFillShade="BF"/>
          </w:tcPr>
          <w:p w14:paraId="0B4CB31D" w14:textId="3A9C90A3" w:rsidR="0069539A" w:rsidRPr="000A20AC" w:rsidRDefault="0069539A" w:rsidP="003D76FC">
            <w:pPr>
              <w:jc w:val="both"/>
              <w:rPr>
                <w:color w:val="FFFFFF" w:themeColor="background1"/>
                <w:sz w:val="20"/>
                <w:szCs w:val="20"/>
              </w:rPr>
            </w:pPr>
            <w:r w:rsidRPr="000A20AC">
              <w:rPr>
                <w:color w:val="FFFFFF" w:themeColor="background1"/>
                <w:sz w:val="20"/>
                <w:szCs w:val="20"/>
              </w:rPr>
              <w:t>8</w:t>
            </w:r>
          </w:p>
        </w:tc>
        <w:tc>
          <w:tcPr>
            <w:tcW w:w="9204" w:type="dxa"/>
            <w:shd w:val="clear" w:color="auto" w:fill="D9E2F3" w:themeFill="accent1" w:themeFillTint="33"/>
          </w:tcPr>
          <w:p w14:paraId="18800CF2" w14:textId="77777777" w:rsidR="0069539A" w:rsidRPr="00DD37A7" w:rsidRDefault="0069539A" w:rsidP="003D76FC">
            <w:pPr>
              <w:jc w:val="both"/>
              <w:rPr>
                <w:sz w:val="20"/>
                <w:szCs w:val="20"/>
              </w:rPr>
            </w:pPr>
            <w:r w:rsidRPr="00DD37A7">
              <w:rPr>
                <w:sz w:val="20"/>
                <w:szCs w:val="20"/>
              </w:rPr>
              <w:t>Average number of transactions per active account per month</w:t>
            </w:r>
          </w:p>
        </w:tc>
      </w:tr>
      <w:tr w:rsidR="0069539A" w14:paraId="7DD486B8" w14:textId="77777777" w:rsidTr="00830C78">
        <w:trPr>
          <w:trHeight w:val="477"/>
        </w:trPr>
        <w:tc>
          <w:tcPr>
            <w:tcW w:w="421" w:type="dxa"/>
            <w:shd w:val="clear" w:color="auto" w:fill="2F5496" w:themeFill="accent1" w:themeFillShade="BF"/>
          </w:tcPr>
          <w:p w14:paraId="6095773B" w14:textId="2365A1B2" w:rsidR="0069539A" w:rsidRPr="000A20AC" w:rsidRDefault="0069539A" w:rsidP="003D76FC">
            <w:pPr>
              <w:jc w:val="both"/>
              <w:rPr>
                <w:color w:val="FFFFFF" w:themeColor="background1"/>
                <w:sz w:val="20"/>
                <w:szCs w:val="20"/>
              </w:rPr>
            </w:pPr>
            <w:r w:rsidRPr="000A20AC">
              <w:rPr>
                <w:color w:val="FFFFFF" w:themeColor="background1"/>
                <w:sz w:val="20"/>
                <w:szCs w:val="20"/>
              </w:rPr>
              <w:t>9</w:t>
            </w:r>
          </w:p>
        </w:tc>
        <w:tc>
          <w:tcPr>
            <w:tcW w:w="9204" w:type="dxa"/>
            <w:shd w:val="clear" w:color="auto" w:fill="D9E2F3" w:themeFill="accent1" w:themeFillTint="33"/>
          </w:tcPr>
          <w:p w14:paraId="610BF0EB" w14:textId="77777777" w:rsidR="0069539A" w:rsidRPr="00DD37A7" w:rsidRDefault="0069539A" w:rsidP="003D76FC">
            <w:pPr>
              <w:jc w:val="both"/>
              <w:rPr>
                <w:sz w:val="20"/>
                <w:szCs w:val="20"/>
              </w:rPr>
            </w:pPr>
            <w:r w:rsidRPr="00DD37A7">
              <w:rPr>
                <w:sz w:val="20"/>
                <w:szCs w:val="20"/>
              </w:rPr>
              <w:t>Average amount of transactions per active account per month</w:t>
            </w:r>
          </w:p>
        </w:tc>
      </w:tr>
      <w:tr w:rsidR="0069539A" w14:paraId="4DCD33EE" w14:textId="77777777" w:rsidTr="00830C78">
        <w:trPr>
          <w:trHeight w:val="486"/>
        </w:trPr>
        <w:tc>
          <w:tcPr>
            <w:tcW w:w="421" w:type="dxa"/>
            <w:shd w:val="clear" w:color="auto" w:fill="2F5496" w:themeFill="accent1" w:themeFillShade="BF"/>
          </w:tcPr>
          <w:p w14:paraId="5D414E02" w14:textId="459E3957" w:rsidR="0069539A" w:rsidRPr="000A20AC" w:rsidRDefault="0069539A" w:rsidP="003D76FC">
            <w:pPr>
              <w:jc w:val="both"/>
              <w:rPr>
                <w:color w:val="FFFFFF" w:themeColor="background1"/>
                <w:sz w:val="20"/>
                <w:szCs w:val="20"/>
              </w:rPr>
            </w:pPr>
            <w:r w:rsidRPr="000A20AC">
              <w:rPr>
                <w:color w:val="FFFFFF" w:themeColor="background1"/>
                <w:sz w:val="20"/>
                <w:szCs w:val="20"/>
              </w:rPr>
              <w:t>10</w:t>
            </w:r>
          </w:p>
        </w:tc>
        <w:tc>
          <w:tcPr>
            <w:tcW w:w="9204" w:type="dxa"/>
            <w:shd w:val="clear" w:color="auto" w:fill="D9E2F3" w:themeFill="accent1" w:themeFillTint="33"/>
          </w:tcPr>
          <w:p w14:paraId="2D5A84A9" w14:textId="77777777" w:rsidR="0069539A" w:rsidRPr="00DD37A7" w:rsidRDefault="0069539A" w:rsidP="003D76FC">
            <w:pPr>
              <w:jc w:val="both"/>
              <w:rPr>
                <w:sz w:val="20"/>
                <w:szCs w:val="20"/>
              </w:rPr>
            </w:pPr>
            <w:r w:rsidRPr="00DD37A7">
              <w:rPr>
                <w:sz w:val="20"/>
                <w:szCs w:val="20"/>
              </w:rPr>
              <w:t>Average number of active formal accounts per RMG workers</w:t>
            </w:r>
          </w:p>
        </w:tc>
      </w:tr>
      <w:tr w:rsidR="0069539A" w14:paraId="01BF9220" w14:textId="77777777" w:rsidTr="00830C78">
        <w:trPr>
          <w:trHeight w:val="477"/>
        </w:trPr>
        <w:tc>
          <w:tcPr>
            <w:tcW w:w="421" w:type="dxa"/>
            <w:shd w:val="clear" w:color="auto" w:fill="2F5496" w:themeFill="accent1" w:themeFillShade="BF"/>
          </w:tcPr>
          <w:p w14:paraId="544DFD23" w14:textId="4C02B986" w:rsidR="0069539A" w:rsidRPr="000A20AC" w:rsidRDefault="0069539A" w:rsidP="003D76FC">
            <w:pPr>
              <w:jc w:val="both"/>
              <w:rPr>
                <w:color w:val="FFFFFF" w:themeColor="background1"/>
                <w:sz w:val="20"/>
                <w:szCs w:val="20"/>
              </w:rPr>
            </w:pPr>
            <w:r w:rsidRPr="000A20AC">
              <w:rPr>
                <w:color w:val="FFFFFF" w:themeColor="background1"/>
                <w:sz w:val="20"/>
                <w:szCs w:val="20"/>
              </w:rPr>
              <w:t>11</w:t>
            </w:r>
          </w:p>
        </w:tc>
        <w:tc>
          <w:tcPr>
            <w:tcW w:w="9204" w:type="dxa"/>
            <w:shd w:val="clear" w:color="auto" w:fill="D9E2F3" w:themeFill="accent1" w:themeFillTint="33"/>
          </w:tcPr>
          <w:p w14:paraId="4EF51316" w14:textId="77777777" w:rsidR="0069539A" w:rsidRPr="00DD37A7" w:rsidRDefault="0069539A" w:rsidP="003D76FC">
            <w:pPr>
              <w:jc w:val="both"/>
              <w:rPr>
                <w:sz w:val="20"/>
                <w:szCs w:val="20"/>
              </w:rPr>
            </w:pPr>
            <w:r w:rsidRPr="00DD37A7">
              <w:rPr>
                <w:sz w:val="20"/>
                <w:szCs w:val="20"/>
              </w:rPr>
              <w:t>Number of RMG workers apply knowledge received through financial literacy events</w:t>
            </w:r>
          </w:p>
        </w:tc>
      </w:tr>
      <w:tr w:rsidR="0069539A" w14:paraId="5C2D2B3E" w14:textId="77777777" w:rsidTr="00830C78">
        <w:trPr>
          <w:trHeight w:val="486"/>
        </w:trPr>
        <w:tc>
          <w:tcPr>
            <w:tcW w:w="421" w:type="dxa"/>
            <w:shd w:val="clear" w:color="auto" w:fill="2F5496" w:themeFill="accent1" w:themeFillShade="BF"/>
          </w:tcPr>
          <w:p w14:paraId="2D559551" w14:textId="1342BE8C" w:rsidR="0069539A" w:rsidRPr="000A20AC" w:rsidRDefault="0069539A" w:rsidP="003D76FC">
            <w:pPr>
              <w:jc w:val="both"/>
              <w:rPr>
                <w:color w:val="FFFFFF" w:themeColor="background1"/>
                <w:sz w:val="20"/>
                <w:szCs w:val="20"/>
              </w:rPr>
            </w:pPr>
            <w:r w:rsidRPr="000A20AC">
              <w:rPr>
                <w:color w:val="FFFFFF" w:themeColor="background1"/>
                <w:sz w:val="20"/>
                <w:szCs w:val="20"/>
              </w:rPr>
              <w:t>12</w:t>
            </w:r>
          </w:p>
        </w:tc>
        <w:tc>
          <w:tcPr>
            <w:tcW w:w="9204" w:type="dxa"/>
            <w:shd w:val="clear" w:color="auto" w:fill="D9E2F3" w:themeFill="accent1" w:themeFillTint="33"/>
          </w:tcPr>
          <w:p w14:paraId="474E070A" w14:textId="77777777" w:rsidR="0069539A" w:rsidRPr="00DD37A7" w:rsidRDefault="0069539A" w:rsidP="003D76FC">
            <w:pPr>
              <w:jc w:val="both"/>
              <w:rPr>
                <w:sz w:val="20"/>
                <w:szCs w:val="20"/>
              </w:rPr>
            </w:pPr>
            <w:r w:rsidRPr="00DD37A7">
              <w:rPr>
                <w:sz w:val="20"/>
                <w:szCs w:val="20"/>
              </w:rPr>
              <w:t>Number of banks and agents offering financial literacy services</w:t>
            </w:r>
          </w:p>
        </w:tc>
      </w:tr>
      <w:tr w:rsidR="0069539A" w14:paraId="454EB8AF" w14:textId="77777777" w:rsidTr="00830C78">
        <w:trPr>
          <w:trHeight w:val="477"/>
        </w:trPr>
        <w:tc>
          <w:tcPr>
            <w:tcW w:w="421" w:type="dxa"/>
            <w:shd w:val="clear" w:color="auto" w:fill="2F5496" w:themeFill="accent1" w:themeFillShade="BF"/>
          </w:tcPr>
          <w:p w14:paraId="4BE0C95B" w14:textId="21C80B86" w:rsidR="0069539A" w:rsidRPr="000A20AC" w:rsidRDefault="0069539A" w:rsidP="003D76FC">
            <w:pPr>
              <w:jc w:val="both"/>
              <w:rPr>
                <w:color w:val="FFFFFF" w:themeColor="background1"/>
                <w:sz w:val="20"/>
                <w:szCs w:val="20"/>
              </w:rPr>
            </w:pPr>
            <w:r w:rsidRPr="000A20AC">
              <w:rPr>
                <w:color w:val="FFFFFF" w:themeColor="background1"/>
                <w:sz w:val="20"/>
                <w:szCs w:val="20"/>
              </w:rPr>
              <w:t>13</w:t>
            </w:r>
          </w:p>
        </w:tc>
        <w:tc>
          <w:tcPr>
            <w:tcW w:w="9204" w:type="dxa"/>
            <w:shd w:val="clear" w:color="auto" w:fill="D9E2F3" w:themeFill="accent1" w:themeFillTint="33"/>
          </w:tcPr>
          <w:p w14:paraId="09998E1D" w14:textId="77777777" w:rsidR="0069539A" w:rsidRPr="00DD37A7" w:rsidRDefault="0069539A" w:rsidP="003D76FC">
            <w:pPr>
              <w:jc w:val="both"/>
              <w:rPr>
                <w:sz w:val="20"/>
                <w:szCs w:val="20"/>
              </w:rPr>
            </w:pPr>
            <w:r w:rsidRPr="00DD37A7">
              <w:rPr>
                <w:sz w:val="20"/>
                <w:szCs w:val="20"/>
              </w:rPr>
              <w:t>Number of banks and agents conducted product promotion events</w:t>
            </w:r>
          </w:p>
        </w:tc>
      </w:tr>
      <w:tr w:rsidR="0069539A" w14:paraId="497C3983" w14:textId="77777777" w:rsidTr="00830C78">
        <w:trPr>
          <w:trHeight w:val="486"/>
        </w:trPr>
        <w:tc>
          <w:tcPr>
            <w:tcW w:w="421" w:type="dxa"/>
            <w:shd w:val="clear" w:color="auto" w:fill="2F5496" w:themeFill="accent1" w:themeFillShade="BF"/>
          </w:tcPr>
          <w:p w14:paraId="780FF0E1" w14:textId="407BFF74" w:rsidR="0069539A" w:rsidRPr="000A20AC" w:rsidRDefault="0069539A" w:rsidP="003D76FC">
            <w:pPr>
              <w:jc w:val="both"/>
              <w:rPr>
                <w:color w:val="FFFFFF" w:themeColor="background1"/>
                <w:sz w:val="20"/>
                <w:szCs w:val="20"/>
              </w:rPr>
            </w:pPr>
            <w:r w:rsidRPr="000A20AC">
              <w:rPr>
                <w:color w:val="FFFFFF" w:themeColor="background1"/>
                <w:sz w:val="20"/>
                <w:szCs w:val="20"/>
              </w:rPr>
              <w:t>14</w:t>
            </w:r>
          </w:p>
        </w:tc>
        <w:tc>
          <w:tcPr>
            <w:tcW w:w="9204" w:type="dxa"/>
            <w:shd w:val="clear" w:color="auto" w:fill="D9E2F3" w:themeFill="accent1" w:themeFillTint="33"/>
          </w:tcPr>
          <w:p w14:paraId="1698E9BE" w14:textId="77777777" w:rsidR="0069539A" w:rsidRPr="00DD37A7" w:rsidRDefault="0069539A" w:rsidP="003D76FC">
            <w:pPr>
              <w:jc w:val="both"/>
              <w:rPr>
                <w:sz w:val="20"/>
                <w:szCs w:val="20"/>
              </w:rPr>
            </w:pPr>
            <w:r w:rsidRPr="00DD37A7">
              <w:rPr>
                <w:sz w:val="20"/>
                <w:szCs w:val="20"/>
              </w:rPr>
              <w:t xml:space="preserve">Number of RMG workers participated in the financial literacy and product promotion events  </w:t>
            </w:r>
          </w:p>
        </w:tc>
      </w:tr>
      <w:tr w:rsidR="0069539A" w14:paraId="769106A1" w14:textId="77777777" w:rsidTr="00830C78">
        <w:trPr>
          <w:trHeight w:val="477"/>
        </w:trPr>
        <w:tc>
          <w:tcPr>
            <w:tcW w:w="421" w:type="dxa"/>
            <w:shd w:val="clear" w:color="auto" w:fill="2F5496" w:themeFill="accent1" w:themeFillShade="BF"/>
          </w:tcPr>
          <w:p w14:paraId="3DB7409D" w14:textId="6090C937" w:rsidR="0069539A" w:rsidRPr="000A20AC" w:rsidRDefault="0069539A" w:rsidP="003D76FC">
            <w:pPr>
              <w:jc w:val="both"/>
              <w:rPr>
                <w:color w:val="FFFFFF" w:themeColor="background1"/>
                <w:sz w:val="20"/>
                <w:szCs w:val="20"/>
              </w:rPr>
            </w:pPr>
            <w:r w:rsidRPr="000A20AC">
              <w:rPr>
                <w:color w:val="FFFFFF" w:themeColor="background1"/>
                <w:sz w:val="20"/>
                <w:szCs w:val="20"/>
              </w:rPr>
              <w:t>15</w:t>
            </w:r>
          </w:p>
        </w:tc>
        <w:tc>
          <w:tcPr>
            <w:tcW w:w="9204" w:type="dxa"/>
            <w:shd w:val="clear" w:color="auto" w:fill="D9E2F3" w:themeFill="accent1" w:themeFillTint="33"/>
          </w:tcPr>
          <w:p w14:paraId="3A36A1B3" w14:textId="77777777" w:rsidR="0069539A" w:rsidRPr="00DD37A7" w:rsidRDefault="0069539A" w:rsidP="003D76FC">
            <w:pPr>
              <w:jc w:val="both"/>
              <w:rPr>
                <w:sz w:val="20"/>
                <w:szCs w:val="20"/>
              </w:rPr>
            </w:pPr>
            <w:r w:rsidRPr="00DD37A7">
              <w:rPr>
                <w:sz w:val="20"/>
                <w:szCs w:val="20"/>
              </w:rPr>
              <w:t>Number of agencies conducted practical demonstration &amp; awareness campaigns in strategic locations</w:t>
            </w:r>
          </w:p>
        </w:tc>
      </w:tr>
      <w:tr w:rsidR="0069539A" w14:paraId="72959125" w14:textId="77777777" w:rsidTr="00830C78">
        <w:trPr>
          <w:trHeight w:val="486"/>
        </w:trPr>
        <w:tc>
          <w:tcPr>
            <w:tcW w:w="421" w:type="dxa"/>
            <w:shd w:val="clear" w:color="auto" w:fill="2F5496" w:themeFill="accent1" w:themeFillShade="BF"/>
          </w:tcPr>
          <w:p w14:paraId="34B8445A" w14:textId="4229E0C0" w:rsidR="0069539A" w:rsidRPr="000A20AC" w:rsidRDefault="0069539A" w:rsidP="003D76FC">
            <w:pPr>
              <w:jc w:val="both"/>
              <w:rPr>
                <w:color w:val="FFFFFF" w:themeColor="background1"/>
                <w:sz w:val="20"/>
                <w:szCs w:val="20"/>
              </w:rPr>
            </w:pPr>
            <w:r w:rsidRPr="000A20AC">
              <w:rPr>
                <w:color w:val="FFFFFF" w:themeColor="background1"/>
                <w:sz w:val="20"/>
                <w:szCs w:val="20"/>
              </w:rPr>
              <w:t>16</w:t>
            </w:r>
          </w:p>
        </w:tc>
        <w:tc>
          <w:tcPr>
            <w:tcW w:w="9204" w:type="dxa"/>
            <w:shd w:val="clear" w:color="auto" w:fill="D9E2F3" w:themeFill="accent1" w:themeFillTint="33"/>
          </w:tcPr>
          <w:p w14:paraId="1C22FFE6" w14:textId="77777777" w:rsidR="0069539A" w:rsidRPr="00DD37A7" w:rsidRDefault="0069539A" w:rsidP="003D76FC">
            <w:pPr>
              <w:jc w:val="both"/>
              <w:rPr>
                <w:sz w:val="20"/>
                <w:szCs w:val="20"/>
              </w:rPr>
            </w:pPr>
            <w:r w:rsidRPr="00DD37A7">
              <w:rPr>
                <w:sz w:val="20"/>
                <w:szCs w:val="20"/>
              </w:rPr>
              <w:t>Number of practical demonstrations &amp; awareness campaigns conducted</w:t>
            </w:r>
          </w:p>
        </w:tc>
      </w:tr>
      <w:tr w:rsidR="0069539A" w14:paraId="66AA1056" w14:textId="77777777" w:rsidTr="00830C78">
        <w:trPr>
          <w:trHeight w:val="477"/>
        </w:trPr>
        <w:tc>
          <w:tcPr>
            <w:tcW w:w="421" w:type="dxa"/>
            <w:shd w:val="clear" w:color="auto" w:fill="2F5496" w:themeFill="accent1" w:themeFillShade="BF"/>
          </w:tcPr>
          <w:p w14:paraId="6EEE351F" w14:textId="263F3CF5" w:rsidR="0069539A" w:rsidRPr="000A20AC" w:rsidRDefault="0069539A" w:rsidP="003D76FC">
            <w:pPr>
              <w:jc w:val="both"/>
              <w:rPr>
                <w:color w:val="FFFFFF" w:themeColor="background1"/>
                <w:sz w:val="20"/>
                <w:szCs w:val="20"/>
              </w:rPr>
            </w:pPr>
            <w:r w:rsidRPr="000A20AC">
              <w:rPr>
                <w:color w:val="FFFFFF" w:themeColor="background1"/>
                <w:sz w:val="20"/>
                <w:szCs w:val="20"/>
              </w:rPr>
              <w:t>17</w:t>
            </w:r>
          </w:p>
        </w:tc>
        <w:tc>
          <w:tcPr>
            <w:tcW w:w="9204" w:type="dxa"/>
            <w:shd w:val="clear" w:color="auto" w:fill="D9E2F3" w:themeFill="accent1" w:themeFillTint="33"/>
          </w:tcPr>
          <w:p w14:paraId="4378C9B1" w14:textId="77777777" w:rsidR="0069539A" w:rsidRPr="00DD37A7" w:rsidRDefault="0069539A" w:rsidP="003D76FC">
            <w:pPr>
              <w:jc w:val="both"/>
              <w:rPr>
                <w:sz w:val="20"/>
                <w:szCs w:val="20"/>
              </w:rPr>
            </w:pPr>
            <w:r w:rsidRPr="00DD37A7">
              <w:rPr>
                <w:sz w:val="20"/>
                <w:szCs w:val="20"/>
              </w:rPr>
              <w:t>Number of people covered under practical demonstration &amp; awareness campaigns</w:t>
            </w:r>
          </w:p>
        </w:tc>
      </w:tr>
      <w:tr w:rsidR="0069539A" w14:paraId="56831DB2" w14:textId="77777777" w:rsidTr="00830C78">
        <w:trPr>
          <w:trHeight w:val="486"/>
        </w:trPr>
        <w:tc>
          <w:tcPr>
            <w:tcW w:w="421" w:type="dxa"/>
            <w:shd w:val="clear" w:color="auto" w:fill="2F5496" w:themeFill="accent1" w:themeFillShade="BF"/>
          </w:tcPr>
          <w:p w14:paraId="2541AB5B" w14:textId="5013B813" w:rsidR="0069539A" w:rsidRPr="000A20AC" w:rsidRDefault="0069539A" w:rsidP="003D76FC">
            <w:pPr>
              <w:jc w:val="both"/>
              <w:rPr>
                <w:color w:val="FFFFFF" w:themeColor="background1"/>
                <w:sz w:val="20"/>
                <w:szCs w:val="20"/>
              </w:rPr>
            </w:pPr>
            <w:r w:rsidRPr="000A20AC">
              <w:rPr>
                <w:color w:val="FFFFFF" w:themeColor="background1"/>
                <w:sz w:val="20"/>
                <w:szCs w:val="20"/>
              </w:rPr>
              <w:t>18</w:t>
            </w:r>
          </w:p>
        </w:tc>
        <w:tc>
          <w:tcPr>
            <w:tcW w:w="9204" w:type="dxa"/>
            <w:shd w:val="clear" w:color="auto" w:fill="D9E2F3" w:themeFill="accent1" w:themeFillTint="33"/>
          </w:tcPr>
          <w:p w14:paraId="63577C0D" w14:textId="77777777" w:rsidR="0069539A" w:rsidRPr="00DD37A7" w:rsidRDefault="0069539A" w:rsidP="003D76FC">
            <w:pPr>
              <w:jc w:val="both"/>
              <w:rPr>
                <w:sz w:val="20"/>
                <w:szCs w:val="20"/>
              </w:rPr>
            </w:pPr>
            <w:r w:rsidRPr="00DD37A7">
              <w:rPr>
                <w:sz w:val="20"/>
                <w:szCs w:val="20"/>
              </w:rPr>
              <w:t>Number of banks developed staff (HR, Admin) capacity for ADCs</w:t>
            </w:r>
          </w:p>
        </w:tc>
      </w:tr>
      <w:tr w:rsidR="0069539A" w14:paraId="67AFFE21" w14:textId="77777777" w:rsidTr="00830C78">
        <w:trPr>
          <w:trHeight w:val="477"/>
        </w:trPr>
        <w:tc>
          <w:tcPr>
            <w:tcW w:w="421" w:type="dxa"/>
            <w:shd w:val="clear" w:color="auto" w:fill="2F5496" w:themeFill="accent1" w:themeFillShade="BF"/>
          </w:tcPr>
          <w:p w14:paraId="7F172022" w14:textId="7BB62005" w:rsidR="0069539A" w:rsidRPr="000A20AC" w:rsidRDefault="0069539A" w:rsidP="003D76FC">
            <w:pPr>
              <w:jc w:val="both"/>
              <w:rPr>
                <w:color w:val="FFFFFF" w:themeColor="background1"/>
                <w:sz w:val="20"/>
                <w:szCs w:val="20"/>
              </w:rPr>
            </w:pPr>
            <w:r w:rsidRPr="000A20AC">
              <w:rPr>
                <w:color w:val="FFFFFF" w:themeColor="background1"/>
                <w:sz w:val="20"/>
                <w:szCs w:val="20"/>
              </w:rPr>
              <w:t>19</w:t>
            </w:r>
          </w:p>
        </w:tc>
        <w:tc>
          <w:tcPr>
            <w:tcW w:w="9204" w:type="dxa"/>
            <w:shd w:val="clear" w:color="auto" w:fill="D9E2F3" w:themeFill="accent1" w:themeFillTint="33"/>
          </w:tcPr>
          <w:p w14:paraId="3538BCD3" w14:textId="4D51C3E8" w:rsidR="0069539A" w:rsidRPr="00DD37A7" w:rsidRDefault="0069539A" w:rsidP="003D76FC">
            <w:pPr>
              <w:jc w:val="both"/>
              <w:rPr>
                <w:sz w:val="20"/>
                <w:szCs w:val="20"/>
              </w:rPr>
            </w:pPr>
            <w:r w:rsidRPr="00DD37A7">
              <w:rPr>
                <w:sz w:val="20"/>
                <w:szCs w:val="20"/>
              </w:rPr>
              <w:t>Number of bank staffs participating in capacity building</w:t>
            </w:r>
            <w:r w:rsidR="00946AEB">
              <w:rPr>
                <w:sz w:val="20"/>
                <w:szCs w:val="20"/>
              </w:rPr>
              <w:t xml:space="preserve"> programs on RMG factory’s wage digitization</w:t>
            </w:r>
          </w:p>
        </w:tc>
      </w:tr>
      <w:tr w:rsidR="0069539A" w14:paraId="6EE884F5" w14:textId="77777777" w:rsidTr="00830C78">
        <w:trPr>
          <w:trHeight w:val="486"/>
        </w:trPr>
        <w:tc>
          <w:tcPr>
            <w:tcW w:w="421" w:type="dxa"/>
            <w:shd w:val="clear" w:color="auto" w:fill="2F5496" w:themeFill="accent1" w:themeFillShade="BF"/>
          </w:tcPr>
          <w:p w14:paraId="65B536EA" w14:textId="6E121541" w:rsidR="0069539A" w:rsidRPr="000A20AC" w:rsidRDefault="0069539A" w:rsidP="003D76FC">
            <w:pPr>
              <w:jc w:val="both"/>
              <w:rPr>
                <w:color w:val="FFFFFF" w:themeColor="background1"/>
                <w:sz w:val="20"/>
                <w:szCs w:val="20"/>
              </w:rPr>
            </w:pPr>
            <w:r w:rsidRPr="000A20AC">
              <w:rPr>
                <w:color w:val="FFFFFF" w:themeColor="background1"/>
                <w:sz w:val="20"/>
                <w:szCs w:val="20"/>
              </w:rPr>
              <w:t>20</w:t>
            </w:r>
          </w:p>
        </w:tc>
        <w:tc>
          <w:tcPr>
            <w:tcW w:w="9204" w:type="dxa"/>
            <w:shd w:val="clear" w:color="auto" w:fill="D9E2F3" w:themeFill="accent1" w:themeFillTint="33"/>
          </w:tcPr>
          <w:p w14:paraId="7408A3AB" w14:textId="77777777" w:rsidR="0069539A" w:rsidRPr="00DD37A7" w:rsidRDefault="0069539A" w:rsidP="003D76FC">
            <w:pPr>
              <w:jc w:val="both"/>
              <w:rPr>
                <w:sz w:val="20"/>
                <w:szCs w:val="20"/>
              </w:rPr>
            </w:pPr>
            <w:r w:rsidRPr="00DD37A7">
              <w:rPr>
                <w:sz w:val="20"/>
                <w:szCs w:val="20"/>
              </w:rPr>
              <w:t>Number of RMG workers have improved financial management practices/behaviors</w:t>
            </w:r>
          </w:p>
        </w:tc>
      </w:tr>
      <w:tr w:rsidR="0069539A" w14:paraId="3FAFDF0A" w14:textId="77777777" w:rsidTr="00830C78">
        <w:trPr>
          <w:trHeight w:val="768"/>
        </w:trPr>
        <w:tc>
          <w:tcPr>
            <w:tcW w:w="421" w:type="dxa"/>
            <w:shd w:val="clear" w:color="auto" w:fill="2F5496" w:themeFill="accent1" w:themeFillShade="BF"/>
          </w:tcPr>
          <w:p w14:paraId="69419267" w14:textId="4224F5C6" w:rsidR="0069539A" w:rsidRPr="000A20AC" w:rsidRDefault="0069539A" w:rsidP="003D76FC">
            <w:pPr>
              <w:jc w:val="both"/>
              <w:rPr>
                <w:color w:val="FFFFFF" w:themeColor="background1"/>
                <w:sz w:val="20"/>
                <w:szCs w:val="20"/>
              </w:rPr>
            </w:pPr>
            <w:r w:rsidRPr="000A20AC">
              <w:rPr>
                <w:color w:val="FFFFFF" w:themeColor="background1"/>
                <w:sz w:val="20"/>
                <w:szCs w:val="20"/>
              </w:rPr>
              <w:lastRenderedPageBreak/>
              <w:t>21</w:t>
            </w:r>
          </w:p>
        </w:tc>
        <w:tc>
          <w:tcPr>
            <w:tcW w:w="9204" w:type="dxa"/>
            <w:shd w:val="clear" w:color="auto" w:fill="D9E2F3" w:themeFill="accent1" w:themeFillTint="33"/>
          </w:tcPr>
          <w:p w14:paraId="139A6CBC" w14:textId="77777777" w:rsidR="0069539A" w:rsidRPr="00DD37A7" w:rsidRDefault="0069539A" w:rsidP="003D76FC">
            <w:pPr>
              <w:jc w:val="both"/>
              <w:rPr>
                <w:sz w:val="20"/>
                <w:szCs w:val="20"/>
              </w:rPr>
            </w:pPr>
            <w:r w:rsidRPr="00DD37A7">
              <w:rPr>
                <w:sz w:val="20"/>
                <w:szCs w:val="20"/>
              </w:rPr>
              <w:t>Number of RMG workers who benefited from digitized wage payment, savings/deposit schemes, loan schemes and other bundle offers</w:t>
            </w:r>
          </w:p>
        </w:tc>
      </w:tr>
    </w:tbl>
    <w:p w14:paraId="3397DCC8" w14:textId="24A7C396" w:rsidR="00413C00" w:rsidRDefault="00413C00" w:rsidP="003D76FC">
      <w:pPr>
        <w:spacing w:line="259" w:lineRule="auto"/>
        <w:jc w:val="both"/>
        <w:rPr>
          <w:rFonts w:cs="Calibri"/>
        </w:rPr>
      </w:pPr>
    </w:p>
    <w:p w14:paraId="530713BA" w14:textId="77777777" w:rsidR="00413C00" w:rsidRPr="00413C00" w:rsidRDefault="00413C00" w:rsidP="003D76FC">
      <w:pPr>
        <w:spacing w:line="259" w:lineRule="auto"/>
        <w:jc w:val="both"/>
        <w:rPr>
          <w:rFonts w:cs="Calibri"/>
        </w:rPr>
      </w:pPr>
    </w:p>
    <w:p w14:paraId="388155C2" w14:textId="2B901D94" w:rsidR="00987A0D" w:rsidRDefault="00987A0D" w:rsidP="003D76FC">
      <w:pPr>
        <w:pStyle w:val="Heading1"/>
        <w:spacing w:before="0" w:after="200" w:line="259" w:lineRule="auto"/>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 xml:space="preserve">6. </w:t>
      </w:r>
      <w:r w:rsidRPr="00DF7F22">
        <w:rPr>
          <w:rFonts w:asciiTheme="minorHAnsi" w:eastAsiaTheme="minorHAnsi" w:hAnsiTheme="minorHAnsi" w:cs="Calibri-Bold"/>
          <w:bCs/>
          <w:color w:val="00338D"/>
          <w:sz w:val="28"/>
          <w:szCs w:val="28"/>
          <w:lang w:val="en-GB" w:eastAsia="en-GB"/>
        </w:rPr>
        <w:t xml:space="preserve">Schedule of Payment </w:t>
      </w:r>
      <w:r>
        <w:rPr>
          <w:rFonts w:asciiTheme="minorHAnsi" w:eastAsiaTheme="minorHAnsi" w:hAnsiTheme="minorHAnsi" w:cs="Calibri-Bold"/>
          <w:bCs/>
          <w:color w:val="00338D"/>
          <w:sz w:val="28"/>
          <w:szCs w:val="28"/>
          <w:lang w:val="en-GB" w:eastAsia="en-GB"/>
        </w:rPr>
        <w:t xml:space="preserve">and </w:t>
      </w:r>
      <w:r w:rsidR="00830C78">
        <w:rPr>
          <w:rFonts w:asciiTheme="minorHAnsi" w:eastAsiaTheme="minorHAnsi" w:hAnsiTheme="minorHAnsi" w:cs="Calibri-Bold"/>
          <w:bCs/>
          <w:color w:val="00338D"/>
          <w:sz w:val="28"/>
          <w:szCs w:val="28"/>
          <w:lang w:val="en-GB" w:eastAsia="en-GB"/>
        </w:rPr>
        <w:t>M</w:t>
      </w:r>
      <w:r>
        <w:rPr>
          <w:rFonts w:asciiTheme="minorHAnsi" w:eastAsiaTheme="minorHAnsi" w:hAnsiTheme="minorHAnsi" w:cs="Calibri-Bold"/>
          <w:bCs/>
          <w:color w:val="00338D"/>
          <w:sz w:val="28"/>
          <w:szCs w:val="28"/>
          <w:lang w:val="en-GB" w:eastAsia="en-GB"/>
        </w:rPr>
        <w:t xml:space="preserve">eans of </w:t>
      </w:r>
      <w:r w:rsidR="00830C78">
        <w:rPr>
          <w:rFonts w:asciiTheme="minorHAnsi" w:eastAsiaTheme="minorHAnsi" w:hAnsiTheme="minorHAnsi" w:cs="Calibri-Bold"/>
          <w:bCs/>
          <w:color w:val="00338D"/>
          <w:sz w:val="28"/>
          <w:szCs w:val="28"/>
          <w:lang w:val="en-GB" w:eastAsia="en-GB"/>
        </w:rPr>
        <w:t>V</w:t>
      </w:r>
      <w:r>
        <w:rPr>
          <w:rFonts w:asciiTheme="minorHAnsi" w:eastAsiaTheme="minorHAnsi" w:hAnsiTheme="minorHAnsi" w:cs="Calibri-Bold"/>
          <w:bCs/>
          <w:color w:val="00338D"/>
          <w:sz w:val="28"/>
          <w:szCs w:val="28"/>
          <w:lang w:val="en-GB" w:eastAsia="en-GB"/>
        </w:rPr>
        <w:t xml:space="preserve">erification </w:t>
      </w:r>
    </w:p>
    <w:p w14:paraId="54C3C9A5" w14:textId="77777777" w:rsidR="00987A0D" w:rsidRPr="00DF7F22" w:rsidRDefault="00987A0D" w:rsidP="003D76FC">
      <w:pPr>
        <w:jc w:val="both"/>
        <w:rPr>
          <w:lang w:val="en-GB" w:eastAsia="en-GB"/>
        </w:rPr>
      </w:pPr>
      <w:r>
        <w:rPr>
          <w:lang w:val="en-GB" w:eastAsia="en-GB"/>
        </w:rPr>
        <w:t>Invoices will be paid upon receiving the pre-set deliverables as mentioned in the table below</w:t>
      </w:r>
      <w:r>
        <w:rPr>
          <w:rStyle w:val="FootnoteReference"/>
          <w:lang w:val="en-GB" w:eastAsia="en-GB"/>
        </w:rPr>
        <w:footnoteReference w:id="3"/>
      </w:r>
      <w:r>
        <w:rPr>
          <w:lang w:val="en-GB" w:eastAsia="en-GB"/>
        </w:rPr>
        <w:t xml:space="preserve">: </w:t>
      </w:r>
    </w:p>
    <w:p w14:paraId="761B946E" w14:textId="7A2D0461" w:rsidR="00987A0D" w:rsidRPr="00DF7F22" w:rsidRDefault="00987A0D" w:rsidP="003D76FC">
      <w:pPr>
        <w:pStyle w:val="Default"/>
        <w:spacing w:after="200" w:line="259" w:lineRule="auto"/>
        <w:jc w:val="both"/>
        <w:rPr>
          <w:rFonts w:asciiTheme="minorHAnsi" w:hAnsiTheme="minorHAnsi" w:cstheme="minorHAnsi"/>
          <w:sz w:val="20"/>
          <w:szCs w:val="20"/>
        </w:rPr>
      </w:pPr>
      <w:r w:rsidRPr="00F66108">
        <w:rPr>
          <w:rFonts w:asciiTheme="minorHAnsi" w:hAnsiTheme="minorHAnsi" w:cstheme="minorHAnsi"/>
          <w:color w:val="1F4E79" w:themeColor="accent5" w:themeShade="80"/>
          <w:sz w:val="20"/>
          <w:szCs w:val="20"/>
          <w:lang w:val="en-US"/>
        </w:rPr>
        <w:t xml:space="preserve">Table </w:t>
      </w:r>
      <w:r w:rsidR="004A799A">
        <w:rPr>
          <w:rFonts w:asciiTheme="minorHAnsi" w:hAnsiTheme="minorHAnsi" w:cstheme="minorHAnsi"/>
          <w:color w:val="1F4E79" w:themeColor="accent5" w:themeShade="80"/>
          <w:sz w:val="20"/>
          <w:szCs w:val="20"/>
          <w:lang w:val="en-US"/>
        </w:rPr>
        <w:t>4</w:t>
      </w:r>
      <w:r w:rsidRPr="00F66108">
        <w:rPr>
          <w:rFonts w:asciiTheme="minorHAnsi" w:hAnsiTheme="minorHAnsi" w:cstheme="minorHAnsi"/>
          <w:color w:val="1F4E79" w:themeColor="accent5" w:themeShade="80"/>
          <w:sz w:val="20"/>
          <w:szCs w:val="20"/>
          <w:lang w:val="en-US"/>
        </w:rPr>
        <w:t xml:space="preserve">: </w:t>
      </w:r>
      <w:r>
        <w:rPr>
          <w:rFonts w:asciiTheme="minorHAnsi" w:hAnsiTheme="minorHAnsi" w:cstheme="minorHAnsi"/>
          <w:color w:val="1F4E79" w:themeColor="accent5" w:themeShade="80"/>
          <w:sz w:val="20"/>
          <w:szCs w:val="20"/>
          <w:lang w:val="en-US"/>
        </w:rPr>
        <w:t xml:space="preserve">Schedule of </w:t>
      </w:r>
      <w:r w:rsidR="00613EA1">
        <w:rPr>
          <w:rFonts w:asciiTheme="minorHAnsi" w:hAnsiTheme="minorHAnsi" w:cstheme="minorHAnsi"/>
          <w:color w:val="1F4E79" w:themeColor="accent5" w:themeShade="80"/>
          <w:sz w:val="20"/>
          <w:szCs w:val="20"/>
          <w:lang w:val="en-US"/>
        </w:rPr>
        <w:t>P</w:t>
      </w:r>
      <w:r>
        <w:rPr>
          <w:rFonts w:asciiTheme="minorHAnsi" w:hAnsiTheme="minorHAnsi" w:cstheme="minorHAnsi"/>
          <w:color w:val="1F4E79" w:themeColor="accent5" w:themeShade="80"/>
          <w:sz w:val="20"/>
          <w:szCs w:val="20"/>
          <w:lang w:val="en-US"/>
        </w:rPr>
        <w:t xml:space="preserve">ayment and </w:t>
      </w:r>
      <w:r w:rsidR="00613EA1">
        <w:rPr>
          <w:rFonts w:asciiTheme="minorHAnsi" w:hAnsiTheme="minorHAnsi" w:cstheme="minorHAnsi"/>
          <w:color w:val="1F4E79" w:themeColor="accent5" w:themeShade="80"/>
          <w:sz w:val="20"/>
          <w:szCs w:val="20"/>
          <w:lang w:val="en-US"/>
        </w:rPr>
        <w:t>M</w:t>
      </w:r>
      <w:r>
        <w:rPr>
          <w:rFonts w:asciiTheme="minorHAnsi" w:hAnsiTheme="minorHAnsi" w:cstheme="minorHAnsi"/>
          <w:color w:val="1F4E79" w:themeColor="accent5" w:themeShade="80"/>
          <w:sz w:val="20"/>
          <w:szCs w:val="20"/>
          <w:lang w:val="en-US"/>
        </w:rPr>
        <w:t xml:space="preserve">eans of </w:t>
      </w:r>
      <w:r w:rsidR="00613EA1">
        <w:rPr>
          <w:rFonts w:asciiTheme="minorHAnsi" w:hAnsiTheme="minorHAnsi" w:cstheme="minorHAnsi"/>
          <w:color w:val="1F4E79" w:themeColor="accent5" w:themeShade="80"/>
          <w:sz w:val="20"/>
          <w:szCs w:val="20"/>
          <w:lang w:val="en-US"/>
        </w:rPr>
        <w:t>V</w:t>
      </w:r>
      <w:r>
        <w:rPr>
          <w:rFonts w:asciiTheme="minorHAnsi" w:hAnsiTheme="minorHAnsi" w:cstheme="minorHAnsi"/>
          <w:color w:val="1F4E79" w:themeColor="accent5" w:themeShade="80"/>
          <w:sz w:val="20"/>
          <w:szCs w:val="20"/>
          <w:lang w:val="en-US"/>
        </w:rPr>
        <w:t>erification</w:t>
      </w:r>
    </w:p>
    <w:tbl>
      <w:tblPr>
        <w:tblStyle w:val="TableGridLight"/>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489"/>
        <w:gridCol w:w="3685"/>
      </w:tblGrid>
      <w:tr w:rsidR="004A799A" w:rsidRPr="000137EF" w14:paraId="7DDBEAD1" w14:textId="77777777" w:rsidTr="00830C78">
        <w:trPr>
          <w:trHeight w:val="242"/>
        </w:trPr>
        <w:tc>
          <w:tcPr>
            <w:tcW w:w="739" w:type="pct"/>
            <w:shd w:val="clear" w:color="auto" w:fill="1F3864" w:themeFill="accent1" w:themeFillShade="80"/>
            <w:vAlign w:val="center"/>
          </w:tcPr>
          <w:p w14:paraId="1B1A49D5" w14:textId="77777777" w:rsidR="004A799A" w:rsidRPr="000137EF" w:rsidRDefault="004A799A" w:rsidP="003D76FC">
            <w:pPr>
              <w:pStyle w:val="ListParagraph"/>
              <w:autoSpaceDE w:val="0"/>
              <w:autoSpaceDN w:val="0"/>
              <w:adjustRightInd w:val="0"/>
              <w:spacing w:line="259" w:lineRule="auto"/>
              <w:ind w:left="0"/>
              <w:jc w:val="both"/>
              <w:rPr>
                <w:rFonts w:cstheme="minorHAnsi"/>
                <w:b/>
                <w:bCs/>
                <w:color w:val="FFFFFF" w:themeColor="background1"/>
                <w:sz w:val="20"/>
                <w:szCs w:val="20"/>
              </w:rPr>
            </w:pPr>
            <w:r w:rsidRPr="000137EF">
              <w:rPr>
                <w:rFonts w:cstheme="minorHAnsi"/>
                <w:b/>
                <w:bCs/>
                <w:color w:val="FFFFFF" w:themeColor="background1"/>
                <w:sz w:val="20"/>
                <w:szCs w:val="20"/>
              </w:rPr>
              <w:t>Sl.</w:t>
            </w:r>
          </w:p>
        </w:tc>
        <w:tc>
          <w:tcPr>
            <w:tcW w:w="2340" w:type="pct"/>
            <w:shd w:val="clear" w:color="auto" w:fill="1F3864" w:themeFill="accent1" w:themeFillShade="80"/>
            <w:vAlign w:val="center"/>
          </w:tcPr>
          <w:p w14:paraId="5A8F2C3F" w14:textId="77777777" w:rsidR="004A799A" w:rsidRPr="000137EF" w:rsidRDefault="004A799A" w:rsidP="003D76FC">
            <w:pPr>
              <w:autoSpaceDE w:val="0"/>
              <w:autoSpaceDN w:val="0"/>
              <w:adjustRightInd w:val="0"/>
              <w:spacing w:line="259" w:lineRule="auto"/>
              <w:jc w:val="both"/>
              <w:rPr>
                <w:rFonts w:cstheme="minorHAnsi"/>
                <w:b/>
                <w:bCs/>
                <w:color w:val="FFFFFF" w:themeColor="background1"/>
                <w:sz w:val="20"/>
                <w:szCs w:val="20"/>
              </w:rPr>
            </w:pPr>
            <w:r w:rsidRPr="000137EF">
              <w:rPr>
                <w:rFonts w:cstheme="minorHAnsi"/>
                <w:b/>
                <w:bCs/>
                <w:color w:val="FFFFFF" w:themeColor="background1"/>
                <w:sz w:val="20"/>
                <w:szCs w:val="20"/>
              </w:rPr>
              <w:t xml:space="preserve">Deliverables and means of verification </w:t>
            </w:r>
          </w:p>
        </w:tc>
        <w:tc>
          <w:tcPr>
            <w:tcW w:w="1921" w:type="pct"/>
            <w:shd w:val="clear" w:color="auto" w:fill="1F3864" w:themeFill="accent1" w:themeFillShade="80"/>
            <w:vAlign w:val="center"/>
          </w:tcPr>
          <w:p w14:paraId="31E01D97" w14:textId="77777777" w:rsidR="004A799A" w:rsidRPr="000137EF" w:rsidRDefault="004A799A" w:rsidP="003D76FC">
            <w:pPr>
              <w:autoSpaceDE w:val="0"/>
              <w:autoSpaceDN w:val="0"/>
              <w:adjustRightInd w:val="0"/>
              <w:spacing w:line="259" w:lineRule="auto"/>
              <w:jc w:val="both"/>
              <w:rPr>
                <w:rFonts w:cstheme="minorHAnsi"/>
                <w:b/>
                <w:bCs/>
                <w:color w:val="FFFFFF" w:themeColor="background1"/>
                <w:sz w:val="20"/>
                <w:szCs w:val="20"/>
              </w:rPr>
            </w:pPr>
            <w:r w:rsidRPr="000137EF">
              <w:rPr>
                <w:rFonts w:cstheme="minorHAnsi"/>
                <w:b/>
                <w:bCs/>
                <w:color w:val="FFFFFF" w:themeColor="background1"/>
                <w:sz w:val="20"/>
                <w:szCs w:val="20"/>
              </w:rPr>
              <w:t xml:space="preserve">Maximum allowable limit per invoice </w:t>
            </w:r>
          </w:p>
        </w:tc>
      </w:tr>
      <w:tr w:rsidR="004A799A" w:rsidRPr="000137EF" w14:paraId="6E6ED049" w14:textId="77777777" w:rsidTr="00830C78">
        <w:trPr>
          <w:trHeight w:val="353"/>
        </w:trPr>
        <w:tc>
          <w:tcPr>
            <w:tcW w:w="739" w:type="pct"/>
            <w:vMerge w:val="restart"/>
            <w:shd w:val="clear" w:color="auto" w:fill="2F5496" w:themeFill="accent1" w:themeFillShade="BF"/>
            <w:vAlign w:val="center"/>
          </w:tcPr>
          <w:p w14:paraId="78CC4045" w14:textId="1C858459" w:rsidR="004A799A" w:rsidRPr="0069539A" w:rsidRDefault="004A799A" w:rsidP="003D76FC">
            <w:pPr>
              <w:autoSpaceDE w:val="0"/>
              <w:autoSpaceDN w:val="0"/>
              <w:adjustRightInd w:val="0"/>
              <w:spacing w:line="259" w:lineRule="auto"/>
              <w:jc w:val="both"/>
              <w:rPr>
                <w:rFonts w:cstheme="minorHAnsi"/>
                <w:b/>
                <w:bCs/>
                <w:color w:val="FFFFFF" w:themeColor="background1"/>
                <w:sz w:val="20"/>
                <w:szCs w:val="20"/>
              </w:rPr>
            </w:pPr>
            <w:r>
              <w:rPr>
                <w:rFonts w:cstheme="minorHAnsi"/>
                <w:b/>
                <w:bCs/>
                <w:color w:val="FFFFFF" w:themeColor="background1"/>
                <w:sz w:val="20"/>
                <w:szCs w:val="20"/>
              </w:rPr>
              <w:t>Invoice 1</w:t>
            </w:r>
          </w:p>
        </w:tc>
        <w:tc>
          <w:tcPr>
            <w:tcW w:w="2340" w:type="pct"/>
            <w:shd w:val="clear" w:color="auto" w:fill="D9E2F3" w:themeFill="accent1" w:themeFillTint="33"/>
            <w:vAlign w:val="center"/>
          </w:tcPr>
          <w:p w14:paraId="4ECA8A15" w14:textId="77777777" w:rsidR="004A799A" w:rsidRPr="000137EF" w:rsidRDefault="004A799A" w:rsidP="003D76FC">
            <w:pPr>
              <w:autoSpaceDE w:val="0"/>
              <w:autoSpaceDN w:val="0"/>
              <w:adjustRightInd w:val="0"/>
              <w:spacing w:line="259" w:lineRule="auto"/>
              <w:jc w:val="both"/>
              <w:rPr>
                <w:rFonts w:cstheme="minorHAnsi"/>
                <w:bCs/>
                <w:sz w:val="20"/>
                <w:szCs w:val="20"/>
              </w:rPr>
            </w:pPr>
            <w:r w:rsidRPr="000137EF">
              <w:rPr>
                <w:rFonts w:cstheme="minorHAnsi"/>
                <w:bCs/>
                <w:sz w:val="20"/>
                <w:szCs w:val="20"/>
              </w:rPr>
              <w:t>Report/presentation of the findings of literature review</w:t>
            </w:r>
          </w:p>
        </w:tc>
        <w:tc>
          <w:tcPr>
            <w:tcW w:w="1921" w:type="pct"/>
            <w:vMerge w:val="restart"/>
            <w:shd w:val="clear" w:color="auto" w:fill="D9E2F3" w:themeFill="accent1" w:themeFillTint="33"/>
            <w:vAlign w:val="center"/>
          </w:tcPr>
          <w:p w14:paraId="39FE5E27" w14:textId="005D3A1A" w:rsidR="004A799A" w:rsidRPr="000137EF" w:rsidRDefault="004A799A" w:rsidP="003D76FC">
            <w:pPr>
              <w:autoSpaceDE w:val="0"/>
              <w:autoSpaceDN w:val="0"/>
              <w:adjustRightInd w:val="0"/>
              <w:spacing w:line="259" w:lineRule="auto"/>
              <w:jc w:val="both"/>
              <w:rPr>
                <w:rFonts w:cstheme="minorHAnsi"/>
                <w:bCs/>
                <w:sz w:val="20"/>
                <w:szCs w:val="20"/>
              </w:rPr>
            </w:pPr>
            <w:r w:rsidRPr="000137EF">
              <w:rPr>
                <w:rFonts w:cstheme="minorHAnsi"/>
                <w:bCs/>
                <w:sz w:val="20"/>
                <w:szCs w:val="20"/>
              </w:rPr>
              <w:t>40%</w:t>
            </w:r>
            <w:r w:rsidRPr="000137EF">
              <w:rPr>
                <w:sz w:val="20"/>
                <w:szCs w:val="20"/>
              </w:rPr>
              <w:t xml:space="preserve"> </w:t>
            </w:r>
            <w:r w:rsidRPr="000137EF">
              <w:rPr>
                <w:rFonts w:cstheme="minorHAnsi"/>
                <w:bCs/>
                <w:sz w:val="20"/>
                <w:szCs w:val="20"/>
              </w:rPr>
              <w:t xml:space="preserve">of contract value (upon submission of </w:t>
            </w:r>
            <w:r w:rsidR="00991A7B">
              <w:rPr>
                <w:rFonts w:cstheme="minorHAnsi"/>
                <w:bCs/>
                <w:sz w:val="20"/>
                <w:szCs w:val="20"/>
              </w:rPr>
              <w:t xml:space="preserve">required </w:t>
            </w:r>
            <w:r w:rsidRPr="000137EF">
              <w:rPr>
                <w:rFonts w:cstheme="minorHAnsi"/>
                <w:bCs/>
                <w:sz w:val="20"/>
                <w:szCs w:val="20"/>
              </w:rPr>
              <w:t>deliverables)</w:t>
            </w:r>
          </w:p>
        </w:tc>
      </w:tr>
      <w:tr w:rsidR="004A799A" w:rsidRPr="000137EF" w14:paraId="567947E6" w14:textId="77777777" w:rsidTr="00830C78">
        <w:trPr>
          <w:trHeight w:val="47"/>
        </w:trPr>
        <w:tc>
          <w:tcPr>
            <w:tcW w:w="739" w:type="pct"/>
            <w:vMerge/>
            <w:shd w:val="clear" w:color="auto" w:fill="2F5496" w:themeFill="accent1" w:themeFillShade="BF"/>
            <w:vAlign w:val="center"/>
          </w:tcPr>
          <w:p w14:paraId="2C3983B8" w14:textId="2B1A6233" w:rsidR="004A799A" w:rsidRPr="000137EF" w:rsidRDefault="004A799A" w:rsidP="003D76FC">
            <w:pPr>
              <w:pStyle w:val="ListParagraph"/>
              <w:autoSpaceDE w:val="0"/>
              <w:autoSpaceDN w:val="0"/>
              <w:adjustRightInd w:val="0"/>
              <w:spacing w:line="259" w:lineRule="auto"/>
              <w:ind w:left="360"/>
              <w:jc w:val="both"/>
              <w:rPr>
                <w:rFonts w:cstheme="minorHAnsi"/>
                <w:b/>
                <w:bCs/>
                <w:color w:val="FFFFFF" w:themeColor="background1"/>
                <w:sz w:val="20"/>
                <w:szCs w:val="20"/>
              </w:rPr>
            </w:pPr>
          </w:p>
        </w:tc>
        <w:tc>
          <w:tcPr>
            <w:tcW w:w="2340" w:type="pct"/>
            <w:shd w:val="clear" w:color="auto" w:fill="D9E2F3" w:themeFill="accent1" w:themeFillTint="33"/>
            <w:vAlign w:val="center"/>
          </w:tcPr>
          <w:p w14:paraId="357F05C8" w14:textId="77777777" w:rsidR="004A799A" w:rsidRPr="000137EF" w:rsidRDefault="004A799A" w:rsidP="003D76FC">
            <w:pPr>
              <w:autoSpaceDE w:val="0"/>
              <w:autoSpaceDN w:val="0"/>
              <w:adjustRightInd w:val="0"/>
              <w:spacing w:line="259" w:lineRule="auto"/>
              <w:jc w:val="both"/>
              <w:rPr>
                <w:rFonts w:cstheme="minorHAnsi"/>
                <w:bCs/>
                <w:sz w:val="20"/>
                <w:szCs w:val="20"/>
              </w:rPr>
            </w:pPr>
            <w:r w:rsidRPr="000137EF">
              <w:rPr>
                <w:rFonts w:cstheme="minorHAnsi"/>
                <w:bCs/>
                <w:sz w:val="20"/>
                <w:szCs w:val="20"/>
              </w:rPr>
              <w:t xml:space="preserve">Complete list of </w:t>
            </w:r>
            <w:r w:rsidRPr="000137EF">
              <w:rPr>
                <w:rFonts w:ascii="Calibri" w:eastAsia="Calibri" w:hAnsi="Calibri" w:cs="Calibri"/>
                <w:sz w:val="20"/>
                <w:szCs w:val="20"/>
              </w:rPr>
              <w:t>locations and clusters of RMG fact</w:t>
            </w:r>
            <w:r>
              <w:rPr>
                <w:rFonts w:ascii="Calibri" w:eastAsia="Calibri" w:hAnsi="Calibri" w:cs="Calibri"/>
                <w:sz w:val="20"/>
                <w:szCs w:val="20"/>
              </w:rPr>
              <w:t>ories and communities for</w:t>
            </w:r>
            <w:r w:rsidRPr="000137EF">
              <w:rPr>
                <w:rFonts w:ascii="Calibri" w:eastAsia="Calibri" w:hAnsi="Calibri" w:cs="Calibri"/>
                <w:sz w:val="20"/>
                <w:szCs w:val="20"/>
              </w:rPr>
              <w:t xml:space="preserve"> surveys</w:t>
            </w:r>
          </w:p>
        </w:tc>
        <w:tc>
          <w:tcPr>
            <w:tcW w:w="1921" w:type="pct"/>
            <w:vMerge/>
            <w:shd w:val="clear" w:color="auto" w:fill="D9E2F3" w:themeFill="accent1" w:themeFillTint="33"/>
            <w:vAlign w:val="center"/>
          </w:tcPr>
          <w:p w14:paraId="361ECBB2" w14:textId="77777777" w:rsidR="004A799A" w:rsidRPr="000137EF" w:rsidRDefault="004A799A" w:rsidP="003D76FC">
            <w:pPr>
              <w:autoSpaceDE w:val="0"/>
              <w:autoSpaceDN w:val="0"/>
              <w:adjustRightInd w:val="0"/>
              <w:spacing w:line="259" w:lineRule="auto"/>
              <w:jc w:val="both"/>
              <w:rPr>
                <w:rFonts w:cstheme="minorHAnsi"/>
                <w:bCs/>
                <w:sz w:val="20"/>
                <w:szCs w:val="20"/>
              </w:rPr>
            </w:pPr>
          </w:p>
        </w:tc>
      </w:tr>
      <w:tr w:rsidR="004A799A" w:rsidRPr="000137EF" w14:paraId="70C0A6C8" w14:textId="77777777" w:rsidTr="00830C78">
        <w:trPr>
          <w:trHeight w:val="270"/>
        </w:trPr>
        <w:tc>
          <w:tcPr>
            <w:tcW w:w="739" w:type="pct"/>
            <w:vMerge/>
            <w:shd w:val="clear" w:color="auto" w:fill="2F5496" w:themeFill="accent1" w:themeFillShade="BF"/>
            <w:vAlign w:val="center"/>
          </w:tcPr>
          <w:p w14:paraId="05C83367" w14:textId="5D721655" w:rsidR="004A799A" w:rsidRPr="000137EF" w:rsidRDefault="004A799A" w:rsidP="003D76FC">
            <w:pPr>
              <w:pStyle w:val="ListParagraph"/>
              <w:autoSpaceDE w:val="0"/>
              <w:autoSpaceDN w:val="0"/>
              <w:adjustRightInd w:val="0"/>
              <w:spacing w:line="259" w:lineRule="auto"/>
              <w:ind w:left="360"/>
              <w:jc w:val="both"/>
              <w:rPr>
                <w:rFonts w:cstheme="minorHAnsi"/>
                <w:b/>
                <w:bCs/>
                <w:color w:val="FFFFFF" w:themeColor="background1"/>
                <w:sz w:val="20"/>
                <w:szCs w:val="20"/>
              </w:rPr>
            </w:pPr>
          </w:p>
        </w:tc>
        <w:tc>
          <w:tcPr>
            <w:tcW w:w="2340" w:type="pct"/>
            <w:shd w:val="clear" w:color="auto" w:fill="D9E2F3" w:themeFill="accent1" w:themeFillTint="33"/>
            <w:vAlign w:val="center"/>
          </w:tcPr>
          <w:p w14:paraId="6C6898A8" w14:textId="56D3CC07" w:rsidR="004A799A" w:rsidRPr="000137EF" w:rsidRDefault="004A799A" w:rsidP="003D76FC">
            <w:pPr>
              <w:autoSpaceDE w:val="0"/>
              <w:autoSpaceDN w:val="0"/>
              <w:adjustRightInd w:val="0"/>
              <w:spacing w:line="259" w:lineRule="auto"/>
              <w:jc w:val="both"/>
              <w:rPr>
                <w:rFonts w:cstheme="minorHAnsi"/>
                <w:bCs/>
                <w:sz w:val="20"/>
                <w:szCs w:val="20"/>
              </w:rPr>
            </w:pPr>
            <w:r w:rsidRPr="000137EF">
              <w:rPr>
                <w:rFonts w:cstheme="minorHAnsi"/>
                <w:bCs/>
                <w:sz w:val="20"/>
                <w:szCs w:val="20"/>
              </w:rPr>
              <w:t>Overall work plan</w:t>
            </w:r>
            <w:r w:rsidR="00830C78">
              <w:rPr>
                <w:rFonts w:cstheme="minorHAnsi"/>
                <w:bCs/>
                <w:sz w:val="20"/>
                <w:szCs w:val="20"/>
              </w:rPr>
              <w:t>, methodology</w:t>
            </w:r>
            <w:r w:rsidRPr="000137EF">
              <w:rPr>
                <w:rFonts w:cstheme="minorHAnsi"/>
                <w:bCs/>
                <w:sz w:val="20"/>
                <w:szCs w:val="20"/>
              </w:rPr>
              <w:t xml:space="preserve"> and detailed field plan with assigned responsibilities and daily targets of each human resourc</w:t>
            </w:r>
            <w:r>
              <w:rPr>
                <w:rFonts w:cstheme="minorHAnsi"/>
                <w:bCs/>
                <w:sz w:val="20"/>
                <w:szCs w:val="20"/>
              </w:rPr>
              <w:t>e recruited for this assignment</w:t>
            </w:r>
          </w:p>
        </w:tc>
        <w:tc>
          <w:tcPr>
            <w:tcW w:w="1921" w:type="pct"/>
            <w:vMerge/>
            <w:shd w:val="clear" w:color="auto" w:fill="D9E2F3" w:themeFill="accent1" w:themeFillTint="33"/>
            <w:vAlign w:val="center"/>
          </w:tcPr>
          <w:p w14:paraId="06226671" w14:textId="77777777" w:rsidR="004A799A" w:rsidRPr="000137EF" w:rsidRDefault="004A799A" w:rsidP="003D76FC">
            <w:pPr>
              <w:autoSpaceDE w:val="0"/>
              <w:autoSpaceDN w:val="0"/>
              <w:adjustRightInd w:val="0"/>
              <w:spacing w:line="259" w:lineRule="auto"/>
              <w:jc w:val="both"/>
              <w:rPr>
                <w:rFonts w:cstheme="minorHAnsi"/>
                <w:bCs/>
                <w:sz w:val="20"/>
                <w:szCs w:val="20"/>
              </w:rPr>
            </w:pPr>
          </w:p>
        </w:tc>
      </w:tr>
      <w:tr w:rsidR="004A799A" w:rsidRPr="000137EF" w14:paraId="64383521" w14:textId="77777777" w:rsidTr="00830C78">
        <w:trPr>
          <w:trHeight w:val="270"/>
        </w:trPr>
        <w:tc>
          <w:tcPr>
            <w:tcW w:w="739" w:type="pct"/>
            <w:vMerge/>
            <w:shd w:val="clear" w:color="auto" w:fill="2F5496" w:themeFill="accent1" w:themeFillShade="BF"/>
            <w:vAlign w:val="center"/>
          </w:tcPr>
          <w:p w14:paraId="29CB4D87" w14:textId="3D3F3052" w:rsidR="004A799A" w:rsidRPr="000137EF" w:rsidRDefault="004A799A" w:rsidP="003D76FC">
            <w:pPr>
              <w:pStyle w:val="ListParagraph"/>
              <w:autoSpaceDE w:val="0"/>
              <w:autoSpaceDN w:val="0"/>
              <w:adjustRightInd w:val="0"/>
              <w:spacing w:line="259" w:lineRule="auto"/>
              <w:ind w:left="360"/>
              <w:jc w:val="both"/>
              <w:rPr>
                <w:rFonts w:cstheme="minorHAnsi"/>
                <w:b/>
                <w:bCs/>
                <w:color w:val="FFFFFF" w:themeColor="background1"/>
                <w:sz w:val="20"/>
                <w:szCs w:val="20"/>
              </w:rPr>
            </w:pPr>
          </w:p>
        </w:tc>
        <w:tc>
          <w:tcPr>
            <w:tcW w:w="2340" w:type="pct"/>
            <w:shd w:val="clear" w:color="auto" w:fill="D9E2F3" w:themeFill="accent1" w:themeFillTint="33"/>
            <w:vAlign w:val="center"/>
          </w:tcPr>
          <w:p w14:paraId="776A0C15" w14:textId="77777777" w:rsidR="004A799A" w:rsidRPr="000137EF" w:rsidRDefault="004A799A" w:rsidP="003D76FC">
            <w:pPr>
              <w:autoSpaceDE w:val="0"/>
              <w:autoSpaceDN w:val="0"/>
              <w:adjustRightInd w:val="0"/>
              <w:spacing w:line="259" w:lineRule="auto"/>
              <w:jc w:val="both"/>
              <w:rPr>
                <w:rFonts w:cstheme="minorHAnsi"/>
                <w:sz w:val="20"/>
                <w:szCs w:val="20"/>
              </w:rPr>
            </w:pPr>
            <w:r w:rsidRPr="000137EF">
              <w:rPr>
                <w:rFonts w:cstheme="minorHAnsi"/>
                <w:sz w:val="20"/>
                <w:szCs w:val="20"/>
              </w:rPr>
              <w:t>All questionnaires and checklists finalized</w:t>
            </w:r>
          </w:p>
        </w:tc>
        <w:tc>
          <w:tcPr>
            <w:tcW w:w="1921" w:type="pct"/>
            <w:vMerge/>
            <w:shd w:val="clear" w:color="auto" w:fill="B4C6E7" w:themeFill="accent1" w:themeFillTint="66"/>
            <w:vAlign w:val="center"/>
          </w:tcPr>
          <w:p w14:paraId="403C4BE4" w14:textId="77777777" w:rsidR="004A799A" w:rsidRPr="000137EF" w:rsidRDefault="004A799A" w:rsidP="003D76FC">
            <w:pPr>
              <w:autoSpaceDE w:val="0"/>
              <w:autoSpaceDN w:val="0"/>
              <w:adjustRightInd w:val="0"/>
              <w:spacing w:line="259" w:lineRule="auto"/>
              <w:jc w:val="both"/>
              <w:rPr>
                <w:rFonts w:cstheme="minorHAnsi"/>
                <w:bCs/>
                <w:sz w:val="20"/>
                <w:szCs w:val="20"/>
              </w:rPr>
            </w:pPr>
          </w:p>
        </w:tc>
      </w:tr>
      <w:tr w:rsidR="004A799A" w:rsidRPr="000137EF" w14:paraId="5269F5FB" w14:textId="77777777" w:rsidTr="00830C78">
        <w:trPr>
          <w:trHeight w:val="270"/>
        </w:trPr>
        <w:tc>
          <w:tcPr>
            <w:tcW w:w="739" w:type="pct"/>
            <w:vMerge w:val="restart"/>
            <w:shd w:val="clear" w:color="auto" w:fill="2F5496" w:themeFill="accent1" w:themeFillShade="BF"/>
            <w:vAlign w:val="center"/>
          </w:tcPr>
          <w:p w14:paraId="5B5B21E1" w14:textId="2C709E30" w:rsidR="004A799A" w:rsidRPr="0069539A" w:rsidRDefault="004A799A" w:rsidP="003D76FC">
            <w:pPr>
              <w:autoSpaceDE w:val="0"/>
              <w:autoSpaceDN w:val="0"/>
              <w:adjustRightInd w:val="0"/>
              <w:spacing w:line="259" w:lineRule="auto"/>
              <w:jc w:val="both"/>
              <w:rPr>
                <w:rFonts w:cstheme="minorHAnsi"/>
                <w:b/>
                <w:bCs/>
                <w:color w:val="FFFFFF" w:themeColor="background1"/>
                <w:sz w:val="20"/>
                <w:szCs w:val="20"/>
              </w:rPr>
            </w:pPr>
            <w:r>
              <w:rPr>
                <w:rFonts w:cstheme="minorHAnsi"/>
                <w:b/>
                <w:bCs/>
                <w:color w:val="FFFFFF" w:themeColor="background1"/>
                <w:sz w:val="20"/>
                <w:szCs w:val="20"/>
              </w:rPr>
              <w:t>Invoice 2</w:t>
            </w:r>
          </w:p>
        </w:tc>
        <w:tc>
          <w:tcPr>
            <w:tcW w:w="2340" w:type="pct"/>
            <w:shd w:val="clear" w:color="auto" w:fill="B4C6E7" w:themeFill="accent1" w:themeFillTint="66"/>
            <w:vAlign w:val="center"/>
          </w:tcPr>
          <w:p w14:paraId="522FAE59" w14:textId="77777777" w:rsidR="004A799A" w:rsidRPr="000137EF" w:rsidRDefault="004A799A" w:rsidP="003D76FC">
            <w:pPr>
              <w:autoSpaceDE w:val="0"/>
              <w:autoSpaceDN w:val="0"/>
              <w:adjustRightInd w:val="0"/>
              <w:spacing w:line="259" w:lineRule="auto"/>
              <w:jc w:val="both"/>
              <w:rPr>
                <w:rFonts w:cstheme="minorHAnsi"/>
                <w:sz w:val="20"/>
                <w:szCs w:val="20"/>
              </w:rPr>
            </w:pPr>
            <w:r w:rsidRPr="000137EF">
              <w:rPr>
                <w:rFonts w:cstheme="minorHAnsi"/>
                <w:sz w:val="20"/>
                <w:szCs w:val="20"/>
              </w:rPr>
              <w:t>Filled up questionnaires (hardcopy) and database (softcopy). In case of online surveys (if applicable), submit the information database</w:t>
            </w:r>
          </w:p>
        </w:tc>
        <w:tc>
          <w:tcPr>
            <w:tcW w:w="1921" w:type="pct"/>
            <w:vMerge w:val="restart"/>
            <w:shd w:val="clear" w:color="auto" w:fill="B4C6E7" w:themeFill="accent1" w:themeFillTint="66"/>
            <w:vAlign w:val="center"/>
          </w:tcPr>
          <w:p w14:paraId="02DF7A78" w14:textId="4B2C642C" w:rsidR="004A799A" w:rsidRPr="000137EF" w:rsidRDefault="004A799A" w:rsidP="003D76FC">
            <w:pPr>
              <w:autoSpaceDE w:val="0"/>
              <w:autoSpaceDN w:val="0"/>
              <w:adjustRightInd w:val="0"/>
              <w:spacing w:line="259" w:lineRule="auto"/>
              <w:jc w:val="both"/>
              <w:rPr>
                <w:rFonts w:cstheme="minorHAnsi"/>
                <w:bCs/>
                <w:sz w:val="20"/>
                <w:szCs w:val="20"/>
              </w:rPr>
            </w:pPr>
            <w:r>
              <w:rPr>
                <w:rFonts w:cstheme="minorHAnsi"/>
                <w:bCs/>
                <w:sz w:val="20"/>
                <w:szCs w:val="20"/>
              </w:rPr>
              <w:t>6</w:t>
            </w:r>
            <w:r w:rsidRPr="000137EF">
              <w:rPr>
                <w:rFonts w:cstheme="minorHAnsi"/>
                <w:bCs/>
                <w:sz w:val="20"/>
                <w:szCs w:val="20"/>
              </w:rPr>
              <w:t>0%</w:t>
            </w:r>
            <w:r w:rsidRPr="000137EF">
              <w:rPr>
                <w:sz w:val="20"/>
                <w:szCs w:val="20"/>
              </w:rPr>
              <w:t xml:space="preserve"> </w:t>
            </w:r>
            <w:r w:rsidRPr="000137EF">
              <w:rPr>
                <w:rFonts w:cstheme="minorHAnsi"/>
                <w:bCs/>
                <w:sz w:val="20"/>
                <w:szCs w:val="20"/>
              </w:rPr>
              <w:t xml:space="preserve">of contract value (upon submission of </w:t>
            </w:r>
            <w:r w:rsidR="00991A7B">
              <w:rPr>
                <w:rFonts w:cstheme="minorHAnsi"/>
                <w:bCs/>
                <w:sz w:val="20"/>
                <w:szCs w:val="20"/>
              </w:rPr>
              <w:t xml:space="preserve">required </w:t>
            </w:r>
            <w:r w:rsidRPr="000137EF">
              <w:rPr>
                <w:rFonts w:cstheme="minorHAnsi"/>
                <w:bCs/>
                <w:sz w:val="20"/>
                <w:szCs w:val="20"/>
              </w:rPr>
              <w:t>deliverables)</w:t>
            </w:r>
          </w:p>
        </w:tc>
      </w:tr>
      <w:tr w:rsidR="004A799A" w:rsidRPr="000137EF" w14:paraId="0A48F26E" w14:textId="77777777" w:rsidTr="00830C78">
        <w:trPr>
          <w:trHeight w:val="458"/>
        </w:trPr>
        <w:tc>
          <w:tcPr>
            <w:tcW w:w="739" w:type="pct"/>
            <w:vMerge/>
            <w:shd w:val="clear" w:color="auto" w:fill="2F5496" w:themeFill="accent1" w:themeFillShade="BF"/>
            <w:vAlign w:val="center"/>
          </w:tcPr>
          <w:p w14:paraId="460E745A" w14:textId="194D849B" w:rsidR="004A799A" w:rsidRPr="0069539A" w:rsidRDefault="004A799A" w:rsidP="003D76FC">
            <w:pPr>
              <w:autoSpaceDE w:val="0"/>
              <w:autoSpaceDN w:val="0"/>
              <w:adjustRightInd w:val="0"/>
              <w:spacing w:line="259" w:lineRule="auto"/>
              <w:jc w:val="both"/>
              <w:rPr>
                <w:rFonts w:cstheme="minorHAnsi"/>
                <w:b/>
                <w:bCs/>
                <w:color w:val="FFFFFF" w:themeColor="background1"/>
                <w:sz w:val="20"/>
                <w:szCs w:val="20"/>
              </w:rPr>
            </w:pPr>
          </w:p>
        </w:tc>
        <w:tc>
          <w:tcPr>
            <w:tcW w:w="2340" w:type="pct"/>
            <w:shd w:val="clear" w:color="auto" w:fill="B4C6E7" w:themeFill="accent1" w:themeFillTint="66"/>
            <w:vAlign w:val="center"/>
          </w:tcPr>
          <w:p w14:paraId="33928D31" w14:textId="75B57F59" w:rsidR="004A799A" w:rsidRPr="000137EF" w:rsidRDefault="004A799A" w:rsidP="003D76FC">
            <w:pPr>
              <w:autoSpaceDE w:val="0"/>
              <w:autoSpaceDN w:val="0"/>
              <w:adjustRightInd w:val="0"/>
              <w:spacing w:line="259" w:lineRule="auto"/>
              <w:jc w:val="both"/>
              <w:rPr>
                <w:rFonts w:cstheme="minorHAnsi"/>
                <w:sz w:val="20"/>
                <w:szCs w:val="20"/>
              </w:rPr>
            </w:pPr>
            <w:r w:rsidRPr="000137EF">
              <w:rPr>
                <w:rFonts w:cstheme="minorHAnsi"/>
                <w:sz w:val="20"/>
                <w:szCs w:val="20"/>
              </w:rPr>
              <w:t>Submission of the Final Report</w:t>
            </w:r>
          </w:p>
        </w:tc>
        <w:tc>
          <w:tcPr>
            <w:tcW w:w="1921" w:type="pct"/>
            <w:vMerge/>
            <w:shd w:val="clear" w:color="auto" w:fill="D9E2F3" w:themeFill="accent1" w:themeFillTint="33"/>
            <w:vAlign w:val="center"/>
          </w:tcPr>
          <w:p w14:paraId="67E9AAC3" w14:textId="05A6F755" w:rsidR="004A799A" w:rsidRPr="000137EF" w:rsidRDefault="004A799A" w:rsidP="003D76FC">
            <w:pPr>
              <w:autoSpaceDE w:val="0"/>
              <w:autoSpaceDN w:val="0"/>
              <w:adjustRightInd w:val="0"/>
              <w:spacing w:line="259" w:lineRule="auto"/>
              <w:jc w:val="both"/>
              <w:rPr>
                <w:rFonts w:cstheme="minorHAnsi"/>
                <w:bCs/>
                <w:sz w:val="20"/>
                <w:szCs w:val="20"/>
              </w:rPr>
            </w:pPr>
          </w:p>
        </w:tc>
      </w:tr>
      <w:tr w:rsidR="004A799A" w:rsidRPr="000137EF" w14:paraId="5F513605" w14:textId="77777777" w:rsidTr="00830C78">
        <w:trPr>
          <w:trHeight w:val="302"/>
        </w:trPr>
        <w:tc>
          <w:tcPr>
            <w:tcW w:w="739" w:type="pct"/>
            <w:vMerge/>
            <w:shd w:val="clear" w:color="auto" w:fill="2F5496" w:themeFill="accent1" w:themeFillShade="BF"/>
            <w:vAlign w:val="center"/>
          </w:tcPr>
          <w:p w14:paraId="2B89158B" w14:textId="03575AC9" w:rsidR="004A799A" w:rsidRPr="0069539A" w:rsidRDefault="004A799A" w:rsidP="003D76FC">
            <w:pPr>
              <w:autoSpaceDE w:val="0"/>
              <w:autoSpaceDN w:val="0"/>
              <w:adjustRightInd w:val="0"/>
              <w:spacing w:line="259" w:lineRule="auto"/>
              <w:jc w:val="both"/>
              <w:rPr>
                <w:rFonts w:cstheme="minorHAnsi"/>
                <w:b/>
                <w:bCs/>
                <w:color w:val="FFFFFF" w:themeColor="background1"/>
                <w:sz w:val="20"/>
                <w:szCs w:val="20"/>
              </w:rPr>
            </w:pPr>
          </w:p>
        </w:tc>
        <w:tc>
          <w:tcPr>
            <w:tcW w:w="2340" w:type="pct"/>
            <w:shd w:val="clear" w:color="auto" w:fill="B4C6E7" w:themeFill="accent1" w:themeFillTint="66"/>
            <w:vAlign w:val="center"/>
          </w:tcPr>
          <w:p w14:paraId="450C3616" w14:textId="77777777" w:rsidR="004A799A" w:rsidRPr="000137EF" w:rsidRDefault="004A799A" w:rsidP="003D76FC">
            <w:pPr>
              <w:autoSpaceDE w:val="0"/>
              <w:autoSpaceDN w:val="0"/>
              <w:adjustRightInd w:val="0"/>
              <w:spacing w:line="259" w:lineRule="auto"/>
              <w:jc w:val="both"/>
              <w:rPr>
                <w:rFonts w:cstheme="minorHAnsi"/>
                <w:sz w:val="20"/>
                <w:szCs w:val="20"/>
              </w:rPr>
            </w:pPr>
            <w:r w:rsidRPr="000137EF">
              <w:rPr>
                <w:rFonts w:cstheme="minorHAnsi"/>
                <w:sz w:val="20"/>
                <w:szCs w:val="20"/>
              </w:rPr>
              <w:t xml:space="preserve">Presentation and handover of the dashboard prepared for Sarathi’s outcome indicators </w:t>
            </w:r>
          </w:p>
        </w:tc>
        <w:tc>
          <w:tcPr>
            <w:tcW w:w="1921" w:type="pct"/>
            <w:vMerge/>
            <w:shd w:val="clear" w:color="auto" w:fill="D9E2F3" w:themeFill="accent1" w:themeFillTint="33"/>
            <w:vAlign w:val="center"/>
          </w:tcPr>
          <w:p w14:paraId="61D263F2" w14:textId="77777777" w:rsidR="004A799A" w:rsidRPr="000137EF" w:rsidRDefault="004A799A" w:rsidP="003D76FC">
            <w:pPr>
              <w:autoSpaceDE w:val="0"/>
              <w:autoSpaceDN w:val="0"/>
              <w:adjustRightInd w:val="0"/>
              <w:spacing w:line="259" w:lineRule="auto"/>
              <w:jc w:val="both"/>
              <w:rPr>
                <w:rFonts w:cstheme="minorHAnsi"/>
                <w:bCs/>
                <w:sz w:val="20"/>
                <w:szCs w:val="20"/>
              </w:rPr>
            </w:pPr>
          </w:p>
        </w:tc>
      </w:tr>
    </w:tbl>
    <w:p w14:paraId="4992485D" w14:textId="77777777" w:rsidR="00987A0D" w:rsidRPr="00C42F15" w:rsidRDefault="00987A0D" w:rsidP="003D76FC">
      <w:pPr>
        <w:pStyle w:val="FormWorldBank"/>
        <w:spacing w:after="160" w:line="259" w:lineRule="auto"/>
        <w:ind w:left="720" w:right="-360"/>
        <w:jc w:val="both"/>
        <w:rPr>
          <w:rFonts w:asciiTheme="minorHAnsi" w:eastAsiaTheme="minorHAnsi" w:hAnsiTheme="minorHAnsi" w:cstheme="minorHAnsi"/>
          <w:b w:val="0"/>
          <w:color w:val="00338D"/>
          <w:sz w:val="28"/>
          <w:szCs w:val="28"/>
          <w:lang w:val="en-GB"/>
        </w:rPr>
      </w:pPr>
    </w:p>
    <w:p w14:paraId="605DDE78" w14:textId="721E0589" w:rsidR="00937BE7" w:rsidRDefault="00987A0D" w:rsidP="003D76FC">
      <w:pPr>
        <w:jc w:val="both"/>
      </w:pPr>
      <w:r w:rsidRPr="00C42F15">
        <w:t>Each payment will be affected after submission of invoices and till date expense report. Any deviation without prior consent and rationale will be considered as non-performance.</w:t>
      </w:r>
    </w:p>
    <w:p w14:paraId="76F6D98B" w14:textId="77777777" w:rsidR="00413C00" w:rsidRPr="003739C6" w:rsidRDefault="00413C00" w:rsidP="003D76FC">
      <w:pPr>
        <w:spacing w:line="259" w:lineRule="auto"/>
        <w:jc w:val="both"/>
        <w:rPr>
          <w:rFonts w:cs="Calibri-Bold"/>
          <w:bCs/>
          <w:color w:val="00338D"/>
          <w:sz w:val="28"/>
          <w:szCs w:val="28"/>
          <w:lang w:val="en-GB" w:eastAsia="en-GB"/>
        </w:rPr>
      </w:pPr>
      <w:r>
        <w:rPr>
          <w:rFonts w:cs="Calibri-Bold"/>
          <w:bCs/>
          <w:color w:val="00338D"/>
          <w:sz w:val="28"/>
          <w:szCs w:val="28"/>
          <w:lang w:val="en-GB" w:eastAsia="en-GB"/>
        </w:rPr>
        <w:t xml:space="preserve">7. </w:t>
      </w:r>
      <w:r w:rsidRPr="003739C6">
        <w:rPr>
          <w:rFonts w:cs="Calibri-Bold"/>
          <w:bCs/>
          <w:color w:val="00338D"/>
          <w:sz w:val="28"/>
          <w:szCs w:val="28"/>
          <w:lang w:val="en-GB" w:eastAsia="en-GB"/>
        </w:rPr>
        <w:t xml:space="preserve">Technical and Financial Proposal Parameters  </w:t>
      </w:r>
    </w:p>
    <w:p w14:paraId="7704A5E0" w14:textId="77777777" w:rsidR="00413C00" w:rsidRDefault="00413C00" w:rsidP="003D76FC">
      <w:pPr>
        <w:spacing w:after="0" w:line="259" w:lineRule="auto"/>
        <w:jc w:val="both"/>
      </w:pPr>
      <w:r w:rsidRPr="002E35F2">
        <w:t xml:space="preserve">The selection criteria </w:t>
      </w:r>
      <w:r>
        <w:t>is</w:t>
      </w:r>
      <w:r w:rsidRPr="002E35F2">
        <w:t xml:space="preserve"> divided into </w:t>
      </w:r>
      <w:r>
        <w:t>two</w:t>
      </w:r>
      <w:r w:rsidRPr="002E35F2">
        <w:t xml:space="preserve"> parts:</w:t>
      </w:r>
      <w:r w:rsidRPr="006937B6">
        <w:t xml:space="preserve"> </w:t>
      </w:r>
    </w:p>
    <w:p w14:paraId="085C704C" w14:textId="77777777" w:rsidR="00413C00" w:rsidRPr="006937B6" w:rsidRDefault="00413C00" w:rsidP="003D76FC">
      <w:pPr>
        <w:spacing w:after="0" w:line="259" w:lineRule="auto"/>
        <w:jc w:val="both"/>
      </w:pPr>
    </w:p>
    <w:p w14:paraId="5D4CD911" w14:textId="77777777" w:rsidR="00413C00" w:rsidRDefault="00413C00" w:rsidP="003D76FC">
      <w:pPr>
        <w:pStyle w:val="ListParagraph"/>
        <w:numPr>
          <w:ilvl w:val="0"/>
          <w:numId w:val="10"/>
        </w:numPr>
        <w:spacing w:after="0" w:line="259" w:lineRule="auto"/>
        <w:jc w:val="both"/>
      </w:pPr>
      <w:r>
        <w:t>Technical Proposal (70% of the total possible score);</w:t>
      </w:r>
    </w:p>
    <w:p w14:paraId="683049A0" w14:textId="77777777" w:rsidR="00413C00" w:rsidRDefault="00413C00" w:rsidP="003D76FC">
      <w:pPr>
        <w:pStyle w:val="ListParagraph"/>
        <w:numPr>
          <w:ilvl w:val="0"/>
          <w:numId w:val="10"/>
        </w:numPr>
        <w:spacing w:after="0" w:line="259" w:lineRule="auto"/>
        <w:jc w:val="both"/>
      </w:pPr>
      <w:r>
        <w:t>Financial Proposal (30% of the total possible score).</w:t>
      </w:r>
    </w:p>
    <w:p w14:paraId="1F8560E9" w14:textId="77777777" w:rsidR="00413C00" w:rsidRDefault="00413C00" w:rsidP="003D76FC">
      <w:pPr>
        <w:spacing w:after="0" w:line="259" w:lineRule="auto"/>
        <w:jc w:val="both"/>
      </w:pPr>
      <w:r>
        <w:lastRenderedPageBreak/>
        <w:br/>
      </w:r>
    </w:p>
    <w:p w14:paraId="5AE37FB1" w14:textId="77777777" w:rsidR="00413C00" w:rsidRDefault="00413C00" w:rsidP="003D76FC">
      <w:pPr>
        <w:spacing w:after="0" w:line="259" w:lineRule="auto"/>
        <w:jc w:val="both"/>
      </w:pPr>
      <w:r>
        <w:t>The bidder is required to submit a technical proposal. The technical proposal should include the following elements:</w:t>
      </w:r>
    </w:p>
    <w:p w14:paraId="64A69A37" w14:textId="77777777" w:rsidR="00413C00" w:rsidRDefault="00413C00" w:rsidP="003D76FC">
      <w:pPr>
        <w:spacing w:after="0" w:line="259" w:lineRule="auto"/>
        <w:jc w:val="both"/>
      </w:pPr>
    </w:p>
    <w:p w14:paraId="667725EA" w14:textId="3EA68C8A" w:rsidR="00413C00" w:rsidRPr="00165D3A" w:rsidRDefault="00413C00" w:rsidP="003D76FC">
      <w:pPr>
        <w:numPr>
          <w:ilvl w:val="0"/>
          <w:numId w:val="7"/>
        </w:numPr>
        <w:spacing w:after="0" w:line="259" w:lineRule="auto"/>
        <w:contextualSpacing/>
        <w:jc w:val="both"/>
        <w:rPr>
          <w:rFonts w:ascii="Calibri" w:hAnsi="Calibri" w:cs="Calibri"/>
          <w:color w:val="000000"/>
        </w:rPr>
      </w:pPr>
      <w:r>
        <w:rPr>
          <w:rFonts w:ascii="Calibri" w:hAnsi="Calibri" w:cs="Calibri"/>
          <w:color w:val="000000"/>
        </w:rPr>
        <w:t>Detailed plan</w:t>
      </w:r>
      <w:r w:rsidRPr="00165D3A">
        <w:rPr>
          <w:rFonts w:ascii="Calibri" w:hAnsi="Calibri" w:cs="Calibri"/>
          <w:color w:val="000000"/>
        </w:rPr>
        <w:t xml:space="preserve"> as per requirement</w:t>
      </w:r>
      <w:r>
        <w:rPr>
          <w:rFonts w:ascii="Calibri" w:hAnsi="Calibri" w:cs="Calibri"/>
          <w:color w:val="000000"/>
        </w:rPr>
        <w:t>s</w:t>
      </w:r>
      <w:r w:rsidRPr="00165D3A">
        <w:rPr>
          <w:rFonts w:ascii="Calibri" w:hAnsi="Calibri" w:cs="Calibri"/>
          <w:color w:val="000000"/>
        </w:rPr>
        <w:t xml:space="preserve"> stated in </w:t>
      </w:r>
      <w:r>
        <w:rPr>
          <w:rFonts w:ascii="Calibri" w:hAnsi="Calibri" w:cs="Calibri"/>
          <w:i/>
          <w:color w:val="000000"/>
        </w:rPr>
        <w:t>S</w:t>
      </w:r>
      <w:r w:rsidRPr="002E35F2">
        <w:rPr>
          <w:rFonts w:ascii="Calibri" w:hAnsi="Calibri" w:cs="Calibri"/>
          <w:i/>
          <w:color w:val="000000"/>
        </w:rPr>
        <w:t xml:space="preserve">ection </w:t>
      </w:r>
      <w:r>
        <w:rPr>
          <w:rFonts w:ascii="Calibri" w:hAnsi="Calibri" w:cs="Calibri"/>
          <w:i/>
          <w:color w:val="000000"/>
        </w:rPr>
        <w:t>5 and 6</w:t>
      </w:r>
      <w:r w:rsidRPr="002E35F2">
        <w:rPr>
          <w:rFonts w:ascii="Calibri" w:hAnsi="Calibri" w:cs="Calibri"/>
          <w:i/>
          <w:color w:val="000000"/>
        </w:rPr>
        <w:t xml:space="preserve">, </w:t>
      </w:r>
      <w:r w:rsidRPr="003739C6">
        <w:rPr>
          <w:rFonts w:ascii="Calibri" w:hAnsi="Calibri" w:cs="Calibri"/>
          <w:i/>
          <w:color w:val="000000"/>
          <w:u w:val="single"/>
        </w:rPr>
        <w:t xml:space="preserve">Table </w:t>
      </w:r>
      <w:r w:rsidR="0086154C">
        <w:rPr>
          <w:rFonts w:ascii="Calibri" w:hAnsi="Calibri" w:cs="Calibri"/>
          <w:i/>
          <w:color w:val="000000"/>
          <w:u w:val="single"/>
        </w:rPr>
        <w:t>2</w:t>
      </w:r>
      <w:r w:rsidRPr="003739C6">
        <w:rPr>
          <w:rFonts w:ascii="Calibri" w:hAnsi="Calibri" w:cs="Calibri"/>
          <w:i/>
          <w:color w:val="000000"/>
          <w:u w:val="single"/>
        </w:rPr>
        <w:t>:</w:t>
      </w:r>
      <w:r w:rsidRPr="002E35F2">
        <w:rPr>
          <w:rFonts w:ascii="Calibri" w:hAnsi="Calibri" w:cs="Calibri"/>
          <w:i/>
          <w:color w:val="000000"/>
        </w:rPr>
        <w:t xml:space="preserve"> Specific </w:t>
      </w:r>
      <w:r>
        <w:rPr>
          <w:rFonts w:ascii="Calibri" w:hAnsi="Calibri" w:cs="Calibri"/>
          <w:i/>
          <w:color w:val="000000"/>
        </w:rPr>
        <w:t>A</w:t>
      </w:r>
      <w:r w:rsidRPr="002E35F2">
        <w:rPr>
          <w:rFonts w:ascii="Calibri" w:hAnsi="Calibri" w:cs="Calibri"/>
          <w:i/>
          <w:color w:val="000000"/>
        </w:rPr>
        <w:t>ctivities</w:t>
      </w:r>
      <w:r>
        <w:rPr>
          <w:rFonts w:ascii="Calibri" w:hAnsi="Calibri" w:cs="Calibri"/>
          <w:i/>
          <w:color w:val="000000"/>
        </w:rPr>
        <w:t xml:space="preserve">, </w:t>
      </w:r>
      <w:r w:rsidRPr="003739C6">
        <w:rPr>
          <w:rFonts w:ascii="Calibri" w:hAnsi="Calibri" w:cs="Calibri"/>
          <w:color w:val="000000"/>
        </w:rPr>
        <w:t>and</w:t>
      </w:r>
      <w:r>
        <w:rPr>
          <w:rFonts w:ascii="Calibri" w:hAnsi="Calibri" w:cs="Calibri"/>
          <w:i/>
          <w:color w:val="000000"/>
        </w:rPr>
        <w:t xml:space="preserve"> </w:t>
      </w:r>
      <w:r w:rsidRPr="003739C6">
        <w:rPr>
          <w:rFonts w:ascii="Calibri" w:hAnsi="Calibri" w:cs="Calibri"/>
          <w:i/>
          <w:color w:val="000000"/>
          <w:u w:val="single"/>
        </w:rPr>
        <w:t xml:space="preserve">Table </w:t>
      </w:r>
      <w:r w:rsidR="004A799A">
        <w:rPr>
          <w:rFonts w:ascii="Calibri" w:hAnsi="Calibri" w:cs="Calibri"/>
          <w:i/>
          <w:color w:val="000000"/>
          <w:u w:val="single"/>
        </w:rPr>
        <w:t>4</w:t>
      </w:r>
      <w:r w:rsidRPr="003739C6">
        <w:rPr>
          <w:rFonts w:ascii="Calibri" w:hAnsi="Calibri" w:cs="Calibri"/>
          <w:i/>
          <w:color w:val="000000"/>
          <w:u w:val="single"/>
        </w:rPr>
        <w:t>:</w:t>
      </w:r>
      <w:r w:rsidRPr="00902FAB">
        <w:rPr>
          <w:rFonts w:ascii="Calibri" w:hAnsi="Calibri" w:cs="Calibri"/>
          <w:i/>
          <w:color w:val="000000"/>
        </w:rPr>
        <w:t xml:space="preserve"> </w:t>
      </w:r>
      <w:r w:rsidR="004A799A">
        <w:rPr>
          <w:rFonts w:ascii="Calibri" w:hAnsi="Calibri" w:cs="Calibri"/>
          <w:i/>
          <w:color w:val="000000"/>
        </w:rPr>
        <w:t>Schedule of payment and means of verification</w:t>
      </w:r>
      <w:r>
        <w:rPr>
          <w:rFonts w:ascii="Calibri" w:hAnsi="Calibri" w:cs="Calibri"/>
          <w:i/>
          <w:color w:val="000000"/>
        </w:rPr>
        <w:t>;</w:t>
      </w:r>
      <w:r w:rsidRPr="00165D3A">
        <w:rPr>
          <w:rFonts w:ascii="Calibri" w:hAnsi="Calibri" w:cs="Calibri"/>
          <w:color w:val="000000"/>
        </w:rPr>
        <w:t xml:space="preserve"> </w:t>
      </w:r>
    </w:p>
    <w:p w14:paraId="03F67E78" w14:textId="77777777" w:rsidR="00413C00" w:rsidRPr="00165D3A" w:rsidRDefault="00413C00" w:rsidP="003D76FC">
      <w:pPr>
        <w:numPr>
          <w:ilvl w:val="0"/>
          <w:numId w:val="7"/>
        </w:numPr>
        <w:spacing w:after="0" w:line="259" w:lineRule="auto"/>
        <w:contextualSpacing/>
        <w:jc w:val="both"/>
        <w:rPr>
          <w:rFonts w:ascii="Calibri" w:hAnsi="Calibri" w:cs="Calibri"/>
          <w:color w:val="000000"/>
        </w:rPr>
      </w:pPr>
      <w:r w:rsidRPr="00165D3A">
        <w:rPr>
          <w:rFonts w:ascii="Calibri" w:hAnsi="Calibri" w:cs="Calibri"/>
          <w:color w:val="000000"/>
        </w:rPr>
        <w:t xml:space="preserve">Description of </w:t>
      </w:r>
      <w:r>
        <w:rPr>
          <w:rFonts w:ascii="Calibri" w:hAnsi="Calibri" w:cs="Calibri"/>
          <w:color w:val="000000"/>
        </w:rPr>
        <w:t xml:space="preserve">organizational </w:t>
      </w:r>
      <w:r w:rsidRPr="00165D3A">
        <w:rPr>
          <w:rFonts w:ascii="Calibri" w:hAnsi="Calibri" w:cs="Calibri"/>
          <w:color w:val="000000"/>
        </w:rPr>
        <w:t>capabilities and related experience</w:t>
      </w:r>
      <w:r>
        <w:rPr>
          <w:rFonts w:ascii="Calibri" w:hAnsi="Calibri" w:cs="Calibri"/>
          <w:color w:val="000000"/>
        </w:rPr>
        <w:t>s;</w:t>
      </w:r>
      <w:r w:rsidRPr="00165D3A">
        <w:rPr>
          <w:rFonts w:ascii="Calibri" w:hAnsi="Calibri" w:cs="Calibri"/>
          <w:color w:val="000000"/>
        </w:rPr>
        <w:t xml:space="preserve">  </w:t>
      </w:r>
    </w:p>
    <w:p w14:paraId="225E69C2" w14:textId="77777777" w:rsidR="00413C00" w:rsidRPr="00165D3A" w:rsidRDefault="00413C00" w:rsidP="003D76FC">
      <w:pPr>
        <w:numPr>
          <w:ilvl w:val="0"/>
          <w:numId w:val="7"/>
        </w:numPr>
        <w:spacing w:after="0" w:line="259" w:lineRule="auto"/>
        <w:contextualSpacing/>
        <w:jc w:val="both"/>
        <w:rPr>
          <w:rFonts w:ascii="Calibri" w:hAnsi="Calibri" w:cs="Calibri"/>
          <w:color w:val="000000"/>
        </w:rPr>
      </w:pPr>
      <w:r w:rsidRPr="00165D3A">
        <w:rPr>
          <w:rFonts w:ascii="Calibri" w:hAnsi="Calibri" w:cs="Calibri"/>
          <w:color w:val="000000"/>
        </w:rPr>
        <w:t xml:space="preserve">Proposed </w:t>
      </w:r>
      <w:r>
        <w:rPr>
          <w:rFonts w:ascii="Calibri" w:hAnsi="Calibri" w:cs="Calibri"/>
          <w:color w:val="000000"/>
        </w:rPr>
        <w:t>s</w:t>
      </w:r>
      <w:r w:rsidRPr="00165D3A">
        <w:rPr>
          <w:rFonts w:ascii="Calibri" w:hAnsi="Calibri" w:cs="Calibri"/>
          <w:color w:val="000000"/>
        </w:rPr>
        <w:t xml:space="preserve">taff members who will be assigned to this </w:t>
      </w:r>
      <w:r>
        <w:rPr>
          <w:rFonts w:ascii="Calibri" w:hAnsi="Calibri" w:cs="Calibri"/>
          <w:color w:val="000000"/>
        </w:rPr>
        <w:t>assignment, including the</w:t>
      </w:r>
      <w:r w:rsidRPr="00165D3A">
        <w:rPr>
          <w:rFonts w:ascii="Calibri" w:hAnsi="Calibri" w:cs="Calibri"/>
          <w:color w:val="000000"/>
        </w:rPr>
        <w:t xml:space="preserve"> percentage of time</w:t>
      </w:r>
      <w:r>
        <w:rPr>
          <w:rFonts w:ascii="Calibri" w:hAnsi="Calibri" w:cs="Calibri"/>
          <w:color w:val="000000"/>
        </w:rPr>
        <w:t xml:space="preserve"> to be devoted for</w:t>
      </w:r>
      <w:r w:rsidRPr="00165D3A">
        <w:rPr>
          <w:rFonts w:ascii="Calibri" w:hAnsi="Calibri" w:cs="Calibri"/>
          <w:color w:val="000000"/>
        </w:rPr>
        <w:t xml:space="preserve"> this </w:t>
      </w:r>
      <w:r w:rsidRPr="00415EC6">
        <w:rPr>
          <w:rFonts w:ascii="Calibri" w:hAnsi="Calibri" w:cs="Calibri"/>
          <w:color w:val="000000"/>
        </w:rPr>
        <w:t>assignment</w:t>
      </w:r>
      <w:r w:rsidRPr="00165D3A">
        <w:rPr>
          <w:rFonts w:ascii="Calibri" w:hAnsi="Calibri" w:cs="Calibri"/>
          <w:color w:val="000000"/>
        </w:rPr>
        <w:t xml:space="preserve"> and </w:t>
      </w:r>
      <w:r>
        <w:rPr>
          <w:rFonts w:ascii="Calibri" w:hAnsi="Calibri" w:cs="Calibri"/>
          <w:color w:val="000000"/>
        </w:rPr>
        <w:t xml:space="preserve">the </w:t>
      </w:r>
      <w:r w:rsidRPr="00165D3A">
        <w:rPr>
          <w:rFonts w:ascii="Calibri" w:hAnsi="Calibri" w:cs="Calibri"/>
          <w:color w:val="000000"/>
        </w:rPr>
        <w:t>description of staff experience</w:t>
      </w:r>
      <w:r>
        <w:rPr>
          <w:rFonts w:ascii="Calibri" w:hAnsi="Calibri" w:cs="Calibri"/>
          <w:color w:val="000000"/>
        </w:rPr>
        <w:t xml:space="preserve">. The CVs of the proposed personnel should include signed confirmation of their availability for the assignment. The CVs should be </w:t>
      </w:r>
      <w:r w:rsidRPr="007F0B0F">
        <w:rPr>
          <w:rFonts w:ascii="Calibri" w:hAnsi="Calibri" w:cs="Calibri"/>
          <w:color w:val="000000"/>
        </w:rPr>
        <w:t>submitted as Annex and</w:t>
      </w:r>
      <w:r>
        <w:rPr>
          <w:rFonts w:ascii="Calibri" w:hAnsi="Calibri" w:cs="Calibri"/>
          <w:color w:val="000000"/>
        </w:rPr>
        <w:t xml:space="preserve"> maximum three pages should be allocated for each CV;</w:t>
      </w:r>
    </w:p>
    <w:p w14:paraId="1B0BF8BE" w14:textId="77777777" w:rsidR="00413C00" w:rsidRPr="003739C6" w:rsidRDefault="00413C00" w:rsidP="003D76FC">
      <w:pPr>
        <w:pStyle w:val="ListParagraph"/>
        <w:numPr>
          <w:ilvl w:val="0"/>
          <w:numId w:val="7"/>
        </w:numPr>
        <w:spacing w:after="0" w:line="259" w:lineRule="auto"/>
        <w:jc w:val="both"/>
      </w:pPr>
      <w:r w:rsidRPr="00165D3A">
        <w:rPr>
          <w:rFonts w:ascii="Calibri" w:hAnsi="Calibri" w:cs="Calibri"/>
          <w:color w:val="000000"/>
        </w:rPr>
        <w:t>References: please include names, contact numbers and the main type</w:t>
      </w:r>
      <w:r>
        <w:rPr>
          <w:rFonts w:ascii="Calibri" w:hAnsi="Calibri" w:cs="Calibri"/>
          <w:color w:val="000000"/>
        </w:rPr>
        <w:t>s</w:t>
      </w:r>
      <w:r w:rsidRPr="00165D3A">
        <w:rPr>
          <w:rFonts w:ascii="Calibri" w:hAnsi="Calibri" w:cs="Calibri"/>
          <w:color w:val="000000"/>
        </w:rPr>
        <w:t xml:space="preserve"> of services that your </w:t>
      </w:r>
      <w:r>
        <w:rPr>
          <w:rFonts w:ascii="Calibri" w:hAnsi="Calibri" w:cs="Calibri"/>
          <w:color w:val="000000"/>
        </w:rPr>
        <w:t>organization</w:t>
      </w:r>
      <w:r w:rsidRPr="00165D3A">
        <w:rPr>
          <w:rFonts w:ascii="Calibri" w:hAnsi="Calibri" w:cs="Calibri"/>
          <w:color w:val="000000"/>
        </w:rPr>
        <w:t xml:space="preserve"> provides/provided </w:t>
      </w:r>
      <w:r>
        <w:rPr>
          <w:rFonts w:ascii="Calibri" w:hAnsi="Calibri" w:cs="Calibri"/>
          <w:color w:val="000000"/>
        </w:rPr>
        <w:t xml:space="preserve">for the current and </w:t>
      </w:r>
      <w:r w:rsidRPr="00165D3A">
        <w:rPr>
          <w:rFonts w:ascii="Calibri" w:hAnsi="Calibri" w:cs="Calibri"/>
          <w:color w:val="000000"/>
        </w:rPr>
        <w:t>former clients.</w:t>
      </w:r>
    </w:p>
    <w:p w14:paraId="35524C84" w14:textId="77777777" w:rsidR="00413C00" w:rsidRPr="002E35F2" w:rsidRDefault="00413C00" w:rsidP="003D76FC">
      <w:pPr>
        <w:pStyle w:val="ListParagraph"/>
        <w:spacing w:after="0" w:line="259" w:lineRule="auto"/>
        <w:jc w:val="both"/>
      </w:pPr>
    </w:p>
    <w:p w14:paraId="314E4656" w14:textId="22D946B8" w:rsidR="00413C00" w:rsidRDefault="00413C00" w:rsidP="003D76FC">
      <w:pPr>
        <w:spacing w:after="0" w:line="259" w:lineRule="auto"/>
        <w:jc w:val="both"/>
      </w:pPr>
      <w:r>
        <w:t>Along with the technical proposal, t</w:t>
      </w:r>
      <w:r w:rsidRPr="00CE4C76">
        <w:t xml:space="preserve">he bidder is required to submit a </w:t>
      </w:r>
      <w:r>
        <w:t>financial</w:t>
      </w:r>
      <w:r w:rsidRPr="00CE4C76">
        <w:t xml:space="preserve"> proposal</w:t>
      </w:r>
      <w:r w:rsidR="00513731">
        <w:t xml:space="preserve"> as a separate PDF file</w:t>
      </w:r>
      <w:r w:rsidRPr="00CE4C76">
        <w:t xml:space="preserve">. </w:t>
      </w:r>
      <w:r>
        <w:t xml:space="preserve">The financial proposal </w:t>
      </w:r>
      <w:r w:rsidRPr="004101F1">
        <w:t xml:space="preserve">will be opened only for the agencies scoring </w:t>
      </w:r>
      <w:r>
        <w:t>70% and above in the technical proposal. The financial proposal would be evaluated based on</w:t>
      </w:r>
      <w:r w:rsidRPr="004101F1">
        <w:t>:</w:t>
      </w:r>
    </w:p>
    <w:p w14:paraId="22ED17AD" w14:textId="77777777" w:rsidR="00413C00" w:rsidRDefault="00413C00" w:rsidP="003D76FC">
      <w:pPr>
        <w:spacing w:after="0" w:line="259" w:lineRule="auto"/>
        <w:jc w:val="both"/>
      </w:pPr>
    </w:p>
    <w:p w14:paraId="7CB217CB" w14:textId="77777777" w:rsidR="00413C00" w:rsidRDefault="00413C00" w:rsidP="003D76FC">
      <w:pPr>
        <w:pStyle w:val="ListParagraph"/>
        <w:numPr>
          <w:ilvl w:val="0"/>
          <w:numId w:val="8"/>
        </w:numPr>
        <w:spacing w:line="259" w:lineRule="auto"/>
        <w:jc w:val="both"/>
      </w:pPr>
      <w:r>
        <w:t>C</w:t>
      </w:r>
      <w:r w:rsidRPr="004101F1">
        <w:t>ompetitiveness of the financial offer</w:t>
      </w:r>
      <w:r>
        <w:t>;</w:t>
      </w:r>
    </w:p>
    <w:p w14:paraId="5747BFAE" w14:textId="77777777" w:rsidR="00413C00" w:rsidRDefault="00413C00" w:rsidP="003D76FC">
      <w:pPr>
        <w:pStyle w:val="ListParagraph"/>
        <w:numPr>
          <w:ilvl w:val="0"/>
          <w:numId w:val="8"/>
        </w:numPr>
        <w:spacing w:line="259" w:lineRule="auto"/>
        <w:jc w:val="both"/>
      </w:pPr>
      <w:r>
        <w:t xml:space="preserve">Relevance and consistency with the technical proposal. </w:t>
      </w:r>
    </w:p>
    <w:p w14:paraId="769156A4" w14:textId="77777777" w:rsidR="00413C00" w:rsidRPr="003739C6" w:rsidRDefault="00413C00" w:rsidP="003D76FC">
      <w:pPr>
        <w:pStyle w:val="ListParagraph"/>
        <w:spacing w:line="259" w:lineRule="auto"/>
        <w:jc w:val="both"/>
      </w:pPr>
    </w:p>
    <w:p w14:paraId="40B5C904" w14:textId="77777777" w:rsidR="00413C00" w:rsidRPr="003739C6" w:rsidRDefault="00413C00" w:rsidP="003D76FC">
      <w:pPr>
        <w:pStyle w:val="Heading1"/>
        <w:spacing w:before="0" w:after="200" w:line="259" w:lineRule="auto"/>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8</w:t>
      </w:r>
      <w:r w:rsidRPr="003739C6">
        <w:rPr>
          <w:rFonts w:asciiTheme="minorHAnsi" w:eastAsiaTheme="minorHAnsi" w:hAnsiTheme="minorHAnsi" w:cs="Calibri-Bold"/>
          <w:bCs/>
          <w:color w:val="00338D"/>
          <w:sz w:val="28"/>
          <w:szCs w:val="28"/>
          <w:lang w:val="en-GB" w:eastAsia="en-GB"/>
        </w:rPr>
        <w:t xml:space="preserve">. Scoring criteria </w:t>
      </w:r>
    </w:p>
    <w:p w14:paraId="18ED669D" w14:textId="33185767" w:rsidR="00413C00" w:rsidRPr="00BB62B6" w:rsidRDefault="00413C00" w:rsidP="003D76FC">
      <w:pPr>
        <w:spacing w:after="0" w:line="259" w:lineRule="auto"/>
        <w:contextualSpacing/>
        <w:jc w:val="both"/>
        <w:rPr>
          <w:rFonts w:ascii="Calibri" w:eastAsia="Calibri" w:hAnsi="Calibri" w:cs="Vrinda"/>
        </w:rPr>
      </w:pPr>
      <w:r w:rsidRPr="00BB62B6">
        <w:rPr>
          <w:rFonts w:ascii="Calibri" w:eastAsia="Calibri" w:hAnsi="Calibri" w:cs="Vrinda"/>
        </w:rPr>
        <w:t>The scoring criteria will be as follows:</w:t>
      </w:r>
    </w:p>
    <w:p w14:paraId="47DDEBAD" w14:textId="77777777" w:rsidR="004A799A" w:rsidRPr="00BB62B6" w:rsidRDefault="004A799A" w:rsidP="003D76FC">
      <w:pPr>
        <w:spacing w:after="0" w:line="259" w:lineRule="auto"/>
        <w:contextualSpacing/>
        <w:jc w:val="both"/>
        <w:rPr>
          <w:rFonts w:ascii="Calibri" w:eastAsia="Calibri" w:hAnsi="Calibri" w:cs="Vrinda"/>
        </w:rPr>
      </w:pPr>
    </w:p>
    <w:p w14:paraId="5014D9C0" w14:textId="597C5AF9" w:rsidR="004A799A" w:rsidRPr="00E17B47" w:rsidRDefault="004A799A" w:rsidP="003D76FC">
      <w:pPr>
        <w:keepNext/>
        <w:spacing w:after="0" w:line="259" w:lineRule="auto"/>
        <w:jc w:val="both"/>
        <w:rPr>
          <w:rFonts w:eastAsia="Times New Roman" w:cstheme="minorHAnsi"/>
          <w:color w:val="1F4E79" w:themeColor="accent5" w:themeShade="80"/>
          <w:sz w:val="20"/>
          <w:szCs w:val="20"/>
          <w:lang w:eastAsia="en-GB"/>
        </w:rPr>
      </w:pPr>
      <w:r w:rsidRPr="00E17B47">
        <w:rPr>
          <w:rFonts w:eastAsia="Times New Roman" w:cstheme="minorHAnsi"/>
          <w:color w:val="1F4E79" w:themeColor="accent5" w:themeShade="80"/>
          <w:sz w:val="20"/>
          <w:szCs w:val="20"/>
          <w:lang w:eastAsia="en-GB"/>
        </w:rPr>
        <w:t xml:space="preserve">Table 5: Selection </w:t>
      </w:r>
      <w:r w:rsidR="00613EA1" w:rsidRPr="00E17B47">
        <w:rPr>
          <w:rFonts w:eastAsia="Times New Roman" w:cstheme="minorHAnsi"/>
          <w:color w:val="1F4E79" w:themeColor="accent5" w:themeShade="80"/>
          <w:sz w:val="20"/>
          <w:szCs w:val="20"/>
          <w:lang w:eastAsia="en-GB"/>
        </w:rPr>
        <w:t>C</w:t>
      </w:r>
      <w:r w:rsidRPr="00E17B47">
        <w:rPr>
          <w:rFonts w:eastAsia="Times New Roman" w:cstheme="minorHAnsi"/>
          <w:color w:val="1F4E79" w:themeColor="accent5" w:themeShade="80"/>
          <w:sz w:val="20"/>
          <w:szCs w:val="20"/>
          <w:lang w:eastAsia="en-GB"/>
        </w:rPr>
        <w:t xml:space="preserve">riteria for </w:t>
      </w:r>
      <w:r w:rsidR="00613EA1" w:rsidRPr="00E17B47">
        <w:rPr>
          <w:rFonts w:eastAsia="Times New Roman" w:cstheme="minorHAnsi"/>
          <w:color w:val="1F4E79" w:themeColor="accent5" w:themeShade="80"/>
          <w:sz w:val="20"/>
          <w:szCs w:val="20"/>
          <w:lang w:eastAsia="en-GB"/>
        </w:rPr>
        <w:t>E</w:t>
      </w:r>
      <w:r w:rsidRPr="00E17B47">
        <w:rPr>
          <w:rFonts w:eastAsia="Times New Roman" w:cstheme="minorHAnsi"/>
          <w:color w:val="1F4E79" w:themeColor="accent5" w:themeShade="80"/>
          <w:sz w:val="20"/>
          <w:szCs w:val="20"/>
          <w:lang w:eastAsia="en-GB"/>
        </w:rPr>
        <w:t xml:space="preserve">valuation of </w:t>
      </w:r>
      <w:r w:rsidR="00613EA1" w:rsidRPr="00E17B47">
        <w:rPr>
          <w:rFonts w:eastAsia="Times New Roman" w:cstheme="minorHAnsi"/>
          <w:color w:val="1F4E79" w:themeColor="accent5" w:themeShade="80"/>
          <w:sz w:val="20"/>
          <w:szCs w:val="20"/>
          <w:lang w:eastAsia="en-GB"/>
        </w:rPr>
        <w:t>T</w:t>
      </w:r>
      <w:r w:rsidRPr="00E17B47">
        <w:rPr>
          <w:rFonts w:eastAsia="Times New Roman" w:cstheme="minorHAnsi"/>
          <w:color w:val="1F4E79" w:themeColor="accent5" w:themeShade="80"/>
          <w:sz w:val="20"/>
          <w:szCs w:val="20"/>
          <w:lang w:eastAsia="en-GB"/>
        </w:rPr>
        <w:t xml:space="preserve">echnical </w:t>
      </w:r>
      <w:r w:rsidR="00613EA1" w:rsidRPr="00E17B47">
        <w:rPr>
          <w:rFonts w:eastAsia="Times New Roman" w:cstheme="minorHAnsi"/>
          <w:color w:val="1F4E79" w:themeColor="accent5" w:themeShade="80"/>
          <w:sz w:val="20"/>
          <w:szCs w:val="20"/>
          <w:lang w:eastAsia="en-GB"/>
        </w:rPr>
        <w:t>P</w:t>
      </w:r>
      <w:r w:rsidRPr="00E17B47">
        <w:rPr>
          <w:rFonts w:eastAsia="Times New Roman" w:cstheme="minorHAnsi"/>
          <w:color w:val="1F4E79" w:themeColor="accent5" w:themeShade="80"/>
          <w:sz w:val="20"/>
          <w:szCs w:val="20"/>
          <w:lang w:eastAsia="en-GB"/>
        </w:rPr>
        <w:t>roposal</w:t>
      </w:r>
    </w:p>
    <w:p w14:paraId="66864570" w14:textId="77777777" w:rsidR="00413C00" w:rsidRPr="00BB62B6" w:rsidRDefault="00413C00" w:rsidP="003D76FC">
      <w:pPr>
        <w:spacing w:after="0" w:line="259" w:lineRule="auto"/>
        <w:jc w:val="both"/>
        <w:rPr>
          <w:rFonts w:ascii="Calibri" w:eastAsia="Calibri" w:hAnsi="Calibri" w:cs="Vrinda"/>
        </w:rPr>
      </w:pPr>
    </w:p>
    <w:tbl>
      <w:tblPr>
        <w:tblpPr w:leftFromText="180" w:rightFromText="180" w:vertAnchor="text" w:horzAnchor="margin" w:tblpY="-22"/>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6094"/>
        <w:gridCol w:w="3006"/>
      </w:tblGrid>
      <w:tr w:rsidR="00413C00" w:rsidRPr="00BB62B6" w14:paraId="203325D9" w14:textId="77777777" w:rsidTr="004A799A">
        <w:trPr>
          <w:trHeight w:val="278"/>
          <w:tblHeader/>
        </w:trPr>
        <w:tc>
          <w:tcPr>
            <w:tcW w:w="6094" w:type="dxa"/>
            <w:tcBorders>
              <w:top w:val="single" w:sz="4" w:space="0" w:color="FFFFFF"/>
              <w:left w:val="single" w:sz="4" w:space="0" w:color="FFFFFF"/>
              <w:bottom w:val="single" w:sz="4" w:space="0" w:color="FFFFFF"/>
              <w:right w:val="single" w:sz="4" w:space="0" w:color="FFFFFF"/>
            </w:tcBorders>
            <w:shd w:val="clear" w:color="auto" w:fill="1F497D"/>
          </w:tcPr>
          <w:p w14:paraId="4822C090" w14:textId="77777777" w:rsidR="00413C00" w:rsidRPr="00E17B47" w:rsidRDefault="00413C00" w:rsidP="003D76FC">
            <w:pPr>
              <w:spacing w:after="0" w:line="259" w:lineRule="auto"/>
              <w:jc w:val="both"/>
              <w:textAlignment w:val="center"/>
              <w:rPr>
                <w:rFonts w:ascii="Calibri" w:eastAsia="Times New Roman" w:hAnsi="Calibri" w:cs="Arial"/>
                <w:b/>
                <w:bCs/>
                <w:color w:val="FFFFFF"/>
                <w:sz w:val="20"/>
                <w:szCs w:val="20"/>
                <w:lang w:val="en-GB"/>
              </w:rPr>
            </w:pPr>
            <w:r w:rsidRPr="00E17B47">
              <w:rPr>
                <w:rFonts w:ascii="Calibri" w:eastAsia="Times New Roman" w:hAnsi="Calibri" w:cs="Arial"/>
                <w:b/>
                <w:bCs/>
                <w:color w:val="FFFFFF"/>
                <w:sz w:val="20"/>
                <w:szCs w:val="20"/>
                <w:lang w:val="en-GB"/>
              </w:rPr>
              <w:t>Criteria</w:t>
            </w:r>
          </w:p>
        </w:tc>
        <w:tc>
          <w:tcPr>
            <w:tcW w:w="3006" w:type="dxa"/>
            <w:tcBorders>
              <w:top w:val="single" w:sz="4" w:space="0" w:color="FFFFFF"/>
              <w:left w:val="single" w:sz="4" w:space="0" w:color="FFFFFF"/>
              <w:bottom w:val="single" w:sz="4" w:space="0" w:color="FFFFFF"/>
              <w:right w:val="single" w:sz="4" w:space="0" w:color="FFFFFF"/>
            </w:tcBorders>
            <w:shd w:val="clear" w:color="auto" w:fill="1F497D"/>
          </w:tcPr>
          <w:p w14:paraId="78423D36" w14:textId="77777777" w:rsidR="00413C00" w:rsidRPr="00E17B47" w:rsidRDefault="00413C00" w:rsidP="003D76FC">
            <w:pPr>
              <w:spacing w:after="0" w:line="259" w:lineRule="auto"/>
              <w:jc w:val="both"/>
              <w:textAlignment w:val="center"/>
              <w:rPr>
                <w:rFonts w:ascii="Calibri" w:eastAsia="Times New Roman" w:hAnsi="Calibri" w:cs="Arial"/>
                <w:b/>
                <w:bCs/>
                <w:color w:val="FFFFFF"/>
                <w:sz w:val="20"/>
                <w:szCs w:val="20"/>
                <w:lang w:val="en-GB"/>
              </w:rPr>
            </w:pPr>
            <w:r w:rsidRPr="00E17B47">
              <w:rPr>
                <w:rFonts w:ascii="Calibri" w:eastAsia="Times New Roman" w:hAnsi="Calibri" w:cs="Arial"/>
                <w:b/>
                <w:bCs/>
                <w:color w:val="FFFFFF"/>
                <w:sz w:val="20"/>
                <w:szCs w:val="20"/>
                <w:lang w:val="en-GB"/>
              </w:rPr>
              <w:t>Weight</w:t>
            </w:r>
          </w:p>
        </w:tc>
      </w:tr>
      <w:tr w:rsidR="00413C00" w:rsidRPr="00BB62B6" w14:paraId="11DD3099" w14:textId="77777777" w:rsidTr="004A799A">
        <w:trPr>
          <w:trHeight w:val="278"/>
        </w:trPr>
        <w:tc>
          <w:tcPr>
            <w:tcW w:w="6094" w:type="dxa"/>
            <w:tcBorders>
              <w:top w:val="single" w:sz="4" w:space="0" w:color="FFFFFF"/>
              <w:left w:val="single" w:sz="4" w:space="0" w:color="FFFFFF"/>
              <w:bottom w:val="single" w:sz="4" w:space="0" w:color="FFFFFF"/>
              <w:right w:val="single" w:sz="4" w:space="0" w:color="FFFFFF"/>
            </w:tcBorders>
            <w:shd w:val="clear" w:color="auto" w:fill="B8CCE4"/>
          </w:tcPr>
          <w:p w14:paraId="653FB897"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Background and experience of the bidder</w:t>
            </w:r>
          </w:p>
        </w:tc>
        <w:tc>
          <w:tcPr>
            <w:tcW w:w="3006" w:type="dxa"/>
            <w:tcBorders>
              <w:top w:val="single" w:sz="4" w:space="0" w:color="FFFFFF"/>
              <w:left w:val="single" w:sz="4" w:space="0" w:color="FFFFFF"/>
              <w:bottom w:val="single" w:sz="4" w:space="0" w:color="FFFFFF"/>
              <w:right w:val="single" w:sz="4" w:space="0" w:color="FFFFFF"/>
            </w:tcBorders>
            <w:shd w:val="clear" w:color="auto" w:fill="B8CCE4"/>
          </w:tcPr>
          <w:p w14:paraId="589972FD"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15</w:t>
            </w:r>
          </w:p>
        </w:tc>
      </w:tr>
      <w:tr w:rsidR="00413C00" w:rsidRPr="00BB62B6" w14:paraId="2DD10822" w14:textId="77777777" w:rsidTr="004A799A">
        <w:trPr>
          <w:trHeight w:val="278"/>
        </w:trPr>
        <w:tc>
          <w:tcPr>
            <w:tcW w:w="6094" w:type="dxa"/>
            <w:tcBorders>
              <w:top w:val="single" w:sz="4" w:space="0" w:color="FFFFFF"/>
              <w:left w:val="single" w:sz="4" w:space="0" w:color="FFFFFF"/>
              <w:bottom w:val="single" w:sz="4" w:space="0" w:color="FFFFFF"/>
              <w:right w:val="single" w:sz="4" w:space="0" w:color="FFFFFF"/>
            </w:tcBorders>
            <w:shd w:val="clear" w:color="auto" w:fill="DBE5F1"/>
          </w:tcPr>
          <w:p w14:paraId="6D9E2B81"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 xml:space="preserve">Personnel involved in the assignment </w:t>
            </w:r>
          </w:p>
        </w:tc>
        <w:tc>
          <w:tcPr>
            <w:tcW w:w="3006" w:type="dxa"/>
            <w:tcBorders>
              <w:top w:val="single" w:sz="4" w:space="0" w:color="FFFFFF"/>
              <w:left w:val="single" w:sz="4" w:space="0" w:color="FFFFFF"/>
              <w:bottom w:val="single" w:sz="4" w:space="0" w:color="FFFFFF"/>
              <w:right w:val="single" w:sz="4" w:space="0" w:color="FFFFFF"/>
            </w:tcBorders>
            <w:shd w:val="clear" w:color="auto" w:fill="DBE5F1"/>
          </w:tcPr>
          <w:p w14:paraId="67F7F078"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15</w:t>
            </w:r>
          </w:p>
        </w:tc>
      </w:tr>
      <w:tr w:rsidR="00413C00" w:rsidRPr="00BB62B6" w14:paraId="2CB95612" w14:textId="77777777" w:rsidTr="004A799A">
        <w:trPr>
          <w:trHeight w:val="278"/>
        </w:trPr>
        <w:tc>
          <w:tcPr>
            <w:tcW w:w="6094" w:type="dxa"/>
            <w:tcBorders>
              <w:top w:val="single" w:sz="4" w:space="0" w:color="FFFFFF"/>
              <w:left w:val="single" w:sz="4" w:space="0" w:color="FFFFFF"/>
              <w:bottom w:val="single" w:sz="4" w:space="0" w:color="FFFFFF"/>
              <w:right w:val="single" w:sz="4" w:space="0" w:color="FFFFFF"/>
            </w:tcBorders>
            <w:shd w:val="clear" w:color="auto" w:fill="B8CCE4"/>
          </w:tcPr>
          <w:p w14:paraId="4731C057"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Strategic thinking and technical knowledge</w:t>
            </w:r>
          </w:p>
        </w:tc>
        <w:tc>
          <w:tcPr>
            <w:tcW w:w="3006" w:type="dxa"/>
            <w:tcBorders>
              <w:top w:val="single" w:sz="4" w:space="0" w:color="FFFFFF"/>
              <w:left w:val="single" w:sz="4" w:space="0" w:color="FFFFFF"/>
              <w:bottom w:val="single" w:sz="4" w:space="0" w:color="FFFFFF"/>
              <w:right w:val="single" w:sz="4" w:space="0" w:color="FFFFFF"/>
            </w:tcBorders>
            <w:shd w:val="clear" w:color="auto" w:fill="B8CCE4"/>
          </w:tcPr>
          <w:p w14:paraId="5AACA817"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20</w:t>
            </w:r>
          </w:p>
        </w:tc>
      </w:tr>
      <w:tr w:rsidR="00413C00" w:rsidRPr="00BB62B6" w14:paraId="0F3CC5A6" w14:textId="77777777" w:rsidTr="004A799A">
        <w:trPr>
          <w:trHeight w:val="278"/>
        </w:trPr>
        <w:tc>
          <w:tcPr>
            <w:tcW w:w="6094"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Pr>
          <w:p w14:paraId="5D27B09A"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 xml:space="preserve">Efficiency of the proposed work plan </w:t>
            </w:r>
          </w:p>
        </w:tc>
        <w:tc>
          <w:tcPr>
            <w:tcW w:w="300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tcPr>
          <w:p w14:paraId="56AEE966" w14:textId="77777777" w:rsidR="00413C00" w:rsidRPr="00E17B47" w:rsidRDefault="00413C00" w:rsidP="003D76FC">
            <w:pPr>
              <w:spacing w:after="0" w:line="259" w:lineRule="auto"/>
              <w:jc w:val="both"/>
              <w:textAlignment w:val="center"/>
              <w:rPr>
                <w:rFonts w:ascii="Calibri" w:eastAsia="Times New Roman" w:hAnsi="Calibri" w:cs="Arial"/>
                <w:sz w:val="20"/>
                <w:szCs w:val="20"/>
                <w:lang w:val="en-GB"/>
              </w:rPr>
            </w:pPr>
            <w:r w:rsidRPr="00E17B47">
              <w:rPr>
                <w:rFonts w:ascii="Calibri" w:eastAsia="Times New Roman" w:hAnsi="Calibri" w:cs="Arial"/>
                <w:sz w:val="20"/>
                <w:szCs w:val="20"/>
                <w:lang w:val="en-GB"/>
              </w:rPr>
              <w:t>20</w:t>
            </w:r>
          </w:p>
        </w:tc>
      </w:tr>
      <w:tr w:rsidR="00413C00" w:rsidRPr="00BB62B6" w14:paraId="3955A4FE" w14:textId="77777777" w:rsidTr="004A799A">
        <w:trPr>
          <w:trHeight w:val="278"/>
        </w:trPr>
        <w:tc>
          <w:tcPr>
            <w:tcW w:w="6094" w:type="dxa"/>
            <w:tcBorders>
              <w:top w:val="single" w:sz="4" w:space="0" w:color="FFFFFF"/>
            </w:tcBorders>
            <w:shd w:val="clear" w:color="auto" w:fill="365F91"/>
          </w:tcPr>
          <w:p w14:paraId="297731BF" w14:textId="77777777" w:rsidR="00413C00" w:rsidRPr="00E17B47" w:rsidRDefault="00413C00" w:rsidP="003D76FC">
            <w:pPr>
              <w:spacing w:after="0" w:line="259" w:lineRule="auto"/>
              <w:jc w:val="both"/>
              <w:textAlignment w:val="center"/>
              <w:rPr>
                <w:rFonts w:ascii="Calibri" w:eastAsia="Times New Roman" w:hAnsi="Calibri" w:cs="Arial"/>
                <w:b/>
                <w:bCs/>
                <w:color w:val="FFFFFF"/>
                <w:sz w:val="20"/>
                <w:szCs w:val="20"/>
                <w:lang w:val="en-GB"/>
              </w:rPr>
            </w:pPr>
            <w:r w:rsidRPr="00E17B47">
              <w:rPr>
                <w:rFonts w:ascii="Calibri" w:eastAsia="Times New Roman" w:hAnsi="Calibri" w:cs="Arial"/>
                <w:b/>
                <w:bCs/>
                <w:color w:val="FFFFFF"/>
                <w:sz w:val="20"/>
                <w:szCs w:val="20"/>
                <w:lang w:val="en-GB"/>
              </w:rPr>
              <w:t>Total</w:t>
            </w:r>
          </w:p>
        </w:tc>
        <w:tc>
          <w:tcPr>
            <w:tcW w:w="3006" w:type="dxa"/>
            <w:tcBorders>
              <w:top w:val="single" w:sz="4" w:space="0" w:color="FFFFFF"/>
            </w:tcBorders>
            <w:shd w:val="clear" w:color="auto" w:fill="365F91"/>
          </w:tcPr>
          <w:p w14:paraId="5CBC27F4" w14:textId="77777777" w:rsidR="00413C00" w:rsidRPr="00E17B47" w:rsidRDefault="00413C00" w:rsidP="003D76FC">
            <w:pPr>
              <w:keepNext/>
              <w:spacing w:after="0" w:line="259" w:lineRule="auto"/>
              <w:jc w:val="both"/>
              <w:textAlignment w:val="center"/>
              <w:rPr>
                <w:rFonts w:ascii="Calibri" w:eastAsia="Times New Roman" w:hAnsi="Calibri" w:cs="Arial"/>
                <w:b/>
                <w:bCs/>
                <w:color w:val="FFFFFF"/>
                <w:sz w:val="20"/>
                <w:szCs w:val="20"/>
                <w:lang w:val="en-GB"/>
              </w:rPr>
            </w:pPr>
            <w:r w:rsidRPr="00E17B47">
              <w:rPr>
                <w:rFonts w:ascii="Calibri" w:eastAsia="Times New Roman" w:hAnsi="Calibri" w:cs="Arial"/>
                <w:b/>
                <w:bCs/>
                <w:color w:val="FFFFFF"/>
                <w:sz w:val="20"/>
                <w:szCs w:val="20"/>
                <w:lang w:val="en-GB"/>
              </w:rPr>
              <w:t>70</w:t>
            </w:r>
          </w:p>
        </w:tc>
      </w:tr>
    </w:tbl>
    <w:p w14:paraId="3C21A24E" w14:textId="77777777" w:rsidR="00BB62B6" w:rsidRPr="00BB62B6" w:rsidRDefault="00BB62B6" w:rsidP="00BB62B6">
      <w:pPr>
        <w:keepNext/>
        <w:spacing w:after="0" w:line="259" w:lineRule="auto"/>
        <w:jc w:val="both"/>
        <w:rPr>
          <w:rFonts w:ascii="Calibri" w:eastAsia="Calibri" w:hAnsi="Calibri" w:cs="Vrinda"/>
          <w:i/>
          <w:iCs/>
          <w:color w:val="17406D"/>
          <w:sz w:val="18"/>
          <w:szCs w:val="18"/>
        </w:rPr>
      </w:pPr>
    </w:p>
    <w:p w14:paraId="1ECD9347" w14:textId="77777777" w:rsidR="00413C00" w:rsidRDefault="00413C00" w:rsidP="003D76FC">
      <w:pPr>
        <w:spacing w:after="0" w:line="259" w:lineRule="auto"/>
        <w:jc w:val="both"/>
        <w:rPr>
          <w:rFonts w:ascii="Calibri" w:eastAsia="Calibri" w:hAnsi="Calibri" w:cs="Vrinda"/>
        </w:rPr>
      </w:pPr>
      <w:r w:rsidRPr="00E576DC">
        <w:rPr>
          <w:rFonts w:ascii="Calibri" w:eastAsia="Calibri" w:hAnsi="Calibri" w:cs="Vrinda"/>
        </w:rPr>
        <w:t>The following criteria will be applicable for evaluation of the potential firm</w:t>
      </w:r>
      <w:r w:rsidRPr="00E576DC">
        <w:rPr>
          <w:rFonts w:ascii="Calibri" w:eastAsia="Calibri" w:hAnsi="Calibri" w:cs="Vrinda"/>
          <w:vertAlign w:val="superscript"/>
        </w:rPr>
        <w:footnoteReference w:id="4"/>
      </w:r>
      <w:r w:rsidRPr="00E576DC">
        <w:rPr>
          <w:rFonts w:ascii="Calibri" w:eastAsia="Calibri" w:hAnsi="Calibri" w:cs="Vrinda"/>
        </w:rPr>
        <w:t xml:space="preserve">: </w:t>
      </w:r>
    </w:p>
    <w:p w14:paraId="4F97BFFE" w14:textId="758C3067" w:rsidR="00413C00" w:rsidRPr="00E576DC" w:rsidRDefault="00413C00" w:rsidP="003D76FC">
      <w:pPr>
        <w:numPr>
          <w:ilvl w:val="0"/>
          <w:numId w:val="9"/>
        </w:numPr>
        <w:spacing w:after="0" w:line="259" w:lineRule="auto"/>
        <w:contextualSpacing/>
        <w:jc w:val="both"/>
        <w:rPr>
          <w:rFonts w:ascii="Calibri" w:eastAsia="Calibri" w:hAnsi="Calibri" w:cs="Vrinda"/>
        </w:rPr>
      </w:pPr>
      <w:r w:rsidRPr="00E576DC">
        <w:rPr>
          <w:rFonts w:ascii="Calibri" w:eastAsia="Calibri" w:hAnsi="Calibri" w:cs="Vrinda"/>
        </w:rPr>
        <w:t xml:space="preserve">Quality and cost-based evaluation will be applied by </w:t>
      </w:r>
      <w:r w:rsidR="005E1561" w:rsidRPr="00E576DC">
        <w:rPr>
          <w:rFonts w:ascii="Calibri" w:eastAsia="Calibri" w:hAnsi="Calibri" w:cs="Vrinda"/>
        </w:rPr>
        <w:t xml:space="preserve">an </w:t>
      </w:r>
      <w:r w:rsidR="005E1561">
        <w:rPr>
          <w:rFonts w:ascii="Calibri" w:eastAsia="Calibri" w:hAnsi="Calibri" w:cs="Vrinda"/>
        </w:rPr>
        <w:t>evaluation</w:t>
      </w:r>
      <w:r w:rsidRPr="00E576DC">
        <w:rPr>
          <w:rFonts w:ascii="Calibri" w:eastAsia="Calibri" w:hAnsi="Calibri" w:cs="Vrinda"/>
        </w:rPr>
        <w:t xml:space="preserve"> team comprising of members </w:t>
      </w:r>
      <w:r w:rsidRPr="005E1561">
        <w:rPr>
          <w:rFonts w:ascii="Calibri" w:eastAsia="Calibri" w:hAnsi="Calibri" w:cs="Vrinda"/>
          <w:shd w:val="clear" w:color="auto" w:fill="FFFFFF" w:themeFill="background1"/>
        </w:rPr>
        <w:t>of the S</w:t>
      </w:r>
      <w:r w:rsidR="00587E03" w:rsidRPr="005E1561">
        <w:rPr>
          <w:rFonts w:ascii="Calibri" w:eastAsia="Calibri" w:hAnsi="Calibri" w:cs="Vrinda"/>
          <w:shd w:val="clear" w:color="auto" w:fill="FFFFFF" w:themeFill="background1"/>
        </w:rPr>
        <w:t>a</w:t>
      </w:r>
      <w:r w:rsidR="005E1561">
        <w:rPr>
          <w:rFonts w:ascii="Calibri" w:eastAsia="Calibri" w:hAnsi="Calibri" w:cs="Vrinda"/>
          <w:shd w:val="clear" w:color="auto" w:fill="FFFFFF" w:themeFill="background1"/>
        </w:rPr>
        <w:t xml:space="preserve">rathi </w:t>
      </w:r>
      <w:r w:rsidRPr="005E1561">
        <w:rPr>
          <w:rFonts w:ascii="Calibri" w:eastAsia="Calibri" w:hAnsi="Calibri" w:cs="Vrinda"/>
          <w:shd w:val="clear" w:color="auto" w:fill="FFFFFF" w:themeFill="background1"/>
        </w:rPr>
        <w:t>project and Swisscontact administration</w:t>
      </w:r>
      <w:r w:rsidRPr="004A799A">
        <w:rPr>
          <w:rFonts w:ascii="Calibri" w:eastAsia="Calibri" w:hAnsi="Calibri" w:cs="Vrinda"/>
          <w:shd w:val="clear" w:color="auto" w:fill="FFFFFF" w:themeFill="background1"/>
        </w:rPr>
        <w:t xml:space="preserve"> </w:t>
      </w:r>
      <w:r w:rsidRPr="00E576DC">
        <w:rPr>
          <w:rFonts w:ascii="Calibri" w:eastAsia="Calibri" w:hAnsi="Calibri" w:cs="Vrinda"/>
        </w:rPr>
        <w:t>team;</w:t>
      </w:r>
    </w:p>
    <w:p w14:paraId="0BAD4BC4" w14:textId="77777777" w:rsidR="00413C00" w:rsidRDefault="00413C00" w:rsidP="003D76FC">
      <w:pPr>
        <w:numPr>
          <w:ilvl w:val="0"/>
          <w:numId w:val="9"/>
        </w:numPr>
        <w:spacing w:line="259" w:lineRule="auto"/>
        <w:contextualSpacing/>
        <w:jc w:val="both"/>
        <w:rPr>
          <w:rFonts w:ascii="Calibri" w:eastAsia="Calibri" w:hAnsi="Calibri" w:cs="Vrinda"/>
        </w:rPr>
      </w:pPr>
      <w:r w:rsidRPr="00E576DC">
        <w:rPr>
          <w:rFonts w:ascii="Calibri" w:eastAsia="Calibri" w:hAnsi="Calibri" w:cs="Vrinda"/>
        </w:rPr>
        <w:lastRenderedPageBreak/>
        <w:t xml:space="preserve">The bidder achieving the highest score in the proposal will be awarded the contract, provided both parties reach an agreement on the final budget. If there is no agreement on the final budget, then the bidder with </w:t>
      </w:r>
      <w:r>
        <w:rPr>
          <w:rFonts w:ascii="Calibri" w:eastAsia="Calibri" w:hAnsi="Calibri" w:cs="Vrinda"/>
        </w:rPr>
        <w:t xml:space="preserve">the </w:t>
      </w:r>
      <w:r w:rsidRPr="00E576DC">
        <w:rPr>
          <w:rFonts w:ascii="Calibri" w:eastAsia="Calibri" w:hAnsi="Calibri" w:cs="Vrinda"/>
        </w:rPr>
        <w:t>second highest score will be considered.</w:t>
      </w:r>
    </w:p>
    <w:p w14:paraId="1240658A" w14:textId="77777777" w:rsidR="00413C00" w:rsidRDefault="00413C00" w:rsidP="003D76FC">
      <w:pPr>
        <w:spacing w:line="259" w:lineRule="auto"/>
        <w:contextualSpacing/>
        <w:jc w:val="both"/>
        <w:rPr>
          <w:rFonts w:ascii="Calibri" w:eastAsia="Calibri" w:hAnsi="Calibri" w:cs="Vrinda"/>
        </w:rPr>
      </w:pPr>
    </w:p>
    <w:p w14:paraId="4B840F9C" w14:textId="77777777" w:rsidR="00413C00" w:rsidRPr="003739C6" w:rsidRDefault="00413C00" w:rsidP="003D76FC">
      <w:pPr>
        <w:pStyle w:val="Heading1"/>
        <w:spacing w:before="0" w:after="200" w:line="259" w:lineRule="auto"/>
        <w:jc w:val="both"/>
        <w:rPr>
          <w:rFonts w:asciiTheme="minorHAnsi" w:eastAsiaTheme="minorHAnsi" w:hAnsiTheme="minorHAnsi" w:cs="Calibri-Bold"/>
          <w:bCs/>
          <w:color w:val="00338D"/>
          <w:sz w:val="28"/>
          <w:szCs w:val="28"/>
          <w:lang w:val="en-GB" w:eastAsia="en-GB"/>
        </w:rPr>
      </w:pPr>
      <w:r>
        <w:rPr>
          <w:rFonts w:asciiTheme="minorHAnsi" w:eastAsiaTheme="minorHAnsi" w:hAnsiTheme="minorHAnsi" w:cs="Calibri-Bold"/>
          <w:bCs/>
          <w:color w:val="00338D"/>
          <w:sz w:val="28"/>
          <w:szCs w:val="28"/>
          <w:lang w:val="en-GB" w:eastAsia="en-GB"/>
        </w:rPr>
        <w:t>9</w:t>
      </w:r>
      <w:r w:rsidRPr="003739C6">
        <w:rPr>
          <w:rFonts w:asciiTheme="minorHAnsi" w:eastAsiaTheme="minorHAnsi" w:hAnsiTheme="minorHAnsi" w:cs="Calibri-Bold"/>
          <w:bCs/>
          <w:color w:val="00338D"/>
          <w:sz w:val="28"/>
          <w:szCs w:val="28"/>
          <w:lang w:val="en-GB" w:eastAsia="en-GB"/>
        </w:rPr>
        <w:t>. Required Documentation</w:t>
      </w:r>
    </w:p>
    <w:p w14:paraId="2457C185" w14:textId="77777777" w:rsidR="00413C00" w:rsidRDefault="00413C00" w:rsidP="003D76FC">
      <w:pPr>
        <w:spacing w:line="259" w:lineRule="auto"/>
        <w:jc w:val="both"/>
        <w:rPr>
          <w:rFonts w:ascii="Calibri" w:eastAsia="Calibri" w:hAnsi="Calibri" w:cs="Vrinda"/>
        </w:rPr>
      </w:pPr>
      <w:r w:rsidRPr="002C682C">
        <w:rPr>
          <w:rFonts w:ascii="Calibri" w:eastAsia="Calibri" w:hAnsi="Calibri" w:cs="Vrinda"/>
        </w:rPr>
        <w:t xml:space="preserve">In addition to the technical and financial proposals, it is mandatory for bidders to submit necessary documents demonstrating their legal, taxation and financial statuses. The documents should be part of the technical proposal and include the following: </w:t>
      </w:r>
    </w:p>
    <w:p w14:paraId="55A7C9BB" w14:textId="77777777" w:rsidR="00413C00" w:rsidRPr="002C682C" w:rsidRDefault="00413C00" w:rsidP="003D76FC">
      <w:pPr>
        <w:spacing w:after="0" w:line="259" w:lineRule="auto"/>
        <w:jc w:val="both"/>
        <w:rPr>
          <w:rFonts w:ascii="Calibri" w:eastAsia="Calibri" w:hAnsi="Calibri" w:cs="Vrinda"/>
        </w:rPr>
      </w:pPr>
    </w:p>
    <w:p w14:paraId="20F2F08A" w14:textId="77777777" w:rsidR="00413C00" w:rsidRPr="002C682C" w:rsidRDefault="00413C00" w:rsidP="003D76FC">
      <w:pPr>
        <w:numPr>
          <w:ilvl w:val="0"/>
          <w:numId w:val="11"/>
        </w:numPr>
        <w:spacing w:after="0" w:line="259" w:lineRule="auto"/>
        <w:contextualSpacing/>
        <w:jc w:val="both"/>
        <w:rPr>
          <w:rFonts w:ascii="Calibri" w:eastAsia="Calibri" w:hAnsi="Calibri" w:cs="Vrinda"/>
        </w:rPr>
      </w:pPr>
      <w:r w:rsidRPr="002C682C">
        <w:rPr>
          <w:rFonts w:ascii="Calibri" w:eastAsia="Calibri" w:hAnsi="Calibri" w:cs="Vrinda"/>
        </w:rPr>
        <w:t>A certificate of incorporation (for individual companies</w:t>
      </w:r>
      <w:r>
        <w:rPr>
          <w:rFonts w:ascii="Calibri" w:eastAsia="Calibri" w:hAnsi="Calibri" w:cs="Vrinda"/>
        </w:rPr>
        <w:t>-</w:t>
      </w:r>
      <w:r w:rsidRPr="002C682C">
        <w:rPr>
          <w:rFonts w:ascii="Calibri" w:eastAsia="Calibri" w:hAnsi="Calibri" w:cs="Vrinda"/>
        </w:rPr>
        <w:t xml:space="preserve"> a trade license);</w:t>
      </w:r>
    </w:p>
    <w:p w14:paraId="23029D4D" w14:textId="77777777" w:rsidR="00413C00" w:rsidRPr="002C682C" w:rsidRDefault="00413C00" w:rsidP="003D76FC">
      <w:pPr>
        <w:numPr>
          <w:ilvl w:val="0"/>
          <w:numId w:val="11"/>
        </w:numPr>
        <w:spacing w:after="0" w:line="259" w:lineRule="auto"/>
        <w:contextualSpacing/>
        <w:jc w:val="both"/>
        <w:rPr>
          <w:rFonts w:ascii="Calibri" w:eastAsia="Calibri" w:hAnsi="Calibri" w:cs="Vrinda"/>
        </w:rPr>
      </w:pPr>
      <w:r w:rsidRPr="002C682C">
        <w:rPr>
          <w:rFonts w:ascii="Calibri" w:eastAsia="Calibri" w:hAnsi="Calibri" w:cs="Vrinda"/>
        </w:rPr>
        <w:t>Joint stock registration certificate (if applicable);</w:t>
      </w:r>
    </w:p>
    <w:p w14:paraId="36594B2B" w14:textId="77777777" w:rsidR="00413C00" w:rsidRPr="002C682C" w:rsidRDefault="00413C00" w:rsidP="003D76FC">
      <w:pPr>
        <w:numPr>
          <w:ilvl w:val="0"/>
          <w:numId w:val="11"/>
        </w:numPr>
        <w:spacing w:after="0" w:line="259" w:lineRule="auto"/>
        <w:contextualSpacing/>
        <w:jc w:val="both"/>
        <w:rPr>
          <w:rFonts w:ascii="Calibri" w:eastAsia="Calibri" w:hAnsi="Calibri" w:cs="Vrinda"/>
        </w:rPr>
      </w:pPr>
      <w:r w:rsidRPr="002C682C">
        <w:rPr>
          <w:rFonts w:ascii="Calibri" w:eastAsia="Calibri" w:hAnsi="Calibri" w:cs="Vrinda"/>
        </w:rPr>
        <w:t>An organizational organogram of key personnel, inclusive of the names of such personnel;</w:t>
      </w:r>
    </w:p>
    <w:p w14:paraId="1AA5934E" w14:textId="77777777" w:rsidR="00413C00" w:rsidRPr="002C682C" w:rsidRDefault="00413C00" w:rsidP="003D76FC">
      <w:pPr>
        <w:numPr>
          <w:ilvl w:val="0"/>
          <w:numId w:val="11"/>
        </w:numPr>
        <w:spacing w:after="0" w:line="259" w:lineRule="auto"/>
        <w:contextualSpacing/>
        <w:jc w:val="both"/>
        <w:rPr>
          <w:rFonts w:ascii="Calibri" w:eastAsia="Calibri" w:hAnsi="Calibri" w:cs="Vrinda"/>
        </w:rPr>
      </w:pPr>
      <w:r w:rsidRPr="002C682C">
        <w:rPr>
          <w:rFonts w:ascii="Calibri" w:eastAsia="Calibri" w:hAnsi="Calibri" w:cs="Vrinda"/>
        </w:rPr>
        <w:t>Tax Identification Number (TIN);</w:t>
      </w:r>
    </w:p>
    <w:p w14:paraId="5D10D347" w14:textId="77777777" w:rsidR="00413C00" w:rsidRPr="002C682C" w:rsidRDefault="00413C00" w:rsidP="003D76FC">
      <w:pPr>
        <w:numPr>
          <w:ilvl w:val="0"/>
          <w:numId w:val="11"/>
        </w:numPr>
        <w:spacing w:after="0" w:line="259" w:lineRule="auto"/>
        <w:contextualSpacing/>
        <w:jc w:val="both"/>
        <w:rPr>
          <w:rFonts w:ascii="Calibri" w:eastAsia="Calibri" w:hAnsi="Calibri" w:cs="Vrinda"/>
        </w:rPr>
      </w:pPr>
      <w:r w:rsidRPr="002C682C">
        <w:rPr>
          <w:rFonts w:ascii="Calibri" w:eastAsia="Calibri" w:hAnsi="Calibri" w:cs="Vrinda"/>
        </w:rPr>
        <w:t>VAT registration number;</w:t>
      </w:r>
    </w:p>
    <w:p w14:paraId="6986309E" w14:textId="77777777" w:rsidR="00413C00" w:rsidRPr="002C682C" w:rsidRDefault="00413C00" w:rsidP="003D76FC">
      <w:pPr>
        <w:numPr>
          <w:ilvl w:val="0"/>
          <w:numId w:val="11"/>
        </w:numPr>
        <w:spacing w:after="0" w:line="259" w:lineRule="auto"/>
        <w:contextualSpacing/>
        <w:jc w:val="both"/>
        <w:rPr>
          <w:rFonts w:ascii="Calibri" w:eastAsia="Calibri" w:hAnsi="Calibri" w:cs="Vrinda"/>
        </w:rPr>
      </w:pPr>
      <w:r w:rsidRPr="002C682C">
        <w:rPr>
          <w:rFonts w:ascii="Calibri" w:eastAsia="Calibri" w:hAnsi="Calibri" w:cs="Vrinda"/>
        </w:rPr>
        <w:t xml:space="preserve">Proof of a segregated account (providing the name and address of such an account); </w:t>
      </w:r>
    </w:p>
    <w:p w14:paraId="5C0417D4" w14:textId="77777777" w:rsidR="00413C00" w:rsidRPr="002C682C" w:rsidRDefault="00413C00" w:rsidP="003D76FC">
      <w:pPr>
        <w:numPr>
          <w:ilvl w:val="0"/>
          <w:numId w:val="11"/>
        </w:numPr>
        <w:spacing w:after="0" w:line="259" w:lineRule="auto"/>
        <w:contextualSpacing/>
        <w:jc w:val="both"/>
        <w:rPr>
          <w:rFonts w:ascii="Calibri" w:eastAsia="Calibri" w:hAnsi="Calibri" w:cs="Vrinda"/>
        </w:rPr>
      </w:pPr>
      <w:r w:rsidRPr="002C682C">
        <w:rPr>
          <w:rFonts w:ascii="Calibri" w:eastAsia="Calibri" w:hAnsi="Calibri" w:cs="Vrinda"/>
        </w:rPr>
        <w:t>Other valid papers (Provided by Government institutions);</w:t>
      </w:r>
    </w:p>
    <w:p w14:paraId="24131894" w14:textId="77777777" w:rsidR="00413C00" w:rsidRPr="003739C6" w:rsidRDefault="00413C00" w:rsidP="003D76FC">
      <w:pPr>
        <w:numPr>
          <w:ilvl w:val="0"/>
          <w:numId w:val="11"/>
        </w:numPr>
        <w:spacing w:line="259" w:lineRule="auto"/>
        <w:contextualSpacing/>
        <w:jc w:val="both"/>
        <w:rPr>
          <w:rFonts w:ascii="Calibri" w:eastAsia="Calibri" w:hAnsi="Calibri" w:cs="Vrinda"/>
          <w:sz w:val="32"/>
          <w:szCs w:val="32"/>
        </w:rPr>
      </w:pPr>
      <w:r w:rsidRPr="002C682C">
        <w:rPr>
          <w:rFonts w:ascii="Calibri" w:eastAsia="Calibri" w:hAnsi="Calibri" w:cs="Vrinda"/>
        </w:rPr>
        <w:t>The vendor has to bear all Annual Income Tax (AIT) and VAT. The total amount of VAT should be mentioned in the financial proposal.</w:t>
      </w:r>
    </w:p>
    <w:p w14:paraId="0BA2A336" w14:textId="77777777" w:rsidR="00413C00" w:rsidRPr="002C682C" w:rsidRDefault="00413C00" w:rsidP="003D76FC">
      <w:pPr>
        <w:spacing w:line="259" w:lineRule="auto"/>
        <w:ind w:left="720"/>
        <w:contextualSpacing/>
        <w:jc w:val="both"/>
        <w:rPr>
          <w:rFonts w:ascii="Calibri" w:eastAsia="Calibri" w:hAnsi="Calibri" w:cs="Vrinda"/>
          <w:sz w:val="32"/>
          <w:szCs w:val="32"/>
        </w:rPr>
      </w:pPr>
    </w:p>
    <w:p w14:paraId="795BFFFE" w14:textId="77777777" w:rsidR="00413C00" w:rsidRPr="00695829" w:rsidRDefault="00413C00" w:rsidP="003D76FC">
      <w:pPr>
        <w:pStyle w:val="Heading1"/>
        <w:spacing w:before="0" w:after="200" w:line="259" w:lineRule="auto"/>
        <w:jc w:val="both"/>
        <w:rPr>
          <w:rFonts w:asciiTheme="minorHAnsi" w:eastAsiaTheme="minorHAnsi" w:hAnsiTheme="minorHAnsi" w:cs="Calibri-Bold"/>
          <w:bCs/>
          <w:color w:val="1F3864" w:themeColor="accent1" w:themeShade="80"/>
          <w:sz w:val="28"/>
          <w:szCs w:val="28"/>
          <w:lang w:val="en-GB" w:eastAsia="en-GB"/>
        </w:rPr>
      </w:pPr>
      <w:r>
        <w:rPr>
          <w:rFonts w:asciiTheme="minorHAnsi" w:eastAsiaTheme="minorHAnsi" w:hAnsiTheme="minorHAnsi" w:cs="Calibri-Bold"/>
          <w:bCs/>
          <w:color w:val="1F3864" w:themeColor="accent1" w:themeShade="80"/>
          <w:sz w:val="28"/>
          <w:szCs w:val="28"/>
          <w:lang w:val="en-GB" w:eastAsia="en-GB"/>
        </w:rPr>
        <w:t xml:space="preserve">10. </w:t>
      </w:r>
      <w:r w:rsidRPr="00695829">
        <w:rPr>
          <w:rFonts w:asciiTheme="minorHAnsi" w:eastAsiaTheme="minorHAnsi" w:hAnsiTheme="minorHAnsi" w:cs="Calibri-Bold"/>
          <w:bCs/>
          <w:color w:val="1F3864" w:themeColor="accent1" w:themeShade="80"/>
          <w:sz w:val="28"/>
          <w:szCs w:val="28"/>
          <w:lang w:val="en-GB" w:eastAsia="en-GB"/>
        </w:rPr>
        <w:t xml:space="preserve">Submission Guideline </w:t>
      </w:r>
    </w:p>
    <w:p w14:paraId="5978A803" w14:textId="710F9226" w:rsidR="00413C00" w:rsidRDefault="00413C00" w:rsidP="003D76FC">
      <w:pPr>
        <w:spacing w:line="259" w:lineRule="auto"/>
        <w:jc w:val="both"/>
      </w:pPr>
      <w:r w:rsidRPr="002C682C">
        <w:t xml:space="preserve">Interested bidders should </w:t>
      </w:r>
      <w:r w:rsidR="00513731">
        <w:t>send</w:t>
      </w:r>
      <w:r w:rsidRPr="002C682C">
        <w:t xml:space="preserve"> the technical and financial proposals </w:t>
      </w:r>
      <w:r w:rsidR="003D76FC">
        <w:t>as separate</w:t>
      </w:r>
      <w:r w:rsidRPr="002C682C">
        <w:t xml:space="preserve"> </w:t>
      </w:r>
      <w:r w:rsidR="003D76FC">
        <w:t xml:space="preserve">PDF </w:t>
      </w:r>
      <w:r w:rsidRPr="002C682C">
        <w:t xml:space="preserve">copies by </w:t>
      </w:r>
      <w:r w:rsidR="003D76FC" w:rsidRPr="003D76FC">
        <w:rPr>
          <w:b/>
          <w:bCs/>
        </w:rPr>
        <w:t>Tuesday</w:t>
      </w:r>
      <w:r w:rsidR="003D76FC">
        <w:t xml:space="preserve">, </w:t>
      </w:r>
      <w:r w:rsidR="0069539A" w:rsidRPr="005E1561">
        <w:rPr>
          <w:b/>
        </w:rPr>
        <w:t>06 October</w:t>
      </w:r>
      <w:r w:rsidR="00F22557" w:rsidRPr="005E1561">
        <w:rPr>
          <w:b/>
        </w:rPr>
        <w:t xml:space="preserve"> 2020</w:t>
      </w:r>
      <w:r w:rsidRPr="005E1561">
        <w:rPr>
          <w:b/>
        </w:rPr>
        <w:t xml:space="preserve"> before </w:t>
      </w:r>
      <w:r w:rsidR="00AD62F3">
        <w:rPr>
          <w:b/>
        </w:rPr>
        <w:t>05:00 PM</w:t>
      </w:r>
      <w:r>
        <w:t xml:space="preserve"> to the</w:t>
      </w:r>
      <w:r w:rsidR="00513731">
        <w:t xml:space="preserve"> email</w:t>
      </w:r>
      <w:r>
        <w:t xml:space="preserve"> address mentioned below:</w:t>
      </w:r>
    </w:p>
    <w:p w14:paraId="5D468F5D" w14:textId="7A1F7D89" w:rsidR="00413C00" w:rsidRPr="003D76FC" w:rsidRDefault="00642638" w:rsidP="003D76FC">
      <w:pPr>
        <w:spacing w:after="0" w:line="259" w:lineRule="auto"/>
        <w:jc w:val="both"/>
        <w:rPr>
          <w:b/>
          <w:bCs/>
        </w:rPr>
      </w:pPr>
      <w:hyperlink r:id="rId8" w:history="1">
        <w:r w:rsidR="003D76FC">
          <w:rPr>
            <w:b/>
            <w:bCs/>
          </w:rPr>
          <w:t>bd.procurement@swisscontact.org</w:t>
        </w:r>
      </w:hyperlink>
      <w:r w:rsidR="005E1561" w:rsidRPr="003D76FC">
        <w:rPr>
          <w:rFonts w:ascii="Calibri" w:hAnsi="Calibri" w:cs="Calibri"/>
          <w:b/>
          <w:bCs/>
          <w:color w:val="000000"/>
          <w:sz w:val="27"/>
          <w:szCs w:val="27"/>
          <w:shd w:val="clear" w:color="auto" w:fill="FFFFFF"/>
        </w:rPr>
        <w:t> </w:t>
      </w:r>
    </w:p>
    <w:sectPr w:rsidR="00413C00" w:rsidRPr="003D76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6DD1D" w14:textId="77777777" w:rsidR="00642638" w:rsidRDefault="00642638" w:rsidP="00987A0D">
      <w:pPr>
        <w:spacing w:after="0" w:line="240" w:lineRule="auto"/>
      </w:pPr>
      <w:r>
        <w:separator/>
      </w:r>
    </w:p>
  </w:endnote>
  <w:endnote w:type="continuationSeparator" w:id="0">
    <w:p w14:paraId="2608C8B9" w14:textId="77777777" w:rsidR="00642638" w:rsidRDefault="00642638" w:rsidP="00987A0D">
      <w:pPr>
        <w:spacing w:after="0" w:line="240" w:lineRule="auto"/>
      </w:pPr>
      <w:r>
        <w:continuationSeparator/>
      </w:r>
    </w:p>
  </w:endnote>
  <w:endnote w:type="continuationNotice" w:id="1">
    <w:p w14:paraId="0E2E186A" w14:textId="77777777" w:rsidR="00642638" w:rsidRDefault="00642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9C9EE" w14:textId="77777777" w:rsidR="00642638" w:rsidRDefault="00642638" w:rsidP="00987A0D">
      <w:pPr>
        <w:spacing w:after="0" w:line="240" w:lineRule="auto"/>
      </w:pPr>
      <w:r>
        <w:separator/>
      </w:r>
    </w:p>
  </w:footnote>
  <w:footnote w:type="continuationSeparator" w:id="0">
    <w:p w14:paraId="1221D81D" w14:textId="77777777" w:rsidR="00642638" w:rsidRDefault="00642638" w:rsidP="00987A0D">
      <w:pPr>
        <w:spacing w:after="0" w:line="240" w:lineRule="auto"/>
      </w:pPr>
      <w:r>
        <w:continuationSeparator/>
      </w:r>
    </w:p>
  </w:footnote>
  <w:footnote w:type="continuationNotice" w:id="1">
    <w:p w14:paraId="587BBF7C" w14:textId="77777777" w:rsidR="00642638" w:rsidRDefault="00642638">
      <w:pPr>
        <w:spacing w:after="0" w:line="240" w:lineRule="auto"/>
      </w:pPr>
    </w:p>
  </w:footnote>
  <w:footnote w:id="2">
    <w:p w14:paraId="621051D2" w14:textId="77777777" w:rsidR="005B047C" w:rsidRDefault="005B047C" w:rsidP="00987A0D">
      <w:pPr>
        <w:pStyle w:val="FootnoteText"/>
      </w:pPr>
      <w:r>
        <w:rPr>
          <w:rStyle w:val="FootnoteReference"/>
        </w:rPr>
        <w:footnoteRef/>
      </w:r>
      <w:r>
        <w:t xml:space="preserve"> </w:t>
      </w:r>
      <w:r w:rsidRPr="007335AA">
        <w:t>Modification of the table can be made on a mutual agreement with the selected organization as per necessity.</w:t>
      </w:r>
    </w:p>
  </w:footnote>
  <w:footnote w:id="3">
    <w:p w14:paraId="6A678565" w14:textId="77777777" w:rsidR="005B047C" w:rsidRDefault="005B047C" w:rsidP="00987A0D">
      <w:pPr>
        <w:pStyle w:val="FootnoteText"/>
      </w:pPr>
      <w:r>
        <w:rPr>
          <w:rStyle w:val="FootnoteReference"/>
        </w:rPr>
        <w:footnoteRef/>
      </w:r>
      <w:r>
        <w:t xml:space="preserve"> </w:t>
      </w:r>
      <w:r w:rsidRPr="000C61F2">
        <w:t xml:space="preserve">Modification of the table can be made on a mutual agreement with the </w:t>
      </w:r>
      <w:r>
        <w:t>selected organization as per necessity</w:t>
      </w:r>
      <w:r w:rsidRPr="000C61F2">
        <w:t>.</w:t>
      </w:r>
    </w:p>
  </w:footnote>
  <w:footnote w:id="4">
    <w:p w14:paraId="14F76701" w14:textId="77777777" w:rsidR="005B047C" w:rsidRPr="00E576DC" w:rsidRDefault="005B047C" w:rsidP="00413C00">
      <w:pPr>
        <w:pStyle w:val="FootnoteText"/>
        <w:ind w:left="360" w:hanging="360"/>
        <w:rPr>
          <w:rFonts w:ascii="Calibri" w:hAnsi="Calibri" w:cs="Calibri"/>
          <w:sz w:val="16"/>
          <w:szCs w:val="16"/>
        </w:rPr>
      </w:pPr>
      <w:r w:rsidRPr="00E576DC">
        <w:rPr>
          <w:rStyle w:val="FootnoteReference"/>
          <w:rFonts w:ascii="Calibri" w:hAnsi="Calibri" w:cs="Calibri"/>
          <w:sz w:val="16"/>
          <w:szCs w:val="16"/>
        </w:rPr>
        <w:footnoteRef/>
      </w:r>
      <w:r w:rsidRPr="00E576DC">
        <w:rPr>
          <w:rFonts w:ascii="Calibri" w:hAnsi="Calibri" w:cs="Calibri"/>
          <w:sz w:val="16"/>
          <w:szCs w:val="16"/>
        </w:rPr>
        <w:t xml:space="preserve">  a) Swisscontact has no obligation to award the contract to any applicant if the proposals submitted do not match the quality and/or the budget requirements of Swisscontact</w:t>
      </w:r>
    </w:p>
    <w:p w14:paraId="72375D56" w14:textId="77777777" w:rsidR="005B047C" w:rsidRDefault="005B047C" w:rsidP="00413C00">
      <w:pPr>
        <w:pStyle w:val="FootnoteText"/>
        <w:ind w:left="360" w:hanging="360"/>
      </w:pPr>
      <w:r w:rsidRPr="00E576DC">
        <w:rPr>
          <w:rFonts w:ascii="Calibri" w:hAnsi="Calibri" w:cs="Calibri"/>
          <w:sz w:val="16"/>
          <w:szCs w:val="16"/>
        </w:rPr>
        <w:t xml:space="preserve">     b) Swisscontact has no obligation to provide any further information to bidders or any other third party about the evaluation process and its results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1256"/>
    <w:multiLevelType w:val="hybridMultilevel"/>
    <w:tmpl w:val="4132A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DD96F38"/>
    <w:multiLevelType w:val="hybridMultilevel"/>
    <w:tmpl w:val="2CD40F0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679C"/>
    <w:multiLevelType w:val="hybridMultilevel"/>
    <w:tmpl w:val="32844E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6E4D"/>
    <w:multiLevelType w:val="hybridMultilevel"/>
    <w:tmpl w:val="6CE069D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59B28E7"/>
    <w:multiLevelType w:val="hybridMultilevel"/>
    <w:tmpl w:val="B57CEE3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D16A9"/>
    <w:multiLevelType w:val="hybridMultilevel"/>
    <w:tmpl w:val="EF78636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553FDB"/>
    <w:multiLevelType w:val="hybridMultilevel"/>
    <w:tmpl w:val="E21E5320"/>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9704E7"/>
    <w:multiLevelType w:val="hybridMultilevel"/>
    <w:tmpl w:val="CA721798"/>
    <w:lvl w:ilvl="0" w:tplc="BF9EA5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33E85"/>
    <w:multiLevelType w:val="multilevel"/>
    <w:tmpl w:val="137CF800"/>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04C644C"/>
    <w:multiLevelType w:val="hybridMultilevel"/>
    <w:tmpl w:val="A15A907C"/>
    <w:lvl w:ilvl="0" w:tplc="7DE0A18A">
      <w:start w:val="1"/>
      <w:numFmt w:val="lowerLetter"/>
      <w:lvlText w:val="%1."/>
      <w:lvlJc w:val="left"/>
      <w:pPr>
        <w:tabs>
          <w:tab w:val="num" w:pos="720"/>
        </w:tabs>
        <w:ind w:left="720" w:hanging="360"/>
      </w:pPr>
      <w:rPr>
        <w:rFonts w:asciiTheme="minorHAnsi" w:eastAsia="Times New Roman" w:hAnsiTheme="minorHAnsi" w:cstheme="minorBidi"/>
      </w:rPr>
    </w:lvl>
    <w:lvl w:ilvl="1" w:tplc="0846A1A6">
      <w:numFmt w:val="bullet"/>
      <w:lvlText w:val="-"/>
      <w:lvlJc w:val="left"/>
      <w:pPr>
        <w:tabs>
          <w:tab w:val="num" w:pos="1440"/>
        </w:tabs>
        <w:ind w:left="1440" w:hanging="360"/>
      </w:pPr>
      <w:rPr>
        <w:rFonts w:ascii="Tahoma" w:eastAsia="Times New Roman" w:hAnsi="Tahoma" w:cs="Tahoma"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B3404"/>
    <w:multiLevelType w:val="hybridMultilevel"/>
    <w:tmpl w:val="7C8695EA"/>
    <w:lvl w:ilvl="0" w:tplc="BF9EA5DE">
      <w:start w:val="3"/>
      <w:numFmt w:val="bullet"/>
      <w:lvlText w:val="-"/>
      <w:lvlJc w:val="left"/>
      <w:pPr>
        <w:ind w:left="720" w:hanging="360"/>
      </w:pPr>
      <w:rPr>
        <w:rFonts w:ascii="Calibri" w:eastAsia="Calibri" w:hAnsi="Calibri" w:cs="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8"/>
  </w:num>
  <w:num w:numId="6">
    <w:abstractNumId w:val="0"/>
  </w:num>
  <w:num w:numId="7">
    <w:abstractNumId w:val="5"/>
  </w:num>
  <w:num w:numId="8">
    <w:abstractNumId w:val="4"/>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E2D"/>
    <w:rsid w:val="00000EE7"/>
    <w:rsid w:val="00012574"/>
    <w:rsid w:val="000378AB"/>
    <w:rsid w:val="00052F9B"/>
    <w:rsid w:val="000A20AC"/>
    <w:rsid w:val="000D687F"/>
    <w:rsid w:val="000F6964"/>
    <w:rsid w:val="001037B6"/>
    <w:rsid w:val="002000F3"/>
    <w:rsid w:val="00215B12"/>
    <w:rsid w:val="0022095E"/>
    <w:rsid w:val="00253D86"/>
    <w:rsid w:val="00264CEA"/>
    <w:rsid w:val="00291525"/>
    <w:rsid w:val="00297EF7"/>
    <w:rsid w:val="002A4151"/>
    <w:rsid w:val="003641BD"/>
    <w:rsid w:val="0036528A"/>
    <w:rsid w:val="003969AA"/>
    <w:rsid w:val="003A5412"/>
    <w:rsid w:val="003D76FC"/>
    <w:rsid w:val="003F3E55"/>
    <w:rsid w:val="00410411"/>
    <w:rsid w:val="00413C00"/>
    <w:rsid w:val="00417F83"/>
    <w:rsid w:val="00427A4C"/>
    <w:rsid w:val="004364A1"/>
    <w:rsid w:val="00476815"/>
    <w:rsid w:val="00492CF6"/>
    <w:rsid w:val="00495E2D"/>
    <w:rsid w:val="004A7460"/>
    <w:rsid w:val="004A799A"/>
    <w:rsid w:val="00503EA2"/>
    <w:rsid w:val="0051317E"/>
    <w:rsid w:val="00513731"/>
    <w:rsid w:val="00521707"/>
    <w:rsid w:val="0055527E"/>
    <w:rsid w:val="00587E03"/>
    <w:rsid w:val="00597659"/>
    <w:rsid w:val="005B047C"/>
    <w:rsid w:val="005E1561"/>
    <w:rsid w:val="00600E12"/>
    <w:rsid w:val="006035A4"/>
    <w:rsid w:val="0060514C"/>
    <w:rsid w:val="00613EA1"/>
    <w:rsid w:val="00622387"/>
    <w:rsid w:val="00642638"/>
    <w:rsid w:val="00651760"/>
    <w:rsid w:val="006849CC"/>
    <w:rsid w:val="0069539A"/>
    <w:rsid w:val="006C0A9A"/>
    <w:rsid w:val="00720E9B"/>
    <w:rsid w:val="007452EF"/>
    <w:rsid w:val="0075657B"/>
    <w:rsid w:val="007823EE"/>
    <w:rsid w:val="007F0C74"/>
    <w:rsid w:val="00810375"/>
    <w:rsid w:val="00810841"/>
    <w:rsid w:val="0082301B"/>
    <w:rsid w:val="00823E36"/>
    <w:rsid w:val="00827993"/>
    <w:rsid w:val="00830C78"/>
    <w:rsid w:val="00845E16"/>
    <w:rsid w:val="0086154C"/>
    <w:rsid w:val="008723CA"/>
    <w:rsid w:val="00881B5E"/>
    <w:rsid w:val="008867B0"/>
    <w:rsid w:val="00894B35"/>
    <w:rsid w:val="008A4399"/>
    <w:rsid w:val="008E2B48"/>
    <w:rsid w:val="008E43A4"/>
    <w:rsid w:val="008F67E5"/>
    <w:rsid w:val="009059FD"/>
    <w:rsid w:val="00913698"/>
    <w:rsid w:val="00914326"/>
    <w:rsid w:val="009354DA"/>
    <w:rsid w:val="00937BE7"/>
    <w:rsid w:val="00941811"/>
    <w:rsid w:val="00946AEB"/>
    <w:rsid w:val="00975835"/>
    <w:rsid w:val="00985031"/>
    <w:rsid w:val="00987A0D"/>
    <w:rsid w:val="00991A7B"/>
    <w:rsid w:val="00993037"/>
    <w:rsid w:val="00A12131"/>
    <w:rsid w:val="00A1429B"/>
    <w:rsid w:val="00A568BE"/>
    <w:rsid w:val="00A66D10"/>
    <w:rsid w:val="00AA4F99"/>
    <w:rsid w:val="00AD62F3"/>
    <w:rsid w:val="00B311FE"/>
    <w:rsid w:val="00B60ADA"/>
    <w:rsid w:val="00B64D86"/>
    <w:rsid w:val="00BB62B6"/>
    <w:rsid w:val="00C4413E"/>
    <w:rsid w:val="00CD5BA1"/>
    <w:rsid w:val="00D1092B"/>
    <w:rsid w:val="00D24A8A"/>
    <w:rsid w:val="00D46A5B"/>
    <w:rsid w:val="00D53999"/>
    <w:rsid w:val="00D848FA"/>
    <w:rsid w:val="00DD37A7"/>
    <w:rsid w:val="00E17B47"/>
    <w:rsid w:val="00E5264A"/>
    <w:rsid w:val="00E7401E"/>
    <w:rsid w:val="00EB7C7C"/>
    <w:rsid w:val="00ED4051"/>
    <w:rsid w:val="00F048FB"/>
    <w:rsid w:val="00F22557"/>
    <w:rsid w:val="00F90D29"/>
    <w:rsid w:val="00FC7B7A"/>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0EAE"/>
  <w15:chartTrackingRefBased/>
  <w15:docId w15:val="{3F0C9539-AF93-4776-B7EB-CEBB1186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2D"/>
    <w:pPr>
      <w:spacing w:after="200" w:line="276" w:lineRule="auto"/>
    </w:pPr>
  </w:style>
  <w:style w:type="paragraph" w:styleId="Heading1">
    <w:name w:val="heading 1"/>
    <w:basedOn w:val="Normal"/>
    <w:next w:val="Normal"/>
    <w:link w:val="Heading1Char"/>
    <w:uiPriority w:val="9"/>
    <w:qFormat/>
    <w:rsid w:val="00495E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7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E2D"/>
    <w:rPr>
      <w:rFonts w:asciiTheme="majorHAnsi" w:eastAsiaTheme="majorEastAsia" w:hAnsiTheme="majorHAnsi" w:cstheme="majorBidi"/>
      <w:color w:val="2F5496" w:themeColor="accent1" w:themeShade="BF"/>
      <w:sz w:val="32"/>
      <w:szCs w:val="32"/>
    </w:rPr>
  </w:style>
  <w:style w:type="paragraph" w:customStyle="1" w:styleId="Default">
    <w:name w:val="Default"/>
    <w:rsid w:val="00495E2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34"/>
    <w:qFormat/>
    <w:rsid w:val="002A4151"/>
    <w:pPr>
      <w:ind w:left="720"/>
      <w:contextualSpacing/>
    </w:pPr>
  </w:style>
  <w:style w:type="character" w:customStyle="1" w:styleId="Heading2Char">
    <w:name w:val="Heading 2 Char"/>
    <w:basedOn w:val="DefaultParagraphFont"/>
    <w:link w:val="Heading2"/>
    <w:uiPriority w:val="9"/>
    <w:semiHidden/>
    <w:rsid w:val="00987A0D"/>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rsid w:val="00987A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87A0D"/>
    <w:rPr>
      <w:rFonts w:ascii="Times New Roman" w:eastAsia="Times New Roman" w:hAnsi="Times New Roman" w:cs="Times New Roman"/>
      <w:sz w:val="20"/>
      <w:szCs w:val="20"/>
    </w:rPr>
  </w:style>
  <w:style w:type="character" w:styleId="FootnoteReference">
    <w:name w:val="footnote reference"/>
    <w:semiHidden/>
    <w:rsid w:val="00987A0D"/>
    <w:rPr>
      <w:vertAlign w:val="superscript"/>
    </w:rPr>
  </w:style>
  <w:style w:type="table" w:styleId="TableGridLight">
    <w:name w:val="Grid Table Light"/>
    <w:basedOn w:val="TableNormal"/>
    <w:uiPriority w:val="40"/>
    <w:rsid w:val="00987A0D"/>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ormWorldBank">
    <w:name w:val="Form: World Bank"/>
    <w:basedOn w:val="Normal"/>
    <w:rsid w:val="00987A0D"/>
    <w:pPr>
      <w:spacing w:after="0" w:line="240" w:lineRule="auto"/>
    </w:pPr>
    <w:rPr>
      <w:rFonts w:ascii="Times New Roman" w:eastAsia="Times New Roman" w:hAnsi="Times New Roman" w:cs="Times New Roman"/>
      <w:b/>
      <w:sz w:val="24"/>
      <w:szCs w:val="20"/>
    </w:rPr>
  </w:style>
  <w:style w:type="table" w:styleId="TableGrid">
    <w:name w:val="Table Grid"/>
    <w:basedOn w:val="TableNormal"/>
    <w:uiPriority w:val="39"/>
    <w:rsid w:val="0047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3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86"/>
    <w:rPr>
      <w:rFonts w:ascii="Segoe UI" w:hAnsi="Segoe UI" w:cs="Segoe UI"/>
      <w:sz w:val="18"/>
      <w:szCs w:val="18"/>
    </w:rPr>
  </w:style>
  <w:style w:type="character" w:styleId="CommentReference">
    <w:name w:val="annotation reference"/>
    <w:basedOn w:val="DefaultParagraphFont"/>
    <w:uiPriority w:val="99"/>
    <w:semiHidden/>
    <w:unhideWhenUsed/>
    <w:rsid w:val="00B64D86"/>
    <w:rPr>
      <w:sz w:val="16"/>
      <w:szCs w:val="16"/>
    </w:rPr>
  </w:style>
  <w:style w:type="paragraph" w:styleId="CommentText">
    <w:name w:val="annotation text"/>
    <w:basedOn w:val="Normal"/>
    <w:link w:val="CommentTextChar"/>
    <w:uiPriority w:val="99"/>
    <w:semiHidden/>
    <w:unhideWhenUsed/>
    <w:rsid w:val="00B64D86"/>
    <w:pPr>
      <w:spacing w:line="240" w:lineRule="auto"/>
    </w:pPr>
    <w:rPr>
      <w:sz w:val="20"/>
      <w:szCs w:val="20"/>
    </w:rPr>
  </w:style>
  <w:style w:type="character" w:customStyle="1" w:styleId="CommentTextChar">
    <w:name w:val="Comment Text Char"/>
    <w:basedOn w:val="DefaultParagraphFont"/>
    <w:link w:val="CommentText"/>
    <w:uiPriority w:val="99"/>
    <w:semiHidden/>
    <w:rsid w:val="00B64D86"/>
    <w:rPr>
      <w:sz w:val="20"/>
      <w:szCs w:val="20"/>
    </w:rPr>
  </w:style>
  <w:style w:type="paragraph" w:styleId="CommentSubject">
    <w:name w:val="annotation subject"/>
    <w:basedOn w:val="CommentText"/>
    <w:next w:val="CommentText"/>
    <w:link w:val="CommentSubjectChar"/>
    <w:uiPriority w:val="99"/>
    <w:semiHidden/>
    <w:unhideWhenUsed/>
    <w:rsid w:val="00B64D86"/>
    <w:rPr>
      <w:b/>
      <w:bCs/>
    </w:rPr>
  </w:style>
  <w:style w:type="character" w:customStyle="1" w:styleId="CommentSubjectChar">
    <w:name w:val="Comment Subject Char"/>
    <w:basedOn w:val="CommentTextChar"/>
    <w:link w:val="CommentSubject"/>
    <w:uiPriority w:val="99"/>
    <w:semiHidden/>
    <w:rsid w:val="00B64D86"/>
    <w:rPr>
      <w:b/>
      <w:bCs/>
      <w:sz w:val="20"/>
      <w:szCs w:val="20"/>
    </w:rPr>
  </w:style>
  <w:style w:type="paragraph" w:styleId="Header">
    <w:name w:val="header"/>
    <w:basedOn w:val="Normal"/>
    <w:link w:val="HeaderChar"/>
    <w:uiPriority w:val="99"/>
    <w:semiHidden/>
    <w:unhideWhenUsed/>
    <w:rsid w:val="000F69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964"/>
  </w:style>
  <w:style w:type="paragraph" w:styleId="Footer">
    <w:name w:val="footer"/>
    <w:basedOn w:val="Normal"/>
    <w:link w:val="FooterChar"/>
    <w:uiPriority w:val="99"/>
    <w:semiHidden/>
    <w:unhideWhenUsed/>
    <w:rsid w:val="000F69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F6964"/>
  </w:style>
  <w:style w:type="character" w:styleId="Hyperlink">
    <w:name w:val="Hyperlink"/>
    <w:basedOn w:val="DefaultParagraphFont"/>
    <w:uiPriority w:val="99"/>
    <w:unhideWhenUsed/>
    <w:rsid w:val="00413C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48574">
      <w:bodyDiv w:val="1"/>
      <w:marLeft w:val="0"/>
      <w:marRight w:val="0"/>
      <w:marTop w:val="0"/>
      <w:marBottom w:val="0"/>
      <w:divBdr>
        <w:top w:val="none" w:sz="0" w:space="0" w:color="auto"/>
        <w:left w:val="none" w:sz="0" w:space="0" w:color="auto"/>
        <w:bottom w:val="none" w:sz="0" w:space="0" w:color="auto"/>
        <w:right w:val="none" w:sz="0" w:space="0" w:color="auto"/>
      </w:divBdr>
    </w:div>
    <w:div w:id="686561027">
      <w:bodyDiv w:val="1"/>
      <w:marLeft w:val="0"/>
      <w:marRight w:val="0"/>
      <w:marTop w:val="0"/>
      <w:marBottom w:val="0"/>
      <w:divBdr>
        <w:top w:val="none" w:sz="0" w:space="0" w:color="auto"/>
        <w:left w:val="none" w:sz="0" w:space="0" w:color="auto"/>
        <w:bottom w:val="none" w:sz="0" w:space="0" w:color="auto"/>
        <w:right w:val="none" w:sz="0" w:space="0" w:color="auto"/>
      </w:divBdr>
    </w:div>
    <w:div w:id="720637766">
      <w:bodyDiv w:val="1"/>
      <w:marLeft w:val="0"/>
      <w:marRight w:val="0"/>
      <w:marTop w:val="0"/>
      <w:marBottom w:val="0"/>
      <w:divBdr>
        <w:top w:val="none" w:sz="0" w:space="0" w:color="auto"/>
        <w:left w:val="none" w:sz="0" w:space="0" w:color="auto"/>
        <w:bottom w:val="none" w:sz="0" w:space="0" w:color="auto"/>
        <w:right w:val="none" w:sz="0" w:space="0" w:color="auto"/>
      </w:divBdr>
    </w:div>
    <w:div w:id="151947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un.bhuiyan@swisscontact.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A7F1-F577-4559-ACD0-D5010BD1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Shariful Islam Chowdhury</dc:creator>
  <cp:keywords/>
  <dc:description/>
  <cp:lastModifiedBy>Shariful Islam Chowdhury</cp:lastModifiedBy>
  <cp:revision>38</cp:revision>
  <dcterms:created xsi:type="dcterms:W3CDTF">2020-09-21T09:47:00Z</dcterms:created>
  <dcterms:modified xsi:type="dcterms:W3CDTF">2020-09-23T05:46:00Z</dcterms:modified>
</cp:coreProperties>
</file>