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Franklin Gothic Book" w:hAnsi="Franklin Gothic Book"/>
        </w:rPr>
        <w:id w:val="258255387"/>
        <w:docPartObj>
          <w:docPartGallery w:val="Cover Pages"/>
          <w:docPartUnique/>
        </w:docPartObj>
      </w:sdtPr>
      <w:sdtEndPr>
        <w:rPr>
          <w:rFonts w:ascii="Calibri" w:hAnsi="Calibri"/>
        </w:rPr>
      </w:sdtEndPr>
      <w:sdtContent>
        <w:p w14:paraId="407DD6C2" w14:textId="735AFCA3" w:rsidR="008F156A" w:rsidRPr="00F25042" w:rsidRDefault="008F156A" w:rsidP="00F25042">
          <w:pPr>
            <w:spacing w:after="120" w:line="240" w:lineRule="auto"/>
            <w:rPr>
              <w:rFonts w:ascii="Franklin Gothic Book" w:hAnsi="Franklin Gothic Book"/>
            </w:rPr>
          </w:pPr>
        </w:p>
        <w:p w14:paraId="4F121CA7" w14:textId="77777777" w:rsidR="00F25042" w:rsidRPr="00735C93" w:rsidRDefault="00F25042" w:rsidP="00EC2C20">
          <w:pPr>
            <w:pStyle w:val="ListParagraph"/>
            <w:numPr>
              <w:ilvl w:val="0"/>
              <w:numId w:val="3"/>
            </w:numPr>
            <w:spacing w:after="120" w:line="240" w:lineRule="auto"/>
            <w:contextualSpacing w:val="0"/>
            <w:rPr>
              <w:rFonts w:ascii="Franklin Gothic Book" w:hAnsi="Franklin Gothic Book"/>
              <w:b/>
              <w:bCs/>
            </w:rPr>
          </w:pPr>
          <w:r w:rsidRPr="00735C93">
            <w:rPr>
              <w:rFonts w:ascii="Arial" w:hAnsi="Arial" w:cs="Arial"/>
              <w:b/>
              <w:bCs/>
              <w:sz w:val="24"/>
              <w:szCs w:val="24"/>
            </w:rPr>
            <w:t xml:space="preserve">Background </w:t>
          </w:r>
          <w:r w:rsidRPr="00735C93">
            <w:rPr>
              <w:rFonts w:ascii="Franklin Gothic Book" w:hAnsi="Franklin Gothic Book"/>
              <w:b/>
              <w:bCs/>
            </w:rPr>
            <w:t xml:space="preserve"> </w:t>
          </w:r>
        </w:p>
        <w:p w14:paraId="04E2204B" w14:textId="77777777" w:rsidR="00F25042" w:rsidRPr="00E44DCF" w:rsidRDefault="00F25042" w:rsidP="00F25042">
          <w:pPr>
            <w:spacing w:after="120" w:line="240" w:lineRule="auto"/>
            <w:jc w:val="both"/>
            <w:rPr>
              <w:rFonts w:ascii="Arial" w:hAnsi="Arial" w:cs="Arial"/>
              <w:sz w:val="24"/>
              <w:szCs w:val="24"/>
            </w:rPr>
          </w:pPr>
          <w:r w:rsidRPr="00E44DCF">
            <w:rPr>
              <w:rFonts w:ascii="Arial" w:hAnsi="Arial" w:cs="Arial"/>
              <w:sz w:val="24"/>
              <w:szCs w:val="24"/>
            </w:rPr>
            <w:t>Plan is an international</w:t>
          </w:r>
          <w:r>
            <w:rPr>
              <w:rFonts w:ascii="Arial" w:hAnsi="Arial" w:cs="Arial"/>
              <w:sz w:val="24"/>
              <w:szCs w:val="24"/>
            </w:rPr>
            <w:t xml:space="preserve"> </w:t>
          </w:r>
          <w:r w:rsidRPr="00280505">
            <w:rPr>
              <w:rFonts w:ascii="Arial" w:hAnsi="Arial" w:cs="Arial"/>
              <w:sz w:val="24"/>
              <w:szCs w:val="24"/>
            </w:rPr>
            <w:t xml:space="preserve">development and humanitarian organisation that advances children’s rights and equality for girls. </w:t>
          </w:r>
          <w:r>
            <w:rPr>
              <w:rFonts w:ascii="Arial" w:hAnsi="Arial" w:cs="Arial"/>
              <w:sz w:val="24"/>
              <w:szCs w:val="24"/>
            </w:rPr>
            <w:t xml:space="preserve">The organisation </w:t>
          </w:r>
          <w:r w:rsidRPr="00280505">
            <w:rPr>
              <w:rFonts w:ascii="Arial" w:hAnsi="Arial" w:cs="Arial"/>
              <w:sz w:val="24"/>
              <w:szCs w:val="24"/>
            </w:rPr>
            <w:t>strive</w:t>
          </w:r>
          <w:r>
            <w:rPr>
              <w:rFonts w:ascii="Arial" w:hAnsi="Arial" w:cs="Arial"/>
              <w:sz w:val="24"/>
              <w:szCs w:val="24"/>
            </w:rPr>
            <w:t>s</w:t>
          </w:r>
          <w:r w:rsidRPr="00280505">
            <w:rPr>
              <w:rFonts w:ascii="Arial" w:hAnsi="Arial" w:cs="Arial"/>
              <w:sz w:val="24"/>
              <w:szCs w:val="24"/>
            </w:rPr>
            <w:t xml:space="preserve"> for a just world, working together with children, young people, </w:t>
          </w:r>
          <w:r>
            <w:rPr>
              <w:rFonts w:ascii="Arial" w:hAnsi="Arial" w:cs="Arial"/>
              <w:sz w:val="24"/>
              <w:szCs w:val="24"/>
            </w:rPr>
            <w:t>it’s</w:t>
          </w:r>
          <w:r w:rsidRPr="00280505">
            <w:rPr>
              <w:rFonts w:ascii="Arial" w:hAnsi="Arial" w:cs="Arial"/>
              <w:sz w:val="24"/>
              <w:szCs w:val="24"/>
            </w:rPr>
            <w:t xml:space="preserve"> supporters and </w:t>
          </w:r>
          <w:r w:rsidRPr="0022441E">
            <w:rPr>
              <w:rFonts w:ascii="Arial" w:hAnsi="Arial" w:cs="Arial"/>
              <w:sz w:val="24"/>
              <w:szCs w:val="24"/>
            </w:rPr>
            <w:t>partners. Plan’s vision is of a world in which all children realize their full potential in societies that respect people’s rights and dignity</w:t>
          </w:r>
          <w:r>
            <w:rPr>
              <w:rFonts w:ascii="Arial" w:hAnsi="Arial" w:cs="Arial"/>
              <w:sz w:val="24"/>
              <w:szCs w:val="24"/>
            </w:rPr>
            <w:t>,</w:t>
          </w:r>
          <w:r w:rsidRPr="00F87098">
            <w:t xml:space="preserve"> </w:t>
          </w:r>
          <w:r w:rsidRPr="00F87098">
            <w:rPr>
              <w:rFonts w:ascii="Arial" w:hAnsi="Arial" w:cs="Arial"/>
              <w:sz w:val="24"/>
              <w:szCs w:val="24"/>
            </w:rPr>
            <w:t>a vision now shared by the 193 Heads of State and Government who adopted the 2030 Agenda for Sustainable Development in September 2015.</w:t>
          </w:r>
        </w:p>
        <w:p w14:paraId="71FD86C1" w14:textId="77777777" w:rsidR="00F25042" w:rsidRPr="00B34B3D" w:rsidRDefault="00F25042" w:rsidP="00F25042">
          <w:pPr>
            <w:spacing w:after="120" w:line="240" w:lineRule="auto"/>
            <w:jc w:val="both"/>
            <w:rPr>
              <w:rFonts w:ascii="Arial" w:hAnsi="Arial" w:cs="Arial"/>
              <w:sz w:val="24"/>
              <w:szCs w:val="24"/>
            </w:rPr>
          </w:pPr>
          <w:r w:rsidRPr="00F87098">
            <w:rPr>
              <w:rFonts w:ascii="Arial" w:hAnsi="Arial" w:cs="Arial"/>
              <w:sz w:val="24"/>
              <w:szCs w:val="24"/>
            </w:rPr>
            <w:t>Plan International Bangladesh started its operation in Bangladesh in 1994. Currently as per the new country strategy V (2020-30), Plan International Bangladesh is implementing projects under three thematic areas i.e. LEAD, SOYEE, and SRHR where disaster risk management (DRM) and climate change adaptation (CCA) are cross-cutting themes. In recent years, as part of its country strategy, Plan International Bangladesh has emphasized more to establish an inclusive and effective community-based child protection mechanism at the local and national level.</w:t>
          </w:r>
          <w:r w:rsidRPr="00B34B3D">
            <w:t xml:space="preserve"> </w:t>
          </w:r>
          <w:r w:rsidRPr="00B34B3D">
            <w:rPr>
              <w:rFonts w:ascii="Arial" w:hAnsi="Arial" w:cs="Arial"/>
              <w:sz w:val="24"/>
              <w:szCs w:val="24"/>
            </w:rPr>
            <w:t>By 2030, Plan International Bangladesh will have in</w:t>
          </w:r>
          <w:r>
            <w:rPr>
              <w:rFonts w:ascii="Arial" w:hAnsi="Arial" w:cs="Arial"/>
              <w:sz w:val="24"/>
              <w:szCs w:val="24"/>
            </w:rPr>
            <w:t>fl</w:t>
          </w:r>
          <w:r w:rsidRPr="00B34B3D">
            <w:rPr>
              <w:rFonts w:ascii="Arial" w:hAnsi="Arial" w:cs="Arial"/>
              <w:sz w:val="24"/>
              <w:szCs w:val="24"/>
            </w:rPr>
            <w:t>uenced around 36 million people, including 18</w:t>
          </w:r>
          <w:r>
            <w:rPr>
              <w:rFonts w:ascii="Arial" w:hAnsi="Arial" w:cs="Arial"/>
              <w:sz w:val="24"/>
              <w:szCs w:val="24"/>
            </w:rPr>
            <w:t xml:space="preserve"> </w:t>
          </w:r>
          <w:r w:rsidRPr="00B34B3D">
            <w:rPr>
              <w:rFonts w:ascii="Arial" w:hAnsi="Arial" w:cs="Arial"/>
              <w:sz w:val="24"/>
              <w:szCs w:val="24"/>
            </w:rPr>
            <w:t>million women. Of these, 28 million are currently children and young people aged 0-24, of whom 14</w:t>
          </w:r>
          <w:r>
            <w:rPr>
              <w:rFonts w:ascii="Arial" w:hAnsi="Arial" w:cs="Arial"/>
              <w:sz w:val="24"/>
              <w:szCs w:val="24"/>
            </w:rPr>
            <w:t xml:space="preserve"> </w:t>
          </w:r>
          <w:r w:rsidRPr="00B34B3D">
            <w:rPr>
              <w:rFonts w:ascii="Arial" w:hAnsi="Arial" w:cs="Arial"/>
              <w:sz w:val="24"/>
              <w:szCs w:val="24"/>
            </w:rPr>
            <w:t>million are girls and young women.</w:t>
          </w:r>
        </w:p>
        <w:p w14:paraId="26278C15" w14:textId="77777777" w:rsidR="00F25042" w:rsidRPr="00BA0FAB" w:rsidRDefault="00F25042" w:rsidP="00F25042">
          <w:pPr>
            <w:spacing w:after="0" w:line="240" w:lineRule="auto"/>
            <w:jc w:val="both"/>
            <w:rPr>
              <w:rFonts w:ascii="Arial" w:hAnsi="Arial" w:cs="Arial"/>
              <w:sz w:val="24"/>
              <w:szCs w:val="24"/>
              <w:lang w:val="en-US"/>
            </w:rPr>
          </w:pPr>
          <w:r w:rsidRPr="00DA2415">
            <w:rPr>
              <w:rFonts w:ascii="Arial" w:hAnsi="Arial" w:cs="Arial"/>
              <w:sz w:val="24"/>
              <w:szCs w:val="24"/>
              <w:lang w:val="en-US"/>
            </w:rPr>
            <w:t>Bangladesh continues to have the fourth highest rates of child, early and forced marriage (CEFM)</w:t>
          </w:r>
          <w:r>
            <w:rPr>
              <w:rFonts w:ascii="Arial" w:hAnsi="Arial" w:cs="Arial"/>
              <w:sz w:val="24"/>
              <w:szCs w:val="24"/>
              <w:lang w:val="en-US"/>
            </w:rPr>
            <w:t xml:space="preserve"> </w:t>
          </w:r>
          <w:r w:rsidRPr="00DA2415">
            <w:rPr>
              <w:rFonts w:ascii="Arial" w:hAnsi="Arial" w:cs="Arial"/>
              <w:sz w:val="24"/>
              <w:szCs w:val="24"/>
              <w:lang w:val="en-US"/>
            </w:rPr>
            <w:t>worldwide and the highest rate of marriage (22%) involving girls under the age of 15.</w:t>
          </w:r>
          <w:r w:rsidRPr="004E3EB1">
            <w:rPr>
              <w:rStyle w:val="EndnoteReference"/>
              <w:sz w:val="24"/>
              <w:szCs w:val="24"/>
              <w:lang w:val="en-US"/>
            </w:rPr>
            <w:t xml:space="preserve"> </w:t>
          </w:r>
          <w:r>
            <w:rPr>
              <w:rStyle w:val="EndnoteReference"/>
              <w:sz w:val="24"/>
              <w:szCs w:val="24"/>
              <w:lang w:val="en-US"/>
            </w:rPr>
            <w:endnoteReference w:id="1"/>
          </w:r>
          <w:r w:rsidRPr="00DA2415">
            <w:rPr>
              <w:rFonts w:ascii="Arial" w:hAnsi="Arial" w:cs="Arial"/>
              <w:sz w:val="24"/>
              <w:szCs w:val="24"/>
              <w:lang w:val="en-US"/>
            </w:rPr>
            <w:t xml:space="preserve"> </w:t>
          </w:r>
          <w:r w:rsidRPr="00F87098">
            <w:rPr>
              <w:rFonts w:ascii="Arial" w:hAnsi="Arial" w:cs="Arial"/>
              <w:sz w:val="24"/>
              <w:szCs w:val="24"/>
              <w:lang w:val="en-US"/>
            </w:rPr>
            <w:t>15.5</w:t>
          </w:r>
          <w:r>
            <w:rPr>
              <w:rFonts w:ascii="Arial" w:hAnsi="Arial" w:cs="Arial"/>
              <w:sz w:val="24"/>
              <w:szCs w:val="24"/>
              <w:lang w:val="en-US"/>
            </w:rPr>
            <w:t xml:space="preserve">% </w:t>
          </w:r>
          <w:r w:rsidRPr="00F87098">
            <w:rPr>
              <w:rFonts w:ascii="Arial" w:hAnsi="Arial" w:cs="Arial"/>
              <w:sz w:val="24"/>
              <w:szCs w:val="24"/>
              <w:lang w:val="en-US"/>
            </w:rPr>
            <w:t>women age 20-24 years who were first</w:t>
          </w:r>
          <w:r>
            <w:rPr>
              <w:rFonts w:ascii="Arial" w:hAnsi="Arial" w:cs="Arial"/>
              <w:sz w:val="24"/>
              <w:szCs w:val="24"/>
              <w:lang w:val="en-US"/>
            </w:rPr>
            <w:t xml:space="preserve"> married before the age of 15 and </w:t>
          </w:r>
          <w:r w:rsidRPr="00F87098">
            <w:rPr>
              <w:rFonts w:ascii="Arial" w:hAnsi="Arial" w:cs="Arial"/>
              <w:sz w:val="24"/>
              <w:szCs w:val="24"/>
              <w:lang w:val="en-US"/>
            </w:rPr>
            <w:t>51.4</w:t>
          </w:r>
          <w:r>
            <w:rPr>
              <w:rFonts w:ascii="Arial" w:hAnsi="Arial" w:cs="Arial"/>
              <w:sz w:val="24"/>
              <w:szCs w:val="24"/>
              <w:lang w:val="en-US"/>
            </w:rPr>
            <w:t xml:space="preserve">% </w:t>
          </w:r>
          <w:r w:rsidRPr="00F87098">
            <w:rPr>
              <w:rFonts w:ascii="Arial" w:hAnsi="Arial" w:cs="Arial"/>
              <w:sz w:val="24"/>
              <w:szCs w:val="24"/>
              <w:lang w:val="en-US"/>
            </w:rPr>
            <w:t>women age 20-24 years who were first married</w:t>
          </w:r>
          <w:r>
            <w:rPr>
              <w:rFonts w:ascii="Arial" w:hAnsi="Arial" w:cs="Arial"/>
              <w:sz w:val="24"/>
              <w:szCs w:val="24"/>
              <w:lang w:val="en-US"/>
            </w:rPr>
            <w:t xml:space="preserve"> before the age of 18</w:t>
          </w:r>
          <w:r>
            <w:rPr>
              <w:rStyle w:val="FootnoteReference"/>
              <w:rFonts w:ascii="Arial" w:hAnsi="Arial" w:cs="Arial"/>
              <w:sz w:val="24"/>
              <w:szCs w:val="24"/>
              <w:lang w:val="en-US"/>
            </w:rPr>
            <w:footnoteReference w:id="1"/>
          </w:r>
          <w:r>
            <w:rPr>
              <w:rFonts w:ascii="Arial" w:hAnsi="Arial" w:cs="Arial"/>
              <w:sz w:val="24"/>
              <w:szCs w:val="24"/>
              <w:lang w:val="en-US"/>
            </w:rPr>
            <w:t>.</w:t>
          </w:r>
          <w:r w:rsidRPr="00F87098">
            <w:rPr>
              <w:rFonts w:ascii="Arial" w:hAnsi="Arial" w:cs="Arial"/>
              <w:sz w:val="24"/>
              <w:szCs w:val="24"/>
              <w:lang w:val="en-US"/>
            </w:rPr>
            <w:t xml:space="preserve">Ending child marriage is a high priority for the Government of Bangladesh and a target has been set to eliminate child marriage by 2041. Therefore, Plan International Bangladesh has been working for a long period of time to address child and early marriage in the communities. </w:t>
          </w:r>
        </w:p>
        <w:p w14:paraId="5635BFBE" w14:textId="77777777" w:rsidR="00F25042" w:rsidRPr="00DB0B0A" w:rsidRDefault="00AD5549" w:rsidP="00F25042">
          <w:pPr>
            <w:spacing w:after="120" w:line="240" w:lineRule="auto"/>
            <w:rPr>
              <w:rFonts w:ascii="Franklin Gothic Book" w:hAnsi="Franklin Gothic Book"/>
            </w:rPr>
          </w:pPr>
        </w:p>
      </w:sdtContent>
    </w:sdt>
    <w:p w14:paraId="6709CC1D" w14:textId="77777777" w:rsidR="00F25042" w:rsidRPr="00F35088" w:rsidRDefault="00F25042" w:rsidP="00EC2C20">
      <w:pPr>
        <w:pStyle w:val="ListParagraph"/>
        <w:numPr>
          <w:ilvl w:val="0"/>
          <w:numId w:val="3"/>
        </w:numPr>
        <w:spacing w:after="120" w:line="240" w:lineRule="auto"/>
        <w:contextualSpacing w:val="0"/>
        <w:rPr>
          <w:rFonts w:ascii="Arial" w:hAnsi="Arial" w:cs="Arial"/>
          <w:b/>
          <w:sz w:val="24"/>
          <w:szCs w:val="24"/>
        </w:rPr>
      </w:pPr>
      <w:r w:rsidRPr="00F35088">
        <w:rPr>
          <w:rFonts w:ascii="Arial" w:hAnsi="Arial" w:cs="Arial"/>
          <w:b/>
          <w:sz w:val="24"/>
          <w:szCs w:val="24"/>
        </w:rPr>
        <w:t xml:space="preserve">Project Overview </w:t>
      </w:r>
    </w:p>
    <w:p w14:paraId="7DE86A8B" w14:textId="77777777" w:rsidR="00F25042" w:rsidRDefault="00F25042" w:rsidP="00F25042">
      <w:pPr>
        <w:spacing w:after="120" w:line="240" w:lineRule="auto"/>
        <w:jc w:val="both"/>
        <w:rPr>
          <w:rFonts w:ascii="Arial" w:hAnsi="Arial" w:cs="Arial"/>
          <w:sz w:val="24"/>
          <w:szCs w:val="24"/>
          <w:lang w:val="en-US"/>
        </w:rPr>
      </w:pPr>
      <w:bookmarkStart w:id="0" w:name="_Hlk528057460"/>
      <w:r w:rsidRPr="00BF1040">
        <w:rPr>
          <w:rFonts w:ascii="Arial" w:hAnsi="Arial" w:cs="Arial"/>
          <w:sz w:val="24"/>
          <w:szCs w:val="24"/>
          <w:lang w:val="en-US"/>
        </w:rPr>
        <w:t xml:space="preserve">Combatting Early Marriage in Bangladesh is a five-year initiative that is being carried out by PIB and Plan International Canada and supported by Global Affairs Canada (GAC). The </w:t>
      </w:r>
      <w:r>
        <w:rPr>
          <w:rFonts w:ascii="Arial" w:hAnsi="Arial" w:cs="Arial"/>
          <w:sz w:val="24"/>
          <w:szCs w:val="24"/>
          <w:lang w:val="en-US"/>
        </w:rPr>
        <w:t xml:space="preserve">project </w:t>
      </w:r>
      <w:r w:rsidRPr="00BF1040">
        <w:rPr>
          <w:rFonts w:ascii="Arial" w:hAnsi="Arial" w:cs="Arial"/>
          <w:sz w:val="24"/>
          <w:szCs w:val="24"/>
          <w:lang w:val="en-US"/>
        </w:rPr>
        <w:t>aims to combat Child Early and Forced Marriage (CEFM) and reduce the vulnerability of adolescents, particularly girls, to CEFM in Bhola and Jhalokathi Districts of Bangladesh. This will be achieved through a three-pronged strategy focusing on building the agency of girls and boys in and Out of School (OOS), creating a supportive social environment for married and unmarried girls, and strengthening the effectiveness and functioning of institutions and governance mechanisms to prevent CEFM. To achieve its ultimate objective, Combatting Early Marriage in Bangladesh will 1) Increase agency of adolescents, especially girls to protect themselves from harmful gender norms and practices, including CEFM, and provide to access economic empowerment opportunities 2) Increase community acceptance of norms that value the girl child and actions that support girls and boys to delay marriage 3) Increase responsiveness of duty bearers at national, District, and sub-District levels to prevent and respond to child rights violations, particularly CEFM, among vulnerable girls.</w:t>
      </w:r>
      <w:r>
        <w:rPr>
          <w:rFonts w:ascii="Arial" w:hAnsi="Arial" w:cs="Arial"/>
          <w:sz w:val="24"/>
          <w:szCs w:val="24"/>
          <w:lang w:val="en-US"/>
        </w:rPr>
        <w:t xml:space="preserve"> </w:t>
      </w:r>
    </w:p>
    <w:p w14:paraId="44A7DA5A" w14:textId="77777777" w:rsidR="008F156A" w:rsidRDefault="008F156A" w:rsidP="00F25042">
      <w:pPr>
        <w:spacing w:after="0" w:line="240" w:lineRule="auto"/>
        <w:jc w:val="both"/>
        <w:rPr>
          <w:rFonts w:ascii="Arial" w:hAnsi="Arial" w:cs="Arial"/>
          <w:sz w:val="24"/>
          <w:szCs w:val="24"/>
          <w:lang w:val="en-US"/>
        </w:rPr>
      </w:pPr>
    </w:p>
    <w:p w14:paraId="584C59EB" w14:textId="049AE09F" w:rsidR="00F25042" w:rsidRDefault="00F25042" w:rsidP="00F25042">
      <w:pPr>
        <w:spacing w:after="0" w:line="240" w:lineRule="auto"/>
        <w:jc w:val="both"/>
        <w:rPr>
          <w:rFonts w:ascii="Arial" w:hAnsi="Arial" w:cs="Arial"/>
          <w:sz w:val="24"/>
          <w:szCs w:val="24"/>
          <w:lang w:val="en-US"/>
        </w:rPr>
      </w:pPr>
      <w:r>
        <w:rPr>
          <w:rFonts w:ascii="Arial" w:hAnsi="Arial" w:cs="Arial"/>
          <w:sz w:val="24"/>
          <w:szCs w:val="24"/>
          <w:lang w:val="en-US"/>
        </w:rPr>
        <w:t>The project is being implemented from (June 2018- September 2023) in seven sub-districts of Bhola and Jhalokathi Districts. targeting</w:t>
      </w:r>
      <w:r w:rsidRPr="00BF1040">
        <w:rPr>
          <w:rFonts w:ascii="Arial" w:hAnsi="Arial" w:cs="Arial"/>
          <w:sz w:val="24"/>
          <w:szCs w:val="24"/>
          <w:lang w:val="en-US"/>
        </w:rPr>
        <w:t xml:space="preserve"> a total of 137,162 adolescent beneficiaries including 77,702 (56.6%) girls and 59,460 (43.4 %) boys aged 10 to 19 years. The targeted adolescents reside in three sub-districts in Bhola district and four sub-districts in the Jhal</w:t>
      </w:r>
      <w:r>
        <w:rPr>
          <w:rFonts w:ascii="Arial" w:hAnsi="Arial" w:cs="Arial"/>
          <w:sz w:val="24"/>
          <w:szCs w:val="24"/>
          <w:lang w:val="en-US"/>
        </w:rPr>
        <w:t>o</w:t>
      </w:r>
      <w:r w:rsidRPr="00BF1040">
        <w:rPr>
          <w:rFonts w:ascii="Arial" w:hAnsi="Arial" w:cs="Arial"/>
          <w:sz w:val="24"/>
          <w:szCs w:val="24"/>
          <w:lang w:val="en-US"/>
        </w:rPr>
        <w:t>kat</w:t>
      </w:r>
      <w:r>
        <w:rPr>
          <w:rFonts w:ascii="Arial" w:hAnsi="Arial" w:cs="Arial"/>
          <w:sz w:val="24"/>
          <w:szCs w:val="24"/>
          <w:lang w:val="en-US"/>
        </w:rPr>
        <w:t>h</w:t>
      </w:r>
      <w:r w:rsidRPr="00BF1040">
        <w:rPr>
          <w:rFonts w:ascii="Arial" w:hAnsi="Arial" w:cs="Arial"/>
          <w:sz w:val="24"/>
          <w:szCs w:val="24"/>
          <w:lang w:val="en-US"/>
        </w:rPr>
        <w:t xml:space="preserve">i district. Of these adolescents, there will be an estimated 119,802 in-school adolescents from ages 11-15, including 68,902 (57.5%) girls and 50,900 (42.5%) boys and 14,000 OOS adolescents (5,600 (40%) girls and 8,400 (60%) boys). The in-school adolescents will attend </w:t>
      </w:r>
      <w:r>
        <w:rPr>
          <w:rFonts w:ascii="Arial" w:hAnsi="Arial" w:cs="Arial"/>
          <w:sz w:val="24"/>
          <w:szCs w:val="24"/>
          <w:lang w:val="en-US"/>
        </w:rPr>
        <w:t xml:space="preserve">Gender Equity Movement in school sessions run by teachers or </w:t>
      </w:r>
      <w:r w:rsidRPr="00BF1040">
        <w:rPr>
          <w:rFonts w:ascii="Arial" w:hAnsi="Arial" w:cs="Arial"/>
          <w:sz w:val="24"/>
          <w:szCs w:val="24"/>
          <w:lang w:val="en-US"/>
        </w:rPr>
        <w:t xml:space="preserve">community-based sessions </w:t>
      </w:r>
      <w:r>
        <w:rPr>
          <w:rFonts w:ascii="Arial" w:hAnsi="Arial" w:cs="Arial"/>
          <w:sz w:val="24"/>
          <w:szCs w:val="24"/>
          <w:lang w:val="en-US"/>
        </w:rPr>
        <w:t xml:space="preserve">if schools </w:t>
      </w:r>
      <w:r w:rsidRPr="00BF1040">
        <w:rPr>
          <w:rFonts w:ascii="Arial" w:hAnsi="Arial" w:cs="Arial"/>
          <w:sz w:val="24"/>
          <w:szCs w:val="24"/>
          <w:lang w:val="en-US"/>
        </w:rPr>
        <w:t>remain closed due to COVID 19</w:t>
      </w:r>
      <w:r>
        <w:rPr>
          <w:rFonts w:ascii="Arial" w:hAnsi="Arial" w:cs="Arial"/>
          <w:sz w:val="24"/>
          <w:szCs w:val="24"/>
          <w:lang w:val="en-US"/>
        </w:rPr>
        <w:t xml:space="preserve">. </w:t>
      </w:r>
      <w:r w:rsidRPr="00BF1040">
        <w:rPr>
          <w:rFonts w:ascii="Arial" w:hAnsi="Arial" w:cs="Arial"/>
          <w:sz w:val="24"/>
          <w:szCs w:val="24"/>
          <w:lang w:val="en-US"/>
        </w:rPr>
        <w:t>The project aims to reach the adolescents through support to OOS EE and ASRHR groups, OOS peer leaders, classroom integrated GEM in Schools’, in-school adolescent corners, and SBCC events. Considering the unique risks related to violence and health that young women face, and the ultimate outcome of reducing vulnerability to child marriage, the project targets primarily unmarried, at-risk adolescents</w:t>
      </w:r>
      <w:r>
        <w:rPr>
          <w:rFonts w:ascii="Arial" w:hAnsi="Arial" w:cs="Arial"/>
          <w:sz w:val="24"/>
          <w:szCs w:val="24"/>
          <w:lang w:val="en-US"/>
        </w:rPr>
        <w:t xml:space="preserve">. </w:t>
      </w:r>
      <w:bookmarkStart w:id="1" w:name="_Hlk517079753"/>
      <w:bookmarkStart w:id="2" w:name="_Hlk517426452"/>
    </w:p>
    <w:p w14:paraId="04227D4B" w14:textId="77777777" w:rsidR="00F25042" w:rsidRDefault="00F25042" w:rsidP="00F25042">
      <w:pPr>
        <w:spacing w:after="0" w:line="240" w:lineRule="auto"/>
        <w:jc w:val="both"/>
        <w:rPr>
          <w:rFonts w:ascii="Arial" w:eastAsia="Arial" w:hAnsi="Arial" w:cs="Arial"/>
          <w:color w:val="000000"/>
          <w:sz w:val="24"/>
          <w:szCs w:val="24"/>
        </w:rPr>
      </w:pPr>
    </w:p>
    <w:p w14:paraId="3A2D4F75" w14:textId="77777777" w:rsidR="00F25042" w:rsidRDefault="00F25042" w:rsidP="00F25042">
      <w:pPr>
        <w:spacing w:after="0" w:line="240" w:lineRule="auto"/>
        <w:jc w:val="both"/>
        <w:rPr>
          <w:rFonts w:ascii="Arial" w:eastAsia="Arial" w:hAnsi="Arial" w:cs="Arial"/>
          <w:color w:val="000000"/>
          <w:sz w:val="24"/>
          <w:szCs w:val="24"/>
        </w:rPr>
      </w:pPr>
      <w:r w:rsidRPr="006A2326">
        <w:rPr>
          <w:rFonts w:ascii="Arial" w:eastAsia="Arial" w:hAnsi="Arial" w:cs="Arial"/>
          <w:color w:val="000000"/>
          <w:sz w:val="24"/>
          <w:szCs w:val="24"/>
        </w:rPr>
        <w:t>The reach calculations consider estimations of in-school population based on 2017 Bangladesh statistics issued by the Bureau of Educational Information and Statistics (BANBEIS) for Bhola and Jhalakati and adjusted for the number, type, and grades of project intervention schools. Within the seven sub-districts, the project target</w:t>
      </w:r>
      <w:r>
        <w:rPr>
          <w:rFonts w:ascii="Arial" w:eastAsia="Arial" w:hAnsi="Arial" w:cs="Arial"/>
          <w:color w:val="000000"/>
          <w:sz w:val="24"/>
          <w:szCs w:val="24"/>
        </w:rPr>
        <w:t>s</w:t>
      </w:r>
      <w:r w:rsidRPr="006A2326">
        <w:rPr>
          <w:rFonts w:ascii="Arial" w:eastAsia="Arial" w:hAnsi="Arial" w:cs="Arial"/>
          <w:color w:val="000000"/>
          <w:sz w:val="24"/>
          <w:szCs w:val="24"/>
        </w:rPr>
        <w:t xml:space="preserve"> 440 schools (134 in Bhola and 306 in Jhalakati). Of these, 216 are Secondary Schools, 46 are Junior Schools, 10 are School &amp; College, 34 are Madrasah Alim and 134 are Madrasah </w:t>
      </w:r>
      <w:proofErr w:type="spellStart"/>
      <w:r w:rsidRPr="006A2326">
        <w:rPr>
          <w:rFonts w:ascii="Arial" w:eastAsia="Arial" w:hAnsi="Arial" w:cs="Arial"/>
          <w:color w:val="000000"/>
          <w:sz w:val="24"/>
          <w:szCs w:val="24"/>
        </w:rPr>
        <w:t>Dakhil</w:t>
      </w:r>
      <w:proofErr w:type="spellEnd"/>
      <w:r w:rsidRPr="006A2326">
        <w:rPr>
          <w:rFonts w:ascii="Arial" w:eastAsia="Arial" w:hAnsi="Arial" w:cs="Arial"/>
          <w:color w:val="000000"/>
          <w:sz w:val="24"/>
          <w:szCs w:val="24"/>
        </w:rPr>
        <w:t xml:space="preserve">. Classroom integrated Gender Equality Movement in Schools sessions aim to cover 100% of the estimated student population for grades 6 and 7 in Junior Schools and grades 6, 7, and 9 in all other schools, as well as 50% of the grade 8 population in Junior Schools and 50% of grades 8 and 10 in all other schools through activities in adolescent corners. </w:t>
      </w:r>
      <w:r>
        <w:rPr>
          <w:rFonts w:ascii="Arial" w:eastAsia="Arial" w:hAnsi="Arial" w:cs="Arial"/>
          <w:color w:val="000000"/>
          <w:sz w:val="24"/>
          <w:szCs w:val="24"/>
        </w:rPr>
        <w:t xml:space="preserve">The details of project reach are provided in Table 1. Number of different types of schools and boys and girls included in those schools are given in Table 2. </w:t>
      </w:r>
    </w:p>
    <w:p w14:paraId="774E1198" w14:textId="77777777" w:rsidR="00F25042" w:rsidRDefault="00F25042" w:rsidP="00F25042">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bookmarkEnd w:id="1"/>
    <w:p w14:paraId="0905E91C" w14:textId="77777777" w:rsidR="00F25042" w:rsidRDefault="00F25042" w:rsidP="00F25042">
      <w:pPr>
        <w:spacing w:after="120" w:line="240" w:lineRule="auto"/>
        <w:jc w:val="both"/>
        <w:rPr>
          <w:rFonts w:ascii="Arial" w:eastAsia="Arial" w:hAnsi="Arial" w:cs="Arial"/>
          <w:b/>
          <w:color w:val="000000"/>
          <w:sz w:val="24"/>
          <w:szCs w:val="24"/>
        </w:rPr>
      </w:pPr>
      <w:r w:rsidRPr="004901D1">
        <w:rPr>
          <w:rFonts w:ascii="Arial" w:eastAsia="Arial" w:hAnsi="Arial" w:cs="Arial"/>
          <w:b/>
          <w:color w:val="000000"/>
          <w:sz w:val="24"/>
          <w:szCs w:val="24"/>
        </w:rPr>
        <w:t>Table 1. The details of project reach</w:t>
      </w:r>
      <w:r>
        <w:rPr>
          <w:rFonts w:ascii="Arial" w:eastAsia="Arial" w:hAnsi="Arial" w:cs="Arial"/>
          <w:b/>
          <w:color w:val="000000"/>
          <w:sz w:val="24"/>
          <w:szCs w:val="24"/>
        </w:rPr>
        <w:t xml:space="preserve"> </w:t>
      </w:r>
      <w:r w:rsidRPr="00BB7589">
        <w:rPr>
          <w:rFonts w:ascii="Arial" w:eastAsia="Arial" w:hAnsi="Arial" w:cs="Arial"/>
          <w:b/>
          <w:color w:val="000000"/>
          <w:sz w:val="24"/>
          <w:szCs w:val="24"/>
        </w:rPr>
        <w:t>in Bhola and Jhalokat</w:t>
      </w:r>
      <w:r>
        <w:rPr>
          <w:rFonts w:ascii="Arial" w:eastAsia="Arial" w:hAnsi="Arial" w:cs="Arial"/>
          <w:b/>
          <w:color w:val="000000"/>
          <w:sz w:val="24"/>
          <w:szCs w:val="24"/>
        </w:rPr>
        <w:t>h</w:t>
      </w:r>
      <w:r w:rsidRPr="00BB7589">
        <w:rPr>
          <w:rFonts w:ascii="Arial" w:eastAsia="Arial" w:hAnsi="Arial" w:cs="Arial"/>
          <w:b/>
          <w:color w:val="000000"/>
          <w:sz w:val="24"/>
          <w:szCs w:val="24"/>
        </w:rPr>
        <w:t>i district.</w:t>
      </w:r>
      <w:r w:rsidRPr="004901D1">
        <w:rPr>
          <w:rFonts w:ascii="Arial" w:eastAsia="Arial" w:hAnsi="Arial" w:cs="Arial"/>
          <w:b/>
          <w:color w:val="000000"/>
          <w:sz w:val="24"/>
          <w:szCs w:val="24"/>
        </w:rPr>
        <w:t xml:space="preserve"> </w:t>
      </w:r>
    </w:p>
    <w:tbl>
      <w:tblPr>
        <w:tblW w:w="9000" w:type="dxa"/>
        <w:tblInd w:w="-10" w:type="dxa"/>
        <w:tblLook w:val="04A0" w:firstRow="1" w:lastRow="0" w:firstColumn="1" w:lastColumn="0" w:noHBand="0" w:noVBand="1"/>
      </w:tblPr>
      <w:tblGrid>
        <w:gridCol w:w="5197"/>
        <w:gridCol w:w="1168"/>
        <w:gridCol w:w="1258"/>
        <w:gridCol w:w="1377"/>
      </w:tblGrid>
      <w:tr w:rsidR="00F25042" w:rsidRPr="00427C25" w14:paraId="7075161D" w14:textId="77777777" w:rsidTr="00F25042">
        <w:trPr>
          <w:trHeight w:val="142"/>
          <w:tblHeader/>
        </w:trPr>
        <w:tc>
          <w:tcPr>
            <w:tcW w:w="5197" w:type="dxa"/>
            <w:tcBorders>
              <w:top w:val="single" w:sz="8" w:space="0" w:color="0072CE"/>
              <w:bottom w:val="nil"/>
              <w:right w:val="nil"/>
            </w:tcBorders>
            <w:shd w:val="clear" w:color="auto" w:fill="365F91" w:themeFill="accent1" w:themeFillShade="BF"/>
          </w:tcPr>
          <w:bookmarkEnd w:id="2"/>
          <w:p w14:paraId="42CC986F" w14:textId="77777777" w:rsidR="00F25042" w:rsidRPr="00427C25" w:rsidRDefault="00F25042" w:rsidP="00F25042">
            <w:pPr>
              <w:rPr>
                <w:rFonts w:eastAsiaTheme="minorHAnsi" w:cs="Arial"/>
                <w:b/>
                <w:bCs/>
                <w:color w:val="FFFFFF" w:themeColor="background1"/>
                <w:szCs w:val="20"/>
              </w:rPr>
            </w:pPr>
            <w:r w:rsidRPr="00427C25">
              <w:rPr>
                <w:rFonts w:eastAsiaTheme="minorHAnsi" w:cs="Arial"/>
                <w:b/>
                <w:bCs/>
                <w:color w:val="FFFFFF" w:themeColor="background1"/>
                <w:szCs w:val="20"/>
              </w:rPr>
              <w:t>ESTIMATED TOTAL REACH</w:t>
            </w:r>
          </w:p>
        </w:tc>
        <w:tc>
          <w:tcPr>
            <w:tcW w:w="1168" w:type="dxa"/>
            <w:tcBorders>
              <w:top w:val="single" w:sz="8" w:space="0" w:color="0072CE"/>
              <w:left w:val="nil"/>
              <w:bottom w:val="nil"/>
              <w:right w:val="nil"/>
            </w:tcBorders>
            <w:shd w:val="clear" w:color="auto" w:fill="365F91" w:themeFill="accent1" w:themeFillShade="BF"/>
            <w:vAlign w:val="center"/>
          </w:tcPr>
          <w:p w14:paraId="3E00BC2E" w14:textId="77777777" w:rsidR="00F25042" w:rsidRPr="00427C25" w:rsidRDefault="00F25042" w:rsidP="00F25042">
            <w:pPr>
              <w:jc w:val="center"/>
              <w:rPr>
                <w:rFonts w:eastAsiaTheme="minorHAnsi" w:cs="Arial"/>
                <w:b/>
                <w:bCs/>
                <w:color w:val="FFFFFF" w:themeColor="background1"/>
                <w:szCs w:val="20"/>
              </w:rPr>
            </w:pPr>
            <w:r w:rsidRPr="00427C25">
              <w:rPr>
                <w:rFonts w:eastAsiaTheme="minorHAnsi" w:cs="Arial"/>
                <w:b/>
                <w:bCs/>
                <w:color w:val="FFFFFF" w:themeColor="background1"/>
                <w:szCs w:val="20"/>
              </w:rPr>
              <w:t>Female</w:t>
            </w:r>
          </w:p>
        </w:tc>
        <w:tc>
          <w:tcPr>
            <w:tcW w:w="1258" w:type="dxa"/>
            <w:tcBorders>
              <w:top w:val="single" w:sz="8" w:space="0" w:color="0072CE"/>
              <w:left w:val="nil"/>
              <w:bottom w:val="nil"/>
              <w:right w:val="nil"/>
            </w:tcBorders>
            <w:shd w:val="clear" w:color="auto" w:fill="365F91" w:themeFill="accent1" w:themeFillShade="BF"/>
            <w:vAlign w:val="center"/>
          </w:tcPr>
          <w:p w14:paraId="3D401318" w14:textId="77777777" w:rsidR="00F25042" w:rsidRPr="00427C25" w:rsidRDefault="00F25042" w:rsidP="00F25042">
            <w:pPr>
              <w:jc w:val="center"/>
              <w:rPr>
                <w:rFonts w:eastAsiaTheme="minorHAnsi" w:cs="Arial"/>
                <w:b/>
                <w:bCs/>
                <w:color w:val="FFFFFF" w:themeColor="background1"/>
                <w:szCs w:val="20"/>
              </w:rPr>
            </w:pPr>
            <w:r w:rsidRPr="00427C25">
              <w:rPr>
                <w:rFonts w:eastAsiaTheme="minorHAnsi" w:cs="Arial"/>
                <w:b/>
                <w:bCs/>
                <w:color w:val="FFFFFF" w:themeColor="background1"/>
                <w:szCs w:val="20"/>
              </w:rPr>
              <w:t>Male</w:t>
            </w:r>
          </w:p>
        </w:tc>
        <w:tc>
          <w:tcPr>
            <w:tcW w:w="1377" w:type="dxa"/>
            <w:tcBorders>
              <w:top w:val="single" w:sz="8" w:space="0" w:color="0072CE"/>
              <w:left w:val="nil"/>
              <w:bottom w:val="nil"/>
            </w:tcBorders>
            <w:shd w:val="clear" w:color="auto" w:fill="365F91" w:themeFill="accent1" w:themeFillShade="BF"/>
            <w:vAlign w:val="center"/>
          </w:tcPr>
          <w:p w14:paraId="5E294626" w14:textId="77777777" w:rsidR="00F25042" w:rsidRPr="00427C25" w:rsidRDefault="00F25042" w:rsidP="00F25042">
            <w:pPr>
              <w:jc w:val="center"/>
              <w:rPr>
                <w:rFonts w:eastAsiaTheme="minorHAnsi" w:cs="Arial"/>
                <w:b/>
                <w:bCs/>
                <w:color w:val="FFFFFF" w:themeColor="background1"/>
                <w:szCs w:val="20"/>
              </w:rPr>
            </w:pPr>
            <w:r w:rsidRPr="00427C25">
              <w:rPr>
                <w:rFonts w:eastAsiaTheme="minorHAnsi" w:cs="Arial"/>
                <w:b/>
                <w:bCs/>
                <w:color w:val="FFFFFF" w:themeColor="background1"/>
                <w:szCs w:val="20"/>
              </w:rPr>
              <w:t>Total</w:t>
            </w:r>
          </w:p>
        </w:tc>
      </w:tr>
      <w:tr w:rsidR="00F25042" w:rsidRPr="00427C25" w14:paraId="72862F9C" w14:textId="77777777" w:rsidTr="00F25042">
        <w:tc>
          <w:tcPr>
            <w:tcW w:w="5197" w:type="dxa"/>
            <w:tcBorders>
              <w:top w:val="nil"/>
              <w:left w:val="nil"/>
              <w:right w:val="nil"/>
            </w:tcBorders>
            <w:vAlign w:val="center"/>
          </w:tcPr>
          <w:p w14:paraId="56DE4F78" w14:textId="77777777" w:rsidR="00F25042" w:rsidRPr="00427C25" w:rsidRDefault="00F25042" w:rsidP="00F25042">
            <w:pPr>
              <w:rPr>
                <w:rFonts w:eastAsiaTheme="minorHAnsi" w:cs="Arial"/>
                <w:b/>
                <w:bCs/>
                <w:color w:val="000000"/>
                <w:szCs w:val="20"/>
              </w:rPr>
            </w:pPr>
            <w:r w:rsidRPr="00427C25">
              <w:rPr>
                <w:rFonts w:eastAsiaTheme="minorHAnsi" w:cs="Arial"/>
                <w:b/>
                <w:bCs/>
                <w:color w:val="000000"/>
                <w:szCs w:val="20"/>
              </w:rPr>
              <w:t>Beneficiaries:</w:t>
            </w:r>
          </w:p>
        </w:tc>
        <w:tc>
          <w:tcPr>
            <w:tcW w:w="1168" w:type="dxa"/>
            <w:tcBorders>
              <w:top w:val="nil"/>
              <w:left w:val="nil"/>
              <w:right w:val="nil"/>
            </w:tcBorders>
            <w:vAlign w:val="center"/>
          </w:tcPr>
          <w:p w14:paraId="299B8F07"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c>
          <w:tcPr>
            <w:tcW w:w="1258" w:type="dxa"/>
            <w:tcBorders>
              <w:top w:val="nil"/>
              <w:left w:val="nil"/>
              <w:right w:val="nil"/>
            </w:tcBorders>
            <w:vAlign w:val="center"/>
          </w:tcPr>
          <w:p w14:paraId="4FCAD09D"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c>
          <w:tcPr>
            <w:tcW w:w="1377" w:type="dxa"/>
            <w:tcBorders>
              <w:top w:val="nil"/>
              <w:left w:val="nil"/>
              <w:right w:val="nil"/>
            </w:tcBorders>
            <w:vAlign w:val="center"/>
          </w:tcPr>
          <w:p w14:paraId="32B20568"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r>
      <w:tr w:rsidR="00F25042" w:rsidRPr="00427C25" w14:paraId="16CB88A6" w14:textId="77777777" w:rsidTr="00F25042">
        <w:tc>
          <w:tcPr>
            <w:tcW w:w="5197" w:type="dxa"/>
            <w:tcBorders>
              <w:top w:val="single" w:sz="8" w:space="0" w:color="0072CE"/>
              <w:left w:val="nil"/>
              <w:bottom w:val="nil"/>
              <w:right w:val="nil"/>
            </w:tcBorders>
          </w:tcPr>
          <w:p w14:paraId="20DD62CB" w14:textId="77777777" w:rsidR="00F25042" w:rsidRPr="00427C25" w:rsidRDefault="00F25042" w:rsidP="00F25042">
            <w:pPr>
              <w:ind w:left="176"/>
              <w:rPr>
                <w:rFonts w:eastAsiaTheme="minorHAnsi" w:cs="Arial"/>
                <w:bCs/>
                <w:color w:val="000000"/>
                <w:szCs w:val="20"/>
              </w:rPr>
            </w:pPr>
            <w:r w:rsidRPr="00427C25">
              <w:rPr>
                <w:rFonts w:eastAsiaTheme="minorHAnsi" w:cs="Arial"/>
                <w:b/>
                <w:bCs/>
                <w:color w:val="000000"/>
                <w:szCs w:val="20"/>
              </w:rPr>
              <w:t xml:space="preserve">Adolescents 11-15 years (in-school) </w:t>
            </w:r>
            <w:r w:rsidRPr="00427C25">
              <w:rPr>
                <w:rFonts w:eastAsiaTheme="minorHAnsi" w:cs="Arial"/>
                <w:b/>
                <w:bCs/>
                <w:i/>
                <w:iCs/>
                <w:color w:val="000000"/>
                <w:szCs w:val="20"/>
              </w:rPr>
              <w:t>[A]</w:t>
            </w:r>
          </w:p>
        </w:tc>
        <w:tc>
          <w:tcPr>
            <w:tcW w:w="1168" w:type="dxa"/>
            <w:tcBorders>
              <w:top w:val="single" w:sz="8" w:space="0" w:color="0072CE"/>
              <w:left w:val="nil"/>
              <w:bottom w:val="nil"/>
              <w:right w:val="nil"/>
            </w:tcBorders>
            <w:vAlign w:val="center"/>
          </w:tcPr>
          <w:p w14:paraId="6823C79B"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68,902</w:t>
            </w:r>
          </w:p>
        </w:tc>
        <w:tc>
          <w:tcPr>
            <w:tcW w:w="1258" w:type="dxa"/>
            <w:tcBorders>
              <w:top w:val="single" w:sz="8" w:space="0" w:color="0072CE"/>
              <w:left w:val="nil"/>
              <w:bottom w:val="nil"/>
              <w:right w:val="nil"/>
            </w:tcBorders>
            <w:vAlign w:val="center"/>
          </w:tcPr>
          <w:p w14:paraId="3FAD788C"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50,900</w:t>
            </w:r>
          </w:p>
        </w:tc>
        <w:tc>
          <w:tcPr>
            <w:tcW w:w="1377" w:type="dxa"/>
            <w:tcBorders>
              <w:top w:val="single" w:sz="8" w:space="0" w:color="0072CE"/>
              <w:left w:val="nil"/>
              <w:bottom w:val="nil"/>
              <w:right w:val="nil"/>
            </w:tcBorders>
            <w:vAlign w:val="center"/>
          </w:tcPr>
          <w:p w14:paraId="7CF67AA2"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119,802</w:t>
            </w:r>
          </w:p>
        </w:tc>
      </w:tr>
      <w:tr w:rsidR="00F25042" w:rsidRPr="00427C25" w14:paraId="2247B275" w14:textId="77777777" w:rsidTr="00F25042">
        <w:tc>
          <w:tcPr>
            <w:tcW w:w="5197" w:type="dxa"/>
            <w:tcBorders>
              <w:top w:val="nil"/>
              <w:left w:val="nil"/>
              <w:bottom w:val="nil"/>
              <w:right w:val="nil"/>
            </w:tcBorders>
          </w:tcPr>
          <w:p w14:paraId="1945FC15" w14:textId="77777777" w:rsidR="00F25042" w:rsidRPr="00427C25" w:rsidRDefault="00F25042" w:rsidP="00F25042">
            <w:pPr>
              <w:ind w:left="176"/>
              <w:rPr>
                <w:rFonts w:eastAsiaTheme="minorHAnsi" w:cs="Arial"/>
                <w:bCs/>
                <w:color w:val="000000"/>
                <w:szCs w:val="20"/>
              </w:rPr>
            </w:pPr>
            <w:r w:rsidRPr="00427C25">
              <w:rPr>
                <w:rFonts w:eastAsiaTheme="minorHAnsi" w:cs="Arial"/>
                <w:b/>
                <w:bCs/>
                <w:color w:val="000000"/>
                <w:szCs w:val="20"/>
              </w:rPr>
              <w:t>Adolescents 10-19 years (out-of-school)</w:t>
            </w:r>
            <w:r w:rsidRPr="00427C25">
              <w:rPr>
                <w:rFonts w:eastAsiaTheme="minorHAnsi" w:cs="Arial"/>
                <w:b/>
                <w:bCs/>
                <w:color w:val="000000"/>
                <w:szCs w:val="20"/>
              </w:rPr>
              <w:tab/>
            </w:r>
          </w:p>
        </w:tc>
        <w:tc>
          <w:tcPr>
            <w:tcW w:w="1168" w:type="dxa"/>
            <w:tcBorders>
              <w:top w:val="nil"/>
              <w:left w:val="nil"/>
              <w:bottom w:val="nil"/>
              <w:right w:val="nil"/>
            </w:tcBorders>
            <w:vAlign w:val="center"/>
          </w:tcPr>
          <w:p w14:paraId="2CE478D0"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highlight w:val="green"/>
              </w:rPr>
            </w:pPr>
            <w:r w:rsidRPr="00427C25">
              <w:rPr>
                <w:rFonts w:eastAsiaTheme="minorHAnsi" w:cs="Arial"/>
                <w:color w:val="000000"/>
                <w:szCs w:val="20"/>
              </w:rPr>
              <w:t>5,600</w:t>
            </w:r>
          </w:p>
        </w:tc>
        <w:tc>
          <w:tcPr>
            <w:tcW w:w="1258" w:type="dxa"/>
            <w:tcBorders>
              <w:top w:val="nil"/>
              <w:left w:val="nil"/>
              <w:bottom w:val="nil"/>
              <w:right w:val="nil"/>
            </w:tcBorders>
            <w:vAlign w:val="center"/>
          </w:tcPr>
          <w:p w14:paraId="53FB8C78"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highlight w:val="green"/>
              </w:rPr>
            </w:pPr>
            <w:r w:rsidRPr="00427C25">
              <w:rPr>
                <w:rFonts w:eastAsiaTheme="minorHAnsi" w:cs="Arial"/>
                <w:color w:val="000000"/>
                <w:szCs w:val="20"/>
              </w:rPr>
              <w:t>8,400</w:t>
            </w:r>
          </w:p>
        </w:tc>
        <w:tc>
          <w:tcPr>
            <w:tcW w:w="1377" w:type="dxa"/>
            <w:tcBorders>
              <w:top w:val="nil"/>
              <w:left w:val="nil"/>
              <w:bottom w:val="nil"/>
              <w:right w:val="nil"/>
            </w:tcBorders>
            <w:vAlign w:val="center"/>
          </w:tcPr>
          <w:p w14:paraId="7448A751"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highlight w:val="green"/>
              </w:rPr>
            </w:pPr>
            <w:r w:rsidRPr="00427C25">
              <w:rPr>
                <w:rFonts w:eastAsiaTheme="minorHAnsi" w:cs="Arial"/>
                <w:color w:val="000000"/>
                <w:szCs w:val="20"/>
              </w:rPr>
              <w:t>14,000</w:t>
            </w:r>
          </w:p>
        </w:tc>
      </w:tr>
      <w:tr w:rsidR="00F25042" w:rsidRPr="00427C25" w14:paraId="58710E9A" w14:textId="77777777" w:rsidTr="00F25042">
        <w:tc>
          <w:tcPr>
            <w:tcW w:w="5197" w:type="dxa"/>
            <w:tcBorders>
              <w:top w:val="nil"/>
              <w:left w:val="nil"/>
              <w:bottom w:val="single" w:sz="8" w:space="0" w:color="0072CE"/>
              <w:right w:val="nil"/>
            </w:tcBorders>
          </w:tcPr>
          <w:p w14:paraId="3395F8DD" w14:textId="77777777" w:rsidR="00F25042" w:rsidRPr="00427C25" w:rsidRDefault="00F25042" w:rsidP="00F25042">
            <w:pPr>
              <w:ind w:left="176"/>
              <w:rPr>
                <w:rFonts w:eastAsiaTheme="minorHAnsi" w:cs="Arial"/>
                <w:color w:val="000000"/>
                <w:szCs w:val="20"/>
              </w:rPr>
            </w:pPr>
            <w:r w:rsidRPr="00427C25">
              <w:rPr>
                <w:rFonts w:eastAsiaTheme="minorHAnsi" w:cs="Arial"/>
                <w:b/>
                <w:bCs/>
                <w:color w:val="000000"/>
                <w:szCs w:val="20"/>
              </w:rPr>
              <w:t xml:space="preserve">Adolescents 10-19 years (EE component) </w:t>
            </w:r>
            <w:r w:rsidRPr="00427C25">
              <w:rPr>
                <w:rFonts w:eastAsiaTheme="minorHAnsi" w:cs="Arial"/>
                <w:b/>
                <w:bCs/>
                <w:i/>
                <w:iCs/>
                <w:color w:val="000000"/>
                <w:szCs w:val="20"/>
              </w:rPr>
              <w:t>[B]</w:t>
            </w:r>
          </w:p>
        </w:tc>
        <w:tc>
          <w:tcPr>
            <w:tcW w:w="1168" w:type="dxa"/>
            <w:tcBorders>
              <w:top w:val="nil"/>
              <w:left w:val="nil"/>
              <w:bottom w:val="single" w:sz="8" w:space="0" w:color="0072CE"/>
              <w:right w:val="nil"/>
            </w:tcBorders>
            <w:vAlign w:val="center"/>
          </w:tcPr>
          <w:p w14:paraId="1B78FF45"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3,200</w:t>
            </w:r>
          </w:p>
        </w:tc>
        <w:tc>
          <w:tcPr>
            <w:tcW w:w="1258" w:type="dxa"/>
            <w:tcBorders>
              <w:top w:val="nil"/>
              <w:left w:val="nil"/>
              <w:bottom w:val="single" w:sz="8" w:space="0" w:color="0072CE"/>
              <w:right w:val="nil"/>
            </w:tcBorders>
            <w:vAlign w:val="center"/>
          </w:tcPr>
          <w:p w14:paraId="0BE5AA66"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160114, 510</w:t>
            </w:r>
          </w:p>
        </w:tc>
        <w:tc>
          <w:tcPr>
            <w:tcW w:w="1377" w:type="dxa"/>
            <w:tcBorders>
              <w:top w:val="nil"/>
              <w:left w:val="nil"/>
              <w:bottom w:val="single" w:sz="8" w:space="0" w:color="0072CE"/>
              <w:right w:val="nil"/>
            </w:tcBorders>
            <w:vAlign w:val="center"/>
          </w:tcPr>
          <w:p w14:paraId="04C6C49B"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3,360</w:t>
            </w:r>
          </w:p>
        </w:tc>
      </w:tr>
      <w:tr w:rsidR="00F25042" w:rsidRPr="00427C25" w14:paraId="6C42F01C" w14:textId="77777777" w:rsidTr="00F25042">
        <w:tc>
          <w:tcPr>
            <w:tcW w:w="5197" w:type="dxa"/>
            <w:tcBorders>
              <w:left w:val="nil"/>
              <w:right w:val="nil"/>
            </w:tcBorders>
          </w:tcPr>
          <w:p w14:paraId="044A0ECE" w14:textId="77777777" w:rsidR="00F25042" w:rsidRPr="00427C25" w:rsidRDefault="00F25042" w:rsidP="00F25042">
            <w:pPr>
              <w:jc w:val="right"/>
              <w:rPr>
                <w:rFonts w:eastAsiaTheme="minorHAnsi" w:cs="Arial"/>
                <w:b/>
                <w:bCs/>
                <w:color w:val="000000"/>
                <w:szCs w:val="20"/>
              </w:rPr>
            </w:pPr>
            <w:r w:rsidRPr="00427C25">
              <w:rPr>
                <w:rFonts w:eastAsiaTheme="minorHAnsi" w:cs="Arial"/>
                <w:b/>
                <w:bCs/>
                <w:color w:val="000000"/>
                <w:szCs w:val="20"/>
              </w:rPr>
              <w:t>Total</w:t>
            </w:r>
          </w:p>
        </w:tc>
        <w:tc>
          <w:tcPr>
            <w:tcW w:w="1168" w:type="dxa"/>
            <w:tcBorders>
              <w:left w:val="nil"/>
              <w:right w:val="nil"/>
            </w:tcBorders>
            <w:vAlign w:val="center"/>
          </w:tcPr>
          <w:p w14:paraId="282694AF"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77,702</w:t>
            </w:r>
          </w:p>
        </w:tc>
        <w:tc>
          <w:tcPr>
            <w:tcW w:w="1258" w:type="dxa"/>
            <w:tcBorders>
              <w:left w:val="nil"/>
              <w:right w:val="nil"/>
            </w:tcBorders>
            <w:vAlign w:val="center"/>
          </w:tcPr>
          <w:p w14:paraId="6B22B89E"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59,460</w:t>
            </w:r>
          </w:p>
        </w:tc>
        <w:tc>
          <w:tcPr>
            <w:tcW w:w="1377" w:type="dxa"/>
            <w:tcBorders>
              <w:left w:val="nil"/>
              <w:right w:val="nil"/>
            </w:tcBorders>
            <w:vAlign w:val="center"/>
          </w:tcPr>
          <w:p w14:paraId="2E116456"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137,162</w:t>
            </w:r>
          </w:p>
        </w:tc>
      </w:tr>
      <w:tr w:rsidR="00F25042" w:rsidRPr="00427C25" w14:paraId="601F92C2" w14:textId="77777777" w:rsidTr="00F25042">
        <w:tc>
          <w:tcPr>
            <w:tcW w:w="5197" w:type="dxa"/>
            <w:tcBorders>
              <w:left w:val="nil"/>
              <w:right w:val="nil"/>
            </w:tcBorders>
            <w:shd w:val="clear" w:color="auto" w:fill="FFFFFF"/>
          </w:tcPr>
          <w:p w14:paraId="5394FF93" w14:textId="77777777" w:rsidR="008F156A" w:rsidRDefault="008F156A" w:rsidP="00F25042">
            <w:pPr>
              <w:rPr>
                <w:rFonts w:eastAsiaTheme="minorHAnsi" w:cs="Arial"/>
                <w:b/>
                <w:bCs/>
                <w:color w:val="000000"/>
                <w:szCs w:val="20"/>
              </w:rPr>
            </w:pPr>
          </w:p>
          <w:p w14:paraId="0583CEE8" w14:textId="77777777" w:rsidR="008F156A" w:rsidRDefault="008F156A" w:rsidP="00F25042">
            <w:pPr>
              <w:rPr>
                <w:rFonts w:eastAsiaTheme="minorHAnsi" w:cs="Arial"/>
                <w:b/>
                <w:bCs/>
                <w:color w:val="000000"/>
                <w:szCs w:val="20"/>
              </w:rPr>
            </w:pPr>
          </w:p>
          <w:p w14:paraId="5F025D34" w14:textId="161D84FE" w:rsidR="00F25042" w:rsidRPr="00427C25" w:rsidRDefault="00F25042" w:rsidP="00F25042">
            <w:pPr>
              <w:rPr>
                <w:rFonts w:eastAsiaTheme="minorHAnsi" w:cs="Arial"/>
                <w:b/>
                <w:bCs/>
                <w:color w:val="000000"/>
                <w:szCs w:val="20"/>
              </w:rPr>
            </w:pPr>
            <w:r w:rsidRPr="00427C25">
              <w:rPr>
                <w:rFonts w:eastAsiaTheme="minorHAnsi" w:cs="Arial"/>
                <w:b/>
                <w:bCs/>
                <w:color w:val="000000"/>
                <w:szCs w:val="20"/>
              </w:rPr>
              <w:lastRenderedPageBreak/>
              <w:t>Intermediaries:</w:t>
            </w:r>
          </w:p>
        </w:tc>
        <w:tc>
          <w:tcPr>
            <w:tcW w:w="1168" w:type="dxa"/>
            <w:tcBorders>
              <w:left w:val="nil"/>
              <w:right w:val="nil"/>
            </w:tcBorders>
            <w:shd w:val="clear" w:color="auto" w:fill="FFFFFF"/>
            <w:vAlign w:val="center"/>
          </w:tcPr>
          <w:p w14:paraId="78BE779E"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c>
          <w:tcPr>
            <w:tcW w:w="1258" w:type="dxa"/>
            <w:tcBorders>
              <w:left w:val="nil"/>
              <w:right w:val="nil"/>
            </w:tcBorders>
            <w:shd w:val="clear" w:color="auto" w:fill="FFFFFF"/>
            <w:vAlign w:val="center"/>
          </w:tcPr>
          <w:p w14:paraId="3DFFDF89"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c>
          <w:tcPr>
            <w:tcW w:w="1377" w:type="dxa"/>
            <w:tcBorders>
              <w:left w:val="nil"/>
              <w:right w:val="nil"/>
            </w:tcBorders>
            <w:shd w:val="clear" w:color="auto" w:fill="FFFFFF"/>
            <w:vAlign w:val="center"/>
          </w:tcPr>
          <w:p w14:paraId="1C2F5D6B"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p>
        </w:tc>
      </w:tr>
      <w:tr w:rsidR="00F25042" w:rsidRPr="00427C25" w14:paraId="5B768CA7" w14:textId="77777777" w:rsidTr="00F25042">
        <w:tc>
          <w:tcPr>
            <w:tcW w:w="5197" w:type="dxa"/>
            <w:tcBorders>
              <w:left w:val="nil"/>
              <w:bottom w:val="nil"/>
              <w:right w:val="nil"/>
            </w:tcBorders>
          </w:tcPr>
          <w:p w14:paraId="364E01DB" w14:textId="77777777" w:rsidR="00F25042" w:rsidRPr="00427C25" w:rsidRDefault="00F25042" w:rsidP="00F25042">
            <w:pPr>
              <w:rPr>
                <w:rFonts w:eastAsiaTheme="minorHAnsi" w:cs="Arial"/>
                <w:color w:val="000000"/>
                <w:szCs w:val="20"/>
              </w:rPr>
            </w:pPr>
            <w:r w:rsidRPr="00427C25">
              <w:rPr>
                <w:rFonts w:eastAsiaTheme="minorHAnsi" w:cs="Arial"/>
                <w:b/>
                <w:bCs/>
                <w:color w:val="000000"/>
                <w:szCs w:val="20"/>
              </w:rPr>
              <w:t xml:space="preserve">Adult family members of adolescents – paid employment </w:t>
            </w:r>
            <w:r w:rsidRPr="00427C25">
              <w:rPr>
                <w:rFonts w:eastAsiaTheme="minorHAnsi" w:cs="Arial"/>
                <w:b/>
                <w:bCs/>
                <w:i/>
                <w:iCs/>
                <w:color w:val="000000"/>
                <w:szCs w:val="20"/>
              </w:rPr>
              <w:t>[C]</w:t>
            </w:r>
          </w:p>
        </w:tc>
        <w:tc>
          <w:tcPr>
            <w:tcW w:w="1168" w:type="dxa"/>
            <w:tcBorders>
              <w:left w:val="nil"/>
              <w:bottom w:val="nil"/>
              <w:right w:val="nil"/>
            </w:tcBorders>
            <w:vAlign w:val="center"/>
          </w:tcPr>
          <w:p w14:paraId="69A9FF2E"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w:t>
            </w:r>
          </w:p>
        </w:tc>
        <w:tc>
          <w:tcPr>
            <w:tcW w:w="1258" w:type="dxa"/>
            <w:tcBorders>
              <w:left w:val="nil"/>
              <w:bottom w:val="nil"/>
              <w:right w:val="nil"/>
            </w:tcBorders>
            <w:vAlign w:val="center"/>
          </w:tcPr>
          <w:p w14:paraId="39AF72A2"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40</w:t>
            </w:r>
          </w:p>
        </w:tc>
        <w:tc>
          <w:tcPr>
            <w:tcW w:w="1377" w:type="dxa"/>
            <w:tcBorders>
              <w:left w:val="nil"/>
              <w:bottom w:val="nil"/>
              <w:right w:val="nil"/>
            </w:tcBorders>
            <w:vAlign w:val="center"/>
          </w:tcPr>
          <w:p w14:paraId="1ACD9269"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40</w:t>
            </w:r>
          </w:p>
        </w:tc>
      </w:tr>
      <w:tr w:rsidR="00F25042" w:rsidRPr="00427C25" w14:paraId="582A1D54" w14:textId="77777777" w:rsidTr="00F25042">
        <w:tc>
          <w:tcPr>
            <w:tcW w:w="5197" w:type="dxa"/>
            <w:tcBorders>
              <w:top w:val="nil"/>
              <w:left w:val="nil"/>
              <w:bottom w:val="nil"/>
              <w:right w:val="nil"/>
            </w:tcBorders>
          </w:tcPr>
          <w:p w14:paraId="6DFEB995" w14:textId="77777777" w:rsidR="00F25042" w:rsidRPr="00427C25" w:rsidRDefault="00F25042" w:rsidP="00F25042">
            <w:pPr>
              <w:rPr>
                <w:rFonts w:eastAsiaTheme="minorHAnsi" w:cs="Arial"/>
                <w:color w:val="000000"/>
                <w:szCs w:val="20"/>
              </w:rPr>
            </w:pPr>
            <w:r w:rsidRPr="00427C25">
              <w:rPr>
                <w:rFonts w:eastAsiaTheme="minorHAnsi" w:cs="Arial"/>
                <w:b/>
                <w:bCs/>
                <w:color w:val="000000"/>
                <w:szCs w:val="20"/>
              </w:rPr>
              <w:t xml:space="preserve">Adult family members of adolescents – self-employment </w:t>
            </w:r>
            <w:r w:rsidRPr="00427C25">
              <w:rPr>
                <w:rFonts w:eastAsiaTheme="minorHAnsi" w:cs="Arial"/>
                <w:b/>
                <w:bCs/>
                <w:i/>
                <w:iCs/>
                <w:color w:val="000000"/>
                <w:szCs w:val="20"/>
              </w:rPr>
              <w:t>[C]</w:t>
            </w:r>
          </w:p>
        </w:tc>
        <w:tc>
          <w:tcPr>
            <w:tcW w:w="1168" w:type="dxa"/>
            <w:tcBorders>
              <w:top w:val="nil"/>
              <w:left w:val="nil"/>
              <w:bottom w:val="nil"/>
              <w:right w:val="nil"/>
            </w:tcBorders>
            <w:vAlign w:val="center"/>
          </w:tcPr>
          <w:p w14:paraId="60227DF1"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1,600</w:t>
            </w:r>
          </w:p>
        </w:tc>
        <w:tc>
          <w:tcPr>
            <w:tcW w:w="1258" w:type="dxa"/>
            <w:tcBorders>
              <w:top w:val="nil"/>
              <w:left w:val="nil"/>
              <w:bottom w:val="nil"/>
              <w:right w:val="nil"/>
            </w:tcBorders>
            <w:vAlign w:val="center"/>
          </w:tcPr>
          <w:p w14:paraId="26466749"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460</w:t>
            </w:r>
          </w:p>
        </w:tc>
        <w:tc>
          <w:tcPr>
            <w:tcW w:w="1377" w:type="dxa"/>
            <w:tcBorders>
              <w:top w:val="nil"/>
              <w:left w:val="nil"/>
              <w:bottom w:val="nil"/>
              <w:right w:val="nil"/>
            </w:tcBorders>
            <w:vAlign w:val="center"/>
          </w:tcPr>
          <w:p w14:paraId="75F52219"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2,060</w:t>
            </w:r>
          </w:p>
        </w:tc>
      </w:tr>
      <w:tr w:rsidR="00F25042" w:rsidRPr="00427C25" w14:paraId="6BB7EDE7" w14:textId="77777777" w:rsidTr="00F25042">
        <w:tc>
          <w:tcPr>
            <w:tcW w:w="5197" w:type="dxa"/>
            <w:tcBorders>
              <w:top w:val="nil"/>
              <w:left w:val="nil"/>
              <w:bottom w:val="nil"/>
              <w:right w:val="nil"/>
            </w:tcBorders>
          </w:tcPr>
          <w:p w14:paraId="62B41048" w14:textId="77777777" w:rsidR="00F25042" w:rsidRPr="00427C25" w:rsidRDefault="00F25042" w:rsidP="00F25042">
            <w:pPr>
              <w:rPr>
                <w:rFonts w:eastAsiaTheme="minorHAnsi" w:cs="Arial"/>
                <w:bCs/>
                <w:color w:val="000000"/>
                <w:szCs w:val="20"/>
              </w:rPr>
            </w:pPr>
            <w:r w:rsidRPr="00427C25">
              <w:rPr>
                <w:rFonts w:eastAsiaTheme="minorHAnsi" w:cs="Arial"/>
                <w:b/>
                <w:bCs/>
                <w:color w:val="000000"/>
                <w:szCs w:val="20"/>
              </w:rPr>
              <w:t xml:space="preserve">Mentors for self-employment </w:t>
            </w:r>
          </w:p>
        </w:tc>
        <w:tc>
          <w:tcPr>
            <w:tcW w:w="1168" w:type="dxa"/>
            <w:tcBorders>
              <w:top w:val="nil"/>
              <w:left w:val="nil"/>
              <w:bottom w:val="nil"/>
              <w:right w:val="nil"/>
            </w:tcBorders>
            <w:vAlign w:val="center"/>
          </w:tcPr>
          <w:p w14:paraId="30E18228"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50</w:t>
            </w:r>
          </w:p>
        </w:tc>
        <w:tc>
          <w:tcPr>
            <w:tcW w:w="1258" w:type="dxa"/>
            <w:tcBorders>
              <w:top w:val="nil"/>
              <w:left w:val="nil"/>
              <w:bottom w:val="nil"/>
              <w:right w:val="nil"/>
            </w:tcBorders>
            <w:vAlign w:val="center"/>
          </w:tcPr>
          <w:p w14:paraId="564B16DD"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300</w:t>
            </w:r>
          </w:p>
        </w:tc>
        <w:tc>
          <w:tcPr>
            <w:tcW w:w="1377" w:type="dxa"/>
            <w:tcBorders>
              <w:top w:val="nil"/>
              <w:left w:val="nil"/>
              <w:bottom w:val="nil"/>
              <w:right w:val="nil"/>
            </w:tcBorders>
            <w:vAlign w:val="center"/>
          </w:tcPr>
          <w:p w14:paraId="19B9106D"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350</w:t>
            </w:r>
          </w:p>
        </w:tc>
      </w:tr>
      <w:tr w:rsidR="00F25042" w:rsidRPr="00427C25" w14:paraId="16F087AA" w14:textId="77777777" w:rsidTr="00F25042">
        <w:tc>
          <w:tcPr>
            <w:tcW w:w="5197" w:type="dxa"/>
            <w:tcBorders>
              <w:top w:val="nil"/>
              <w:left w:val="nil"/>
              <w:bottom w:val="nil"/>
              <w:right w:val="nil"/>
            </w:tcBorders>
          </w:tcPr>
          <w:p w14:paraId="0A2E9BA0" w14:textId="77777777" w:rsidR="00F25042" w:rsidRPr="00427C25" w:rsidRDefault="00F25042" w:rsidP="00F25042">
            <w:pPr>
              <w:rPr>
                <w:rFonts w:eastAsiaTheme="minorHAnsi" w:cs="Arial"/>
                <w:bCs/>
                <w:color w:val="000000"/>
                <w:szCs w:val="20"/>
              </w:rPr>
            </w:pPr>
            <w:r w:rsidRPr="00427C25">
              <w:rPr>
                <w:rFonts w:eastAsiaTheme="minorHAnsi" w:cs="Arial"/>
                <w:b/>
                <w:bCs/>
                <w:color w:val="000000"/>
                <w:szCs w:val="20"/>
              </w:rPr>
              <w:t xml:space="preserve">Champion Mothers &amp; Fathers (CMF) </w:t>
            </w:r>
          </w:p>
        </w:tc>
        <w:tc>
          <w:tcPr>
            <w:tcW w:w="1168" w:type="dxa"/>
            <w:tcBorders>
              <w:top w:val="nil"/>
              <w:left w:val="nil"/>
              <w:bottom w:val="nil"/>
              <w:right w:val="nil"/>
            </w:tcBorders>
            <w:vAlign w:val="center"/>
          </w:tcPr>
          <w:p w14:paraId="39150166"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516</w:t>
            </w:r>
          </w:p>
        </w:tc>
        <w:tc>
          <w:tcPr>
            <w:tcW w:w="1258" w:type="dxa"/>
            <w:tcBorders>
              <w:top w:val="nil"/>
              <w:left w:val="nil"/>
              <w:bottom w:val="nil"/>
              <w:right w:val="nil"/>
            </w:tcBorders>
            <w:vAlign w:val="center"/>
          </w:tcPr>
          <w:p w14:paraId="75E36956"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516</w:t>
            </w:r>
          </w:p>
        </w:tc>
        <w:tc>
          <w:tcPr>
            <w:tcW w:w="1377" w:type="dxa"/>
            <w:tcBorders>
              <w:top w:val="nil"/>
              <w:left w:val="nil"/>
              <w:bottom w:val="nil"/>
              <w:right w:val="nil"/>
            </w:tcBorders>
            <w:vAlign w:val="center"/>
          </w:tcPr>
          <w:p w14:paraId="304D0CCB" w14:textId="77777777" w:rsidR="00F25042" w:rsidRPr="00427C25" w:rsidRDefault="00F25042" w:rsidP="00F25042">
            <w:pPr>
              <w:widowControl w:val="0"/>
              <w:autoSpaceDE w:val="0"/>
              <w:autoSpaceDN w:val="0"/>
              <w:adjustRightInd w:val="0"/>
              <w:jc w:val="center"/>
              <w:textAlignment w:val="center"/>
              <w:rPr>
                <w:rFonts w:eastAsiaTheme="minorHAnsi" w:cs="Arial"/>
                <w:color w:val="000000"/>
                <w:szCs w:val="20"/>
              </w:rPr>
            </w:pPr>
            <w:r w:rsidRPr="00427C25">
              <w:rPr>
                <w:rFonts w:eastAsiaTheme="minorHAnsi" w:cs="Arial"/>
                <w:color w:val="000000"/>
                <w:szCs w:val="20"/>
              </w:rPr>
              <w:t>1,032</w:t>
            </w:r>
          </w:p>
        </w:tc>
      </w:tr>
      <w:tr w:rsidR="00F25042" w:rsidRPr="00427C25" w14:paraId="608F06FC" w14:textId="77777777" w:rsidTr="00F25042">
        <w:tc>
          <w:tcPr>
            <w:tcW w:w="5197" w:type="dxa"/>
            <w:tcBorders>
              <w:top w:val="nil"/>
              <w:left w:val="nil"/>
              <w:bottom w:val="nil"/>
              <w:right w:val="nil"/>
            </w:tcBorders>
          </w:tcPr>
          <w:p w14:paraId="249135EA" w14:textId="77777777" w:rsidR="00F25042" w:rsidRPr="00427C25" w:rsidRDefault="00F25042" w:rsidP="00F25042">
            <w:pPr>
              <w:rPr>
                <w:rFonts w:eastAsiaTheme="minorHAnsi" w:cs="Arial"/>
                <w:bCs/>
                <w:color w:val="000000"/>
                <w:szCs w:val="20"/>
              </w:rPr>
            </w:pPr>
            <w:r w:rsidRPr="00427C25">
              <w:rPr>
                <w:rFonts w:eastAsiaTheme="minorHAnsi" w:cs="Arial"/>
                <w:b/>
                <w:bCs/>
                <w:color w:val="000000"/>
                <w:szCs w:val="20"/>
              </w:rPr>
              <w:t>Parents engaged by CMF</w:t>
            </w:r>
          </w:p>
        </w:tc>
        <w:tc>
          <w:tcPr>
            <w:tcW w:w="1168" w:type="dxa"/>
            <w:tcBorders>
              <w:top w:val="nil"/>
              <w:left w:val="nil"/>
              <w:bottom w:val="nil"/>
              <w:right w:val="nil"/>
            </w:tcBorders>
            <w:vAlign w:val="center"/>
          </w:tcPr>
          <w:p w14:paraId="71CE0B7A"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51,600</w:t>
            </w:r>
          </w:p>
        </w:tc>
        <w:tc>
          <w:tcPr>
            <w:tcW w:w="1258" w:type="dxa"/>
            <w:tcBorders>
              <w:top w:val="nil"/>
              <w:left w:val="nil"/>
              <w:bottom w:val="nil"/>
              <w:right w:val="nil"/>
            </w:tcBorders>
            <w:vAlign w:val="center"/>
          </w:tcPr>
          <w:p w14:paraId="089B2D60"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51,600</w:t>
            </w:r>
          </w:p>
        </w:tc>
        <w:tc>
          <w:tcPr>
            <w:tcW w:w="1377" w:type="dxa"/>
            <w:tcBorders>
              <w:top w:val="nil"/>
              <w:left w:val="nil"/>
              <w:bottom w:val="nil"/>
              <w:right w:val="nil"/>
            </w:tcBorders>
            <w:vAlign w:val="center"/>
          </w:tcPr>
          <w:p w14:paraId="44287EA3"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103,200</w:t>
            </w:r>
          </w:p>
        </w:tc>
      </w:tr>
      <w:tr w:rsidR="00F25042" w:rsidRPr="00427C25" w14:paraId="548A278B" w14:textId="77777777" w:rsidTr="00F25042">
        <w:trPr>
          <w:trHeight w:val="74"/>
        </w:trPr>
        <w:tc>
          <w:tcPr>
            <w:tcW w:w="5197" w:type="dxa"/>
            <w:tcBorders>
              <w:top w:val="nil"/>
              <w:left w:val="nil"/>
              <w:bottom w:val="nil"/>
              <w:right w:val="nil"/>
            </w:tcBorders>
          </w:tcPr>
          <w:p w14:paraId="6A0BCE3B" w14:textId="77777777" w:rsidR="00F25042" w:rsidRPr="00427C25" w:rsidRDefault="00F25042" w:rsidP="00F25042">
            <w:pPr>
              <w:rPr>
                <w:rFonts w:eastAsiaTheme="minorHAnsi" w:cs="Arial"/>
                <w:bCs/>
                <w:color w:val="000000"/>
                <w:szCs w:val="20"/>
              </w:rPr>
            </w:pPr>
            <w:r w:rsidRPr="00427C25">
              <w:rPr>
                <w:rFonts w:eastAsiaTheme="minorHAnsi" w:cs="Arial"/>
                <w:b/>
                <w:bCs/>
                <w:color w:val="000000"/>
                <w:szCs w:val="20"/>
              </w:rPr>
              <w:t xml:space="preserve">SMC/MMC members, focal teachers (CEFM reporting and response protocol) </w:t>
            </w:r>
            <w:r w:rsidRPr="00427C25">
              <w:rPr>
                <w:rFonts w:eastAsiaTheme="minorHAnsi" w:cs="Arial"/>
                <w:b/>
                <w:bCs/>
                <w:i/>
                <w:iCs/>
                <w:color w:val="000000"/>
                <w:szCs w:val="20"/>
              </w:rPr>
              <w:t>[D]</w:t>
            </w:r>
          </w:p>
        </w:tc>
        <w:tc>
          <w:tcPr>
            <w:tcW w:w="1168" w:type="dxa"/>
            <w:tcBorders>
              <w:top w:val="nil"/>
              <w:left w:val="nil"/>
              <w:bottom w:val="nil"/>
              <w:right w:val="nil"/>
            </w:tcBorders>
            <w:vAlign w:val="center"/>
          </w:tcPr>
          <w:p w14:paraId="61F3A1B8"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399</w:t>
            </w:r>
          </w:p>
        </w:tc>
        <w:tc>
          <w:tcPr>
            <w:tcW w:w="1258" w:type="dxa"/>
            <w:tcBorders>
              <w:top w:val="nil"/>
              <w:left w:val="nil"/>
              <w:bottom w:val="nil"/>
              <w:right w:val="nil"/>
            </w:tcBorders>
            <w:vAlign w:val="center"/>
          </w:tcPr>
          <w:p w14:paraId="5A900C73"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931</w:t>
            </w:r>
          </w:p>
        </w:tc>
        <w:tc>
          <w:tcPr>
            <w:tcW w:w="1377" w:type="dxa"/>
            <w:tcBorders>
              <w:top w:val="nil"/>
              <w:left w:val="nil"/>
              <w:bottom w:val="nil"/>
              <w:right w:val="nil"/>
            </w:tcBorders>
            <w:vAlign w:val="center"/>
          </w:tcPr>
          <w:p w14:paraId="633A743D"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1,330</w:t>
            </w:r>
          </w:p>
        </w:tc>
      </w:tr>
      <w:tr w:rsidR="00F25042" w:rsidRPr="00427C25" w14:paraId="1BCA85D3" w14:textId="77777777" w:rsidTr="00F25042">
        <w:trPr>
          <w:trHeight w:val="74"/>
        </w:trPr>
        <w:tc>
          <w:tcPr>
            <w:tcW w:w="5197" w:type="dxa"/>
            <w:tcBorders>
              <w:top w:val="nil"/>
              <w:left w:val="nil"/>
              <w:bottom w:val="nil"/>
              <w:right w:val="nil"/>
            </w:tcBorders>
          </w:tcPr>
          <w:p w14:paraId="531BE21A" w14:textId="77777777" w:rsidR="00F25042" w:rsidRPr="00413543" w:rsidRDefault="00F25042" w:rsidP="00F25042">
            <w:pPr>
              <w:rPr>
                <w:rFonts w:eastAsiaTheme="minorHAnsi" w:cs="Arial"/>
                <w:color w:val="000000"/>
                <w:szCs w:val="20"/>
              </w:rPr>
            </w:pPr>
            <w:r w:rsidRPr="00413543">
              <w:rPr>
                <w:rFonts w:eastAsiaTheme="minorHAnsi" w:cs="Arial"/>
                <w:b/>
                <w:bCs/>
                <w:color w:val="000000"/>
                <w:szCs w:val="20"/>
              </w:rPr>
              <w:t>Teachers trained on GEMS</w:t>
            </w:r>
          </w:p>
        </w:tc>
        <w:tc>
          <w:tcPr>
            <w:tcW w:w="1168" w:type="dxa"/>
            <w:tcBorders>
              <w:top w:val="nil"/>
              <w:left w:val="nil"/>
              <w:bottom w:val="nil"/>
              <w:right w:val="nil"/>
            </w:tcBorders>
            <w:vAlign w:val="center"/>
          </w:tcPr>
          <w:p w14:paraId="6FBDDAC8"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613</w:t>
            </w:r>
          </w:p>
        </w:tc>
        <w:tc>
          <w:tcPr>
            <w:tcW w:w="1258" w:type="dxa"/>
            <w:tcBorders>
              <w:top w:val="nil"/>
              <w:left w:val="nil"/>
              <w:bottom w:val="nil"/>
              <w:right w:val="nil"/>
            </w:tcBorders>
            <w:vAlign w:val="center"/>
          </w:tcPr>
          <w:p w14:paraId="617F149A"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1,147</w:t>
            </w:r>
          </w:p>
        </w:tc>
        <w:tc>
          <w:tcPr>
            <w:tcW w:w="1377" w:type="dxa"/>
            <w:tcBorders>
              <w:top w:val="nil"/>
              <w:left w:val="nil"/>
              <w:bottom w:val="nil"/>
              <w:right w:val="nil"/>
            </w:tcBorders>
            <w:vAlign w:val="center"/>
          </w:tcPr>
          <w:p w14:paraId="63465227"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1,760</w:t>
            </w:r>
          </w:p>
        </w:tc>
      </w:tr>
      <w:tr w:rsidR="00F25042" w:rsidRPr="00427C25" w14:paraId="2292779A" w14:textId="77777777" w:rsidTr="00F25042">
        <w:tc>
          <w:tcPr>
            <w:tcW w:w="5197" w:type="dxa"/>
            <w:tcBorders>
              <w:top w:val="nil"/>
              <w:left w:val="nil"/>
              <w:bottom w:val="nil"/>
              <w:right w:val="nil"/>
            </w:tcBorders>
          </w:tcPr>
          <w:p w14:paraId="437CB975" w14:textId="77777777" w:rsidR="00F25042" w:rsidRPr="00413543" w:rsidRDefault="00F25042" w:rsidP="00F25042">
            <w:pPr>
              <w:rPr>
                <w:rFonts w:eastAsiaTheme="minorHAnsi" w:cs="Arial"/>
                <w:bCs/>
                <w:color w:val="000000"/>
                <w:szCs w:val="20"/>
              </w:rPr>
            </w:pPr>
            <w:r w:rsidRPr="00413543">
              <w:rPr>
                <w:rFonts w:eastAsiaTheme="minorHAnsi" w:cs="Arial"/>
                <w:b/>
                <w:bCs/>
                <w:color w:val="000000"/>
                <w:szCs w:val="20"/>
              </w:rPr>
              <w:t>CMPC members (</w:t>
            </w:r>
            <w:proofErr w:type="spellStart"/>
            <w:r w:rsidRPr="00413543">
              <w:rPr>
                <w:rFonts w:eastAsiaTheme="minorHAnsi" w:cs="Arial"/>
                <w:b/>
                <w:bCs/>
                <w:color w:val="000000"/>
                <w:szCs w:val="20"/>
              </w:rPr>
              <w:t>union+district+sub-district</w:t>
            </w:r>
            <w:proofErr w:type="spellEnd"/>
            <w:r w:rsidRPr="00413543">
              <w:rPr>
                <w:rFonts w:eastAsiaTheme="minorHAnsi" w:cs="Arial"/>
                <w:b/>
                <w:bCs/>
                <w:color w:val="000000"/>
                <w:szCs w:val="20"/>
              </w:rPr>
              <w:t>)</w:t>
            </w:r>
          </w:p>
        </w:tc>
        <w:tc>
          <w:tcPr>
            <w:tcW w:w="1168" w:type="dxa"/>
            <w:tcBorders>
              <w:top w:val="nil"/>
              <w:left w:val="nil"/>
              <w:bottom w:val="nil"/>
              <w:right w:val="nil"/>
            </w:tcBorders>
            <w:vAlign w:val="center"/>
          </w:tcPr>
          <w:p w14:paraId="22E39420" w14:textId="77777777" w:rsidR="00F25042" w:rsidRPr="00413543" w:rsidDel="00EC5CB8"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426</w:t>
            </w:r>
          </w:p>
        </w:tc>
        <w:tc>
          <w:tcPr>
            <w:tcW w:w="1258" w:type="dxa"/>
            <w:tcBorders>
              <w:top w:val="nil"/>
              <w:left w:val="nil"/>
              <w:bottom w:val="nil"/>
              <w:right w:val="nil"/>
            </w:tcBorders>
            <w:vAlign w:val="center"/>
          </w:tcPr>
          <w:p w14:paraId="0FB64234" w14:textId="77777777" w:rsidR="00F25042" w:rsidRPr="00413543" w:rsidDel="00EC5CB8"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994</w:t>
            </w:r>
          </w:p>
        </w:tc>
        <w:tc>
          <w:tcPr>
            <w:tcW w:w="1377" w:type="dxa"/>
            <w:tcBorders>
              <w:top w:val="nil"/>
              <w:left w:val="nil"/>
              <w:bottom w:val="nil"/>
              <w:right w:val="nil"/>
            </w:tcBorders>
            <w:vAlign w:val="center"/>
          </w:tcPr>
          <w:p w14:paraId="5E168FAB" w14:textId="77777777" w:rsidR="00F25042" w:rsidRPr="00413543" w:rsidDel="00EC5CB8"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1,420</w:t>
            </w:r>
          </w:p>
        </w:tc>
      </w:tr>
      <w:tr w:rsidR="00F25042" w:rsidRPr="00427C25" w14:paraId="14DC9977" w14:textId="77777777" w:rsidTr="00F25042">
        <w:trPr>
          <w:trHeight w:val="241"/>
        </w:trPr>
        <w:tc>
          <w:tcPr>
            <w:tcW w:w="5197" w:type="dxa"/>
            <w:tcBorders>
              <w:top w:val="nil"/>
              <w:left w:val="nil"/>
              <w:bottom w:val="nil"/>
              <w:right w:val="nil"/>
            </w:tcBorders>
            <w:shd w:val="clear" w:color="auto" w:fill="auto"/>
          </w:tcPr>
          <w:p w14:paraId="680318AC" w14:textId="77777777" w:rsidR="00F25042" w:rsidRPr="00413543" w:rsidRDefault="00F25042" w:rsidP="00F25042">
            <w:pPr>
              <w:rPr>
                <w:rFonts w:eastAsiaTheme="minorHAnsi" w:cs="Arial"/>
                <w:bCs/>
                <w:color w:val="000000"/>
                <w:szCs w:val="20"/>
              </w:rPr>
            </w:pPr>
            <w:r w:rsidRPr="00413543">
              <w:rPr>
                <w:rFonts w:eastAsiaTheme="minorHAnsi" w:cs="Arial"/>
                <w:b/>
                <w:bCs/>
                <w:color w:val="000000"/>
                <w:szCs w:val="20"/>
              </w:rPr>
              <w:t>CMPC members (National scale up)</w:t>
            </w:r>
          </w:p>
        </w:tc>
        <w:tc>
          <w:tcPr>
            <w:tcW w:w="1168" w:type="dxa"/>
            <w:tcBorders>
              <w:top w:val="nil"/>
              <w:left w:val="nil"/>
              <w:bottom w:val="nil"/>
              <w:right w:val="nil"/>
            </w:tcBorders>
            <w:vAlign w:val="center"/>
          </w:tcPr>
          <w:p w14:paraId="59D6747F"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468</w:t>
            </w:r>
          </w:p>
        </w:tc>
        <w:tc>
          <w:tcPr>
            <w:tcW w:w="1258" w:type="dxa"/>
            <w:tcBorders>
              <w:top w:val="nil"/>
              <w:left w:val="nil"/>
              <w:bottom w:val="nil"/>
              <w:right w:val="nil"/>
            </w:tcBorders>
            <w:vAlign w:val="center"/>
          </w:tcPr>
          <w:p w14:paraId="13400933"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1,092</w:t>
            </w:r>
          </w:p>
        </w:tc>
        <w:tc>
          <w:tcPr>
            <w:tcW w:w="1377" w:type="dxa"/>
            <w:tcBorders>
              <w:top w:val="nil"/>
              <w:left w:val="nil"/>
              <w:bottom w:val="nil"/>
              <w:right w:val="nil"/>
            </w:tcBorders>
            <w:vAlign w:val="center"/>
          </w:tcPr>
          <w:p w14:paraId="1AADB3EF" w14:textId="77777777" w:rsidR="00F25042" w:rsidRPr="00413543" w:rsidRDefault="00F25042" w:rsidP="00F25042">
            <w:pPr>
              <w:widowControl w:val="0"/>
              <w:autoSpaceDE w:val="0"/>
              <w:autoSpaceDN w:val="0"/>
              <w:adjustRightInd w:val="0"/>
              <w:jc w:val="center"/>
              <w:textAlignment w:val="center"/>
              <w:rPr>
                <w:rFonts w:eastAsiaTheme="minorHAnsi" w:cs="Arial"/>
                <w:szCs w:val="20"/>
              </w:rPr>
            </w:pPr>
            <w:r w:rsidRPr="00413543">
              <w:rPr>
                <w:rFonts w:eastAsiaTheme="minorHAnsi" w:cs="Arial"/>
                <w:szCs w:val="20"/>
              </w:rPr>
              <w:t>1,560</w:t>
            </w:r>
          </w:p>
        </w:tc>
      </w:tr>
      <w:tr w:rsidR="00F25042" w:rsidRPr="00427C25" w14:paraId="2F37B064" w14:textId="77777777" w:rsidTr="00F25042">
        <w:tc>
          <w:tcPr>
            <w:tcW w:w="5197" w:type="dxa"/>
            <w:tcBorders>
              <w:top w:val="nil"/>
              <w:left w:val="nil"/>
              <w:bottom w:val="single" w:sz="8" w:space="0" w:color="0072CE"/>
              <w:right w:val="nil"/>
            </w:tcBorders>
          </w:tcPr>
          <w:p w14:paraId="6DF82233" w14:textId="77777777" w:rsidR="00F25042" w:rsidRPr="00427C25" w:rsidRDefault="00F25042" w:rsidP="00F25042">
            <w:pPr>
              <w:rPr>
                <w:rFonts w:eastAsiaTheme="minorHAnsi" w:cs="Arial"/>
                <w:bCs/>
                <w:color w:val="000000"/>
                <w:szCs w:val="20"/>
              </w:rPr>
            </w:pPr>
            <w:r w:rsidRPr="00427C25">
              <w:rPr>
                <w:rFonts w:eastAsiaTheme="minorHAnsi" w:cs="Arial"/>
                <w:b/>
                <w:bCs/>
                <w:color w:val="000000"/>
                <w:szCs w:val="20"/>
              </w:rPr>
              <w:t>Marriage solemnizers &amp; Marriage registrars (Kazis)</w:t>
            </w:r>
            <w:r w:rsidRPr="00427C25">
              <w:rPr>
                <w:rFonts w:eastAsiaTheme="minorHAnsi" w:cs="Arial"/>
                <w:b/>
                <w:bCs/>
                <w:color w:val="000000"/>
                <w:szCs w:val="20"/>
                <w:vertAlign w:val="superscript"/>
              </w:rPr>
              <w:footnoteReference w:id="2"/>
            </w:r>
          </w:p>
        </w:tc>
        <w:tc>
          <w:tcPr>
            <w:tcW w:w="1168" w:type="dxa"/>
            <w:tcBorders>
              <w:top w:val="nil"/>
              <w:left w:val="nil"/>
              <w:bottom w:val="single" w:sz="8" w:space="0" w:color="0072CE"/>
              <w:right w:val="nil"/>
            </w:tcBorders>
            <w:vAlign w:val="center"/>
          </w:tcPr>
          <w:p w14:paraId="6344F2AA"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35</w:t>
            </w:r>
          </w:p>
        </w:tc>
        <w:tc>
          <w:tcPr>
            <w:tcW w:w="1258" w:type="dxa"/>
            <w:tcBorders>
              <w:top w:val="nil"/>
              <w:left w:val="nil"/>
              <w:bottom w:val="single" w:sz="8" w:space="0" w:color="0072CE"/>
              <w:right w:val="nil"/>
            </w:tcBorders>
            <w:vAlign w:val="center"/>
          </w:tcPr>
          <w:p w14:paraId="671E5293"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1,723</w:t>
            </w:r>
          </w:p>
        </w:tc>
        <w:tc>
          <w:tcPr>
            <w:tcW w:w="1377" w:type="dxa"/>
            <w:tcBorders>
              <w:top w:val="nil"/>
              <w:left w:val="nil"/>
              <w:bottom w:val="single" w:sz="8" w:space="0" w:color="0072CE"/>
              <w:right w:val="nil"/>
            </w:tcBorders>
            <w:vAlign w:val="center"/>
          </w:tcPr>
          <w:p w14:paraId="1152C40C" w14:textId="77777777" w:rsidR="00F25042" w:rsidRPr="00427C25" w:rsidRDefault="00F25042" w:rsidP="00F25042">
            <w:pPr>
              <w:widowControl w:val="0"/>
              <w:autoSpaceDE w:val="0"/>
              <w:autoSpaceDN w:val="0"/>
              <w:adjustRightInd w:val="0"/>
              <w:jc w:val="center"/>
              <w:textAlignment w:val="center"/>
              <w:rPr>
                <w:rFonts w:eastAsiaTheme="minorHAnsi" w:cs="Arial"/>
                <w:szCs w:val="20"/>
              </w:rPr>
            </w:pPr>
            <w:r w:rsidRPr="00427C25">
              <w:rPr>
                <w:rFonts w:eastAsiaTheme="minorHAnsi" w:cs="Arial"/>
                <w:szCs w:val="20"/>
              </w:rPr>
              <w:t>1,758</w:t>
            </w:r>
          </w:p>
        </w:tc>
      </w:tr>
      <w:tr w:rsidR="00F25042" w:rsidRPr="00427C25" w14:paraId="0B129481" w14:textId="77777777" w:rsidTr="00F25042">
        <w:tc>
          <w:tcPr>
            <w:tcW w:w="5197" w:type="dxa"/>
            <w:tcBorders>
              <w:left w:val="nil"/>
              <w:right w:val="nil"/>
            </w:tcBorders>
            <w:shd w:val="clear" w:color="auto" w:fill="FFFFFF"/>
          </w:tcPr>
          <w:p w14:paraId="0676B05E" w14:textId="77777777" w:rsidR="00F25042" w:rsidRPr="00427C25" w:rsidRDefault="00F25042" w:rsidP="00F25042">
            <w:pPr>
              <w:ind w:left="176"/>
              <w:jc w:val="right"/>
              <w:rPr>
                <w:rFonts w:eastAsiaTheme="minorHAnsi" w:cs="Arial"/>
                <w:b/>
                <w:bCs/>
                <w:color w:val="000000"/>
                <w:szCs w:val="20"/>
              </w:rPr>
            </w:pPr>
            <w:r w:rsidRPr="00427C25">
              <w:rPr>
                <w:rFonts w:eastAsiaTheme="minorHAnsi" w:cs="Arial"/>
                <w:b/>
                <w:bCs/>
                <w:color w:val="000000"/>
                <w:szCs w:val="20"/>
              </w:rPr>
              <w:t xml:space="preserve">Total </w:t>
            </w:r>
            <w:r w:rsidRPr="00427C25">
              <w:rPr>
                <w:rFonts w:eastAsiaTheme="minorHAnsi" w:cs="Arial"/>
                <w:b/>
                <w:bCs/>
                <w:i/>
                <w:iCs/>
                <w:color w:val="000000"/>
                <w:szCs w:val="20"/>
              </w:rPr>
              <w:t>[E]</w:t>
            </w:r>
          </w:p>
        </w:tc>
        <w:tc>
          <w:tcPr>
            <w:tcW w:w="1168" w:type="dxa"/>
            <w:tcBorders>
              <w:left w:val="nil"/>
              <w:right w:val="nil"/>
            </w:tcBorders>
            <w:shd w:val="clear" w:color="auto" w:fill="FFFFFF"/>
          </w:tcPr>
          <w:p w14:paraId="1258B6EE"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55,707</w:t>
            </w:r>
          </w:p>
        </w:tc>
        <w:tc>
          <w:tcPr>
            <w:tcW w:w="1258" w:type="dxa"/>
            <w:tcBorders>
              <w:left w:val="nil"/>
              <w:right w:val="nil"/>
            </w:tcBorders>
            <w:shd w:val="clear" w:color="auto" w:fill="FFFFFF"/>
          </w:tcPr>
          <w:p w14:paraId="706E8573"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58,803</w:t>
            </w:r>
          </w:p>
        </w:tc>
        <w:tc>
          <w:tcPr>
            <w:tcW w:w="1377" w:type="dxa"/>
            <w:tcBorders>
              <w:left w:val="nil"/>
              <w:right w:val="nil"/>
            </w:tcBorders>
            <w:shd w:val="clear" w:color="auto" w:fill="FFFFFF"/>
          </w:tcPr>
          <w:p w14:paraId="5B02876F" w14:textId="77777777" w:rsidR="00F25042" w:rsidRPr="00427C25" w:rsidRDefault="00F25042" w:rsidP="00F25042">
            <w:pPr>
              <w:widowControl w:val="0"/>
              <w:autoSpaceDE w:val="0"/>
              <w:autoSpaceDN w:val="0"/>
              <w:adjustRightInd w:val="0"/>
              <w:jc w:val="center"/>
              <w:textAlignment w:val="center"/>
              <w:rPr>
                <w:rFonts w:eastAsiaTheme="minorHAnsi" w:cs="Arial"/>
                <w:b/>
                <w:color w:val="000000"/>
                <w:szCs w:val="20"/>
              </w:rPr>
            </w:pPr>
            <w:r w:rsidRPr="00427C25">
              <w:rPr>
                <w:rFonts w:eastAsiaTheme="minorHAnsi" w:cs="Arial"/>
                <w:b/>
                <w:color w:val="000000"/>
                <w:szCs w:val="20"/>
              </w:rPr>
              <w:t>114,510</w:t>
            </w:r>
          </w:p>
        </w:tc>
      </w:tr>
      <w:tr w:rsidR="00F25042" w:rsidRPr="00427C25" w14:paraId="0C764F64" w14:textId="77777777" w:rsidTr="00F25042">
        <w:tc>
          <w:tcPr>
            <w:tcW w:w="9000" w:type="dxa"/>
            <w:gridSpan w:val="4"/>
            <w:tcBorders>
              <w:left w:val="nil"/>
              <w:right w:val="nil"/>
            </w:tcBorders>
            <w:shd w:val="clear" w:color="auto" w:fill="FFFFFF"/>
          </w:tcPr>
          <w:p w14:paraId="62D7D0E8" w14:textId="77777777" w:rsidR="00F25042" w:rsidRPr="00427C25" w:rsidRDefault="00F25042" w:rsidP="00F25042">
            <w:pPr>
              <w:widowControl w:val="0"/>
              <w:autoSpaceDE w:val="0"/>
              <w:autoSpaceDN w:val="0"/>
              <w:adjustRightInd w:val="0"/>
              <w:textAlignment w:val="center"/>
              <w:rPr>
                <w:rFonts w:eastAsiaTheme="minorHAnsi" w:cs="Arial"/>
                <w:bCs/>
                <w:i/>
                <w:iCs/>
                <w:color w:val="000000"/>
                <w:szCs w:val="20"/>
              </w:rPr>
            </w:pPr>
            <w:r w:rsidRPr="00427C25">
              <w:rPr>
                <w:rFonts w:eastAsiaTheme="minorHAnsi" w:cs="Arial"/>
                <w:b/>
                <w:bCs/>
                <w:i/>
                <w:iCs/>
                <w:color w:val="000000"/>
                <w:sz w:val="16"/>
                <w:szCs w:val="16"/>
              </w:rPr>
              <w:t xml:space="preserve">[A] Basis for calculations of </w:t>
            </w:r>
            <w:r>
              <w:rPr>
                <w:rFonts w:eastAsiaTheme="minorHAnsi" w:cs="Arial"/>
                <w:b/>
                <w:bCs/>
                <w:i/>
                <w:iCs/>
                <w:color w:val="000000"/>
                <w:sz w:val="16"/>
                <w:szCs w:val="16"/>
              </w:rPr>
              <w:t xml:space="preserve">the </w:t>
            </w:r>
            <w:r w:rsidRPr="00427C25">
              <w:rPr>
                <w:rFonts w:eastAsiaTheme="minorHAnsi" w:cs="Arial"/>
                <w:b/>
                <w:bCs/>
                <w:i/>
                <w:iCs/>
                <w:color w:val="000000"/>
                <w:sz w:val="16"/>
                <w:szCs w:val="16"/>
              </w:rPr>
              <w:t xml:space="preserve">average number of students (male and female) per school and grade and applied to </w:t>
            </w:r>
            <w:r>
              <w:rPr>
                <w:rFonts w:eastAsiaTheme="minorHAnsi" w:cs="Arial"/>
                <w:b/>
                <w:bCs/>
                <w:i/>
                <w:iCs/>
                <w:color w:val="000000"/>
                <w:sz w:val="16"/>
                <w:szCs w:val="16"/>
              </w:rPr>
              <w:t xml:space="preserve">a </w:t>
            </w:r>
            <w:r w:rsidRPr="00427C25">
              <w:rPr>
                <w:rFonts w:eastAsiaTheme="minorHAnsi" w:cs="Arial"/>
                <w:b/>
                <w:bCs/>
                <w:i/>
                <w:iCs/>
                <w:color w:val="000000"/>
                <w:sz w:val="16"/>
                <w:szCs w:val="16"/>
              </w:rPr>
              <w:t>number of project target intervention schools and intervention grades within them is Chapter- Three: Secondary School Education Table 3.1.10 Number of School, Teacher</w:t>
            </w:r>
            <w:r>
              <w:rPr>
                <w:rFonts w:eastAsiaTheme="minorHAnsi" w:cs="Arial"/>
                <w:b/>
                <w:bCs/>
                <w:i/>
                <w:iCs/>
                <w:color w:val="000000"/>
                <w:sz w:val="16"/>
                <w:szCs w:val="16"/>
              </w:rPr>
              <w:t>,</w:t>
            </w:r>
            <w:r w:rsidRPr="00427C25">
              <w:rPr>
                <w:rFonts w:eastAsiaTheme="minorHAnsi" w:cs="Arial"/>
                <w:b/>
                <w:bCs/>
                <w:i/>
                <w:iCs/>
                <w:color w:val="000000"/>
                <w:sz w:val="16"/>
                <w:szCs w:val="16"/>
              </w:rPr>
              <w:t xml:space="preserve"> and Student by District 2017 and Chapter- Five: Madrasah Education Table 5.1.8: District Wise Institution, teacher and Enrolment by Gender 2017 </w:t>
            </w:r>
            <w:hyperlink r:id="rId11" w:history="1">
              <w:r w:rsidRPr="00427C25">
                <w:rPr>
                  <w:rFonts w:eastAsiaTheme="minorHAnsi" w:cs="Arial"/>
                  <w:b/>
                  <w:bCs/>
                  <w:i/>
                  <w:iCs/>
                  <w:color w:val="0000FF" w:themeColor="hyperlink"/>
                  <w:sz w:val="16"/>
                  <w:szCs w:val="16"/>
                  <w:u w:val="single"/>
                </w:rPr>
                <w:t>data.banbeis.gov.bd/images/ban03.pdf</w:t>
              </w:r>
            </w:hyperlink>
            <w:r w:rsidRPr="00427C25">
              <w:rPr>
                <w:rFonts w:eastAsiaTheme="minorHAnsi" w:cs="Arial"/>
                <w:b/>
                <w:bCs/>
                <w:i/>
                <w:iCs/>
                <w:color w:val="000000"/>
                <w:sz w:val="16"/>
                <w:szCs w:val="16"/>
              </w:rPr>
              <w:t xml:space="preserve"> and  </w:t>
            </w:r>
            <w:hyperlink r:id="rId12" w:history="1">
              <w:r w:rsidRPr="00427C25">
                <w:rPr>
                  <w:rFonts w:eastAsiaTheme="minorHAnsi" w:cs="Arial"/>
                  <w:b/>
                  <w:bCs/>
                  <w:i/>
                  <w:iCs/>
                  <w:color w:val="0000FF" w:themeColor="hyperlink"/>
                  <w:sz w:val="16"/>
                  <w:szCs w:val="16"/>
                  <w:u w:val="single"/>
                </w:rPr>
                <w:t>data.banbeis.gov.bd/images/ban05.pdf</w:t>
              </w:r>
            </w:hyperlink>
          </w:p>
        </w:tc>
      </w:tr>
      <w:tr w:rsidR="00F25042" w:rsidRPr="00427C25" w14:paraId="24EC4DAC" w14:textId="77777777" w:rsidTr="00F25042">
        <w:tc>
          <w:tcPr>
            <w:tcW w:w="9000" w:type="dxa"/>
            <w:gridSpan w:val="4"/>
            <w:tcBorders>
              <w:left w:val="nil"/>
              <w:right w:val="nil"/>
            </w:tcBorders>
            <w:shd w:val="clear" w:color="auto" w:fill="FFFFFF"/>
          </w:tcPr>
          <w:p w14:paraId="31D07384" w14:textId="77777777" w:rsidR="00F25042" w:rsidRPr="00427C25" w:rsidRDefault="00F25042" w:rsidP="00F25042">
            <w:pPr>
              <w:widowControl w:val="0"/>
              <w:autoSpaceDE w:val="0"/>
              <w:autoSpaceDN w:val="0"/>
              <w:adjustRightInd w:val="0"/>
              <w:textAlignment w:val="center"/>
              <w:rPr>
                <w:rFonts w:eastAsiaTheme="minorHAnsi" w:cs="Arial"/>
                <w:bCs/>
                <w:color w:val="000000"/>
                <w:szCs w:val="20"/>
              </w:rPr>
            </w:pPr>
            <w:r w:rsidRPr="00427C25">
              <w:rPr>
                <w:rFonts w:eastAsiaTheme="minorHAnsi" w:cs="Arial"/>
                <w:b/>
                <w:bCs/>
                <w:i/>
                <w:iCs/>
                <w:color w:val="000000"/>
                <w:sz w:val="16"/>
                <w:szCs w:val="16"/>
              </w:rPr>
              <w:t xml:space="preserve">[B] Adolescent girls are the ultimate beneficiary of the project’s EE component targeting 3,200 households, along with 160 adolescent boys directly engaged through waged employment stream of the EE component. Of the 3,200 adolescent girls, 960 are also directly engaged in project training and supports through both the waged (160) and self-employment (800) streams. </w:t>
            </w:r>
          </w:p>
        </w:tc>
      </w:tr>
      <w:tr w:rsidR="00F25042" w:rsidRPr="00427C25" w14:paraId="13B3F6D8" w14:textId="77777777" w:rsidTr="00F25042">
        <w:tc>
          <w:tcPr>
            <w:tcW w:w="9000" w:type="dxa"/>
            <w:gridSpan w:val="4"/>
            <w:tcBorders>
              <w:left w:val="nil"/>
              <w:right w:val="nil"/>
            </w:tcBorders>
            <w:shd w:val="clear" w:color="auto" w:fill="FFFFFF"/>
          </w:tcPr>
          <w:p w14:paraId="186C743D" w14:textId="77777777" w:rsidR="00F25042" w:rsidRPr="00427C25" w:rsidRDefault="00F25042" w:rsidP="00F25042">
            <w:pPr>
              <w:widowControl w:val="0"/>
              <w:autoSpaceDE w:val="0"/>
              <w:autoSpaceDN w:val="0"/>
              <w:adjustRightInd w:val="0"/>
              <w:textAlignment w:val="center"/>
              <w:rPr>
                <w:rFonts w:eastAsiaTheme="minorHAnsi" w:cs="Arial"/>
                <w:bCs/>
                <w:i/>
                <w:iCs/>
                <w:color w:val="000000"/>
                <w:sz w:val="16"/>
                <w:szCs w:val="16"/>
              </w:rPr>
            </w:pPr>
            <w:r w:rsidRPr="00427C25">
              <w:rPr>
                <w:rFonts w:eastAsiaTheme="minorHAnsi" w:cs="Arial"/>
                <w:b/>
                <w:bCs/>
                <w:i/>
                <w:iCs/>
                <w:color w:val="000000"/>
                <w:sz w:val="16"/>
                <w:szCs w:val="16"/>
              </w:rPr>
              <w:t xml:space="preserve">[C] 50% of these intermediaries are considered for reach total as </w:t>
            </w:r>
            <w:r>
              <w:rPr>
                <w:rFonts w:eastAsiaTheme="minorHAnsi" w:cs="Arial"/>
                <w:b/>
                <w:bCs/>
                <w:i/>
                <w:iCs/>
                <w:color w:val="000000"/>
                <w:sz w:val="16"/>
                <w:szCs w:val="16"/>
              </w:rPr>
              <w:t xml:space="preserve">the </w:t>
            </w:r>
            <w:r w:rsidRPr="00427C25">
              <w:rPr>
                <w:rFonts w:eastAsiaTheme="minorHAnsi" w:cs="Arial"/>
                <w:b/>
                <w:bCs/>
                <w:i/>
                <w:iCs/>
                <w:color w:val="000000"/>
                <w:sz w:val="16"/>
                <w:szCs w:val="16"/>
              </w:rPr>
              <w:t>other 50% are covered under parents engaged by CMF.</w:t>
            </w:r>
          </w:p>
        </w:tc>
      </w:tr>
      <w:tr w:rsidR="00F25042" w:rsidRPr="00427C25" w14:paraId="0AEEFDDB" w14:textId="77777777" w:rsidTr="00F25042">
        <w:tc>
          <w:tcPr>
            <w:tcW w:w="9000" w:type="dxa"/>
            <w:gridSpan w:val="4"/>
            <w:tcBorders>
              <w:left w:val="nil"/>
              <w:right w:val="nil"/>
            </w:tcBorders>
            <w:shd w:val="clear" w:color="auto" w:fill="FFFFFF"/>
          </w:tcPr>
          <w:p w14:paraId="7A117629" w14:textId="77777777" w:rsidR="00F25042" w:rsidRPr="00427C25" w:rsidRDefault="00F25042" w:rsidP="00F25042">
            <w:pPr>
              <w:widowControl w:val="0"/>
              <w:autoSpaceDE w:val="0"/>
              <w:autoSpaceDN w:val="0"/>
              <w:adjustRightInd w:val="0"/>
              <w:textAlignment w:val="center"/>
              <w:rPr>
                <w:rFonts w:eastAsiaTheme="minorHAnsi" w:cs="Arial"/>
                <w:bCs/>
                <w:i/>
                <w:iCs/>
                <w:color w:val="000000"/>
                <w:sz w:val="16"/>
                <w:szCs w:val="16"/>
              </w:rPr>
            </w:pPr>
            <w:r w:rsidRPr="00427C25">
              <w:rPr>
                <w:rFonts w:eastAsiaTheme="minorHAnsi" w:cs="Arial"/>
                <w:b/>
                <w:bCs/>
                <w:i/>
                <w:iCs/>
                <w:color w:val="000000"/>
                <w:sz w:val="16"/>
                <w:szCs w:val="16"/>
              </w:rPr>
              <w:t xml:space="preserve">[D] Two (2) teachers are targeted per school (95) involved in piloting the CEFM reporting and response protocol, and due to overlap with teachers trained in all targeted schools (440) on GEMS, 30% of these teachers are considered for reach total.   </w:t>
            </w:r>
          </w:p>
        </w:tc>
      </w:tr>
      <w:tr w:rsidR="00F25042" w:rsidRPr="00427C25" w14:paraId="06305C08" w14:textId="77777777" w:rsidTr="00F25042">
        <w:tc>
          <w:tcPr>
            <w:tcW w:w="9000" w:type="dxa"/>
            <w:gridSpan w:val="4"/>
            <w:tcBorders>
              <w:left w:val="nil"/>
              <w:right w:val="nil"/>
            </w:tcBorders>
            <w:shd w:val="clear" w:color="auto" w:fill="FFFFFF"/>
          </w:tcPr>
          <w:p w14:paraId="0D8D70E3" w14:textId="77777777" w:rsidR="00F25042" w:rsidRPr="00427C25" w:rsidRDefault="00F25042" w:rsidP="00F25042">
            <w:pPr>
              <w:widowControl w:val="0"/>
              <w:autoSpaceDE w:val="0"/>
              <w:autoSpaceDN w:val="0"/>
              <w:adjustRightInd w:val="0"/>
              <w:textAlignment w:val="center"/>
              <w:rPr>
                <w:rFonts w:eastAsiaTheme="minorHAnsi" w:cs="Arial"/>
                <w:bCs/>
                <w:i/>
                <w:iCs/>
                <w:color w:val="000000"/>
                <w:sz w:val="16"/>
                <w:szCs w:val="16"/>
              </w:rPr>
            </w:pPr>
            <w:r w:rsidRPr="00427C25">
              <w:rPr>
                <w:rFonts w:eastAsiaTheme="minorHAnsi" w:cs="Arial"/>
                <w:b/>
                <w:bCs/>
                <w:i/>
                <w:iCs/>
                <w:color w:val="000000"/>
                <w:sz w:val="16"/>
                <w:szCs w:val="16"/>
              </w:rPr>
              <w:t xml:space="preserve">[E] </w:t>
            </w:r>
            <w:r>
              <w:rPr>
                <w:rFonts w:eastAsiaTheme="minorHAnsi" w:cs="Arial"/>
                <w:b/>
                <w:bCs/>
                <w:i/>
                <w:iCs/>
                <w:color w:val="000000"/>
                <w:sz w:val="16"/>
                <w:szCs w:val="16"/>
              </w:rPr>
              <w:t>T</w:t>
            </w:r>
            <w:r w:rsidRPr="00427C25">
              <w:rPr>
                <w:rFonts w:eastAsiaTheme="minorHAnsi" w:cs="Arial"/>
                <w:b/>
                <w:bCs/>
                <w:i/>
                <w:iCs/>
                <w:color w:val="000000"/>
                <w:sz w:val="16"/>
                <w:szCs w:val="16"/>
              </w:rPr>
              <w:t>o account for overlap of interventions, intermediary totals are not the direct sum of each line.</w:t>
            </w:r>
          </w:p>
        </w:tc>
      </w:tr>
    </w:tbl>
    <w:p w14:paraId="08474ECA" w14:textId="77777777" w:rsidR="00F25042" w:rsidRDefault="00F25042" w:rsidP="00F25042">
      <w:pPr>
        <w:spacing w:after="120" w:line="240" w:lineRule="auto"/>
        <w:rPr>
          <w:rFonts w:ascii="Arial" w:hAnsi="Arial" w:cs="Arial"/>
          <w:sz w:val="24"/>
          <w:szCs w:val="24"/>
        </w:rPr>
      </w:pPr>
    </w:p>
    <w:p w14:paraId="57210AC2" w14:textId="29A698F5" w:rsidR="00F563A6" w:rsidRDefault="00F563A6" w:rsidP="00F25042">
      <w:pPr>
        <w:pStyle w:val="ListParagraph"/>
        <w:spacing w:after="120" w:line="240" w:lineRule="auto"/>
        <w:ind w:left="360"/>
        <w:contextualSpacing w:val="0"/>
        <w:rPr>
          <w:rFonts w:ascii="Arial" w:hAnsi="Arial" w:cs="Arial"/>
          <w:b/>
          <w:sz w:val="24"/>
          <w:szCs w:val="24"/>
        </w:rPr>
      </w:pPr>
    </w:p>
    <w:p w14:paraId="32A6517B" w14:textId="1737EA37" w:rsidR="00F25042" w:rsidRPr="00F35088" w:rsidRDefault="00F25042" w:rsidP="00F25042">
      <w:pPr>
        <w:pStyle w:val="ListParagraph"/>
        <w:spacing w:after="120" w:line="240" w:lineRule="auto"/>
        <w:ind w:left="360"/>
        <w:contextualSpacing w:val="0"/>
        <w:rPr>
          <w:rFonts w:ascii="Arial" w:hAnsi="Arial" w:cs="Arial"/>
          <w:b/>
          <w:sz w:val="24"/>
          <w:szCs w:val="24"/>
        </w:rPr>
      </w:pPr>
      <w:r>
        <w:rPr>
          <w:rFonts w:ascii="Arial" w:hAnsi="Arial" w:cs="Arial"/>
          <w:b/>
          <w:sz w:val="24"/>
          <w:szCs w:val="24"/>
        </w:rPr>
        <w:lastRenderedPageBreak/>
        <w:t>Table 2</w:t>
      </w:r>
      <w:r w:rsidRPr="00F35088">
        <w:rPr>
          <w:rFonts w:ascii="Arial" w:hAnsi="Arial" w:cs="Arial"/>
          <w:b/>
          <w:sz w:val="24"/>
          <w:szCs w:val="24"/>
        </w:rPr>
        <w:t xml:space="preserve">: </w:t>
      </w:r>
      <w:r>
        <w:rPr>
          <w:rFonts w:ascii="Arial" w:hAnsi="Arial" w:cs="Arial"/>
          <w:b/>
          <w:sz w:val="24"/>
          <w:szCs w:val="24"/>
        </w:rPr>
        <w:t xml:space="preserve">Number of different types of schools and girls and boys </w:t>
      </w:r>
      <w:r>
        <w:rPr>
          <w:rFonts w:ascii="Arial" w:eastAsia="Arial" w:hAnsi="Arial" w:cs="Arial"/>
          <w:b/>
          <w:color w:val="000000"/>
          <w:sz w:val="24"/>
          <w:szCs w:val="24"/>
        </w:rPr>
        <w:t xml:space="preserve">in Bhola and </w:t>
      </w:r>
      <w:proofErr w:type="spellStart"/>
      <w:r>
        <w:rPr>
          <w:rFonts w:ascii="Arial" w:eastAsia="Arial" w:hAnsi="Arial" w:cs="Arial"/>
          <w:b/>
          <w:color w:val="000000"/>
          <w:sz w:val="24"/>
          <w:szCs w:val="24"/>
        </w:rPr>
        <w:t>Jhalokati</w:t>
      </w:r>
      <w:proofErr w:type="spellEnd"/>
      <w:r>
        <w:rPr>
          <w:rFonts w:ascii="Arial" w:eastAsia="Arial" w:hAnsi="Arial" w:cs="Arial"/>
          <w:b/>
          <w:color w:val="000000"/>
          <w:sz w:val="24"/>
          <w:szCs w:val="24"/>
        </w:rPr>
        <w:t xml:space="preserve"> district</w:t>
      </w:r>
      <w:r>
        <w:rPr>
          <w:rFonts w:ascii="Arial" w:hAnsi="Arial" w:cs="Arial"/>
          <w:b/>
          <w:sz w:val="24"/>
          <w:szCs w:val="24"/>
        </w:rPr>
        <w:t xml:space="preserve">. </w:t>
      </w:r>
    </w:p>
    <w:tbl>
      <w:tblPr>
        <w:tblW w:w="6379" w:type="dxa"/>
        <w:jc w:val="center"/>
        <w:tblLook w:val="04A0" w:firstRow="1" w:lastRow="0" w:firstColumn="1" w:lastColumn="0" w:noHBand="0" w:noVBand="1"/>
      </w:tblPr>
      <w:tblGrid>
        <w:gridCol w:w="1133"/>
        <w:gridCol w:w="2213"/>
        <w:gridCol w:w="1010"/>
        <w:gridCol w:w="889"/>
        <w:gridCol w:w="1134"/>
      </w:tblGrid>
      <w:tr w:rsidR="00F25042" w:rsidRPr="00427C25" w14:paraId="5A45C122" w14:textId="77777777" w:rsidTr="00F25042">
        <w:trPr>
          <w:trHeight w:val="278"/>
          <w:jc w:val="center"/>
        </w:trPr>
        <w:tc>
          <w:tcPr>
            <w:tcW w:w="1133" w:type="dxa"/>
            <w:tcBorders>
              <w:top w:val="single" w:sz="4" w:space="0" w:color="004EB6"/>
              <w:bottom w:val="single" w:sz="4" w:space="0" w:color="004EB6"/>
            </w:tcBorders>
            <w:shd w:val="clear" w:color="auto" w:fill="365F91" w:themeFill="accent1" w:themeFillShade="BF"/>
          </w:tcPr>
          <w:p w14:paraId="3190BB12" w14:textId="77777777" w:rsidR="00F25042" w:rsidRPr="00427C25" w:rsidRDefault="00F25042" w:rsidP="00F25042">
            <w:pPr>
              <w:rPr>
                <w:rFonts w:eastAsia="Arial" w:cs="Arial"/>
                <w:color w:val="FFFFFF" w:themeColor="background1"/>
                <w:sz w:val="21"/>
                <w:szCs w:val="21"/>
              </w:rPr>
            </w:pPr>
            <w:r w:rsidRPr="00427C25">
              <w:rPr>
                <w:rFonts w:eastAsia="Arial" w:cs="Arial"/>
                <w:color w:val="FFFFFF" w:themeColor="background1"/>
                <w:sz w:val="21"/>
                <w:szCs w:val="21"/>
              </w:rPr>
              <w:t>District</w:t>
            </w:r>
          </w:p>
        </w:tc>
        <w:tc>
          <w:tcPr>
            <w:tcW w:w="2213" w:type="dxa"/>
            <w:tcBorders>
              <w:top w:val="single" w:sz="4" w:space="0" w:color="004EB6"/>
              <w:left w:val="nil"/>
              <w:bottom w:val="single" w:sz="4" w:space="0" w:color="004EB6"/>
              <w:right w:val="nil"/>
            </w:tcBorders>
            <w:shd w:val="clear" w:color="auto" w:fill="365F91" w:themeFill="accent1" w:themeFillShade="BF"/>
          </w:tcPr>
          <w:p w14:paraId="18655DC9" w14:textId="77777777" w:rsidR="00F25042" w:rsidRPr="00427C25" w:rsidRDefault="00F25042" w:rsidP="00F25042">
            <w:pPr>
              <w:rPr>
                <w:rFonts w:eastAsia="Arial" w:cs="Arial"/>
                <w:color w:val="FFFFFF" w:themeColor="background1"/>
                <w:sz w:val="21"/>
                <w:szCs w:val="21"/>
              </w:rPr>
            </w:pPr>
            <w:r w:rsidRPr="00427C25">
              <w:rPr>
                <w:rFonts w:eastAsia="Arial" w:cs="Arial"/>
                <w:color w:val="FFFFFF" w:themeColor="background1"/>
                <w:sz w:val="21"/>
                <w:szCs w:val="21"/>
              </w:rPr>
              <w:t>School Type</w:t>
            </w:r>
          </w:p>
        </w:tc>
        <w:tc>
          <w:tcPr>
            <w:tcW w:w="1010" w:type="dxa"/>
            <w:tcBorders>
              <w:top w:val="single" w:sz="4" w:space="0" w:color="004EB6"/>
              <w:left w:val="nil"/>
              <w:bottom w:val="single" w:sz="4" w:space="0" w:color="004EB6"/>
              <w:right w:val="nil"/>
            </w:tcBorders>
            <w:shd w:val="clear" w:color="auto" w:fill="365F91" w:themeFill="accent1" w:themeFillShade="BF"/>
          </w:tcPr>
          <w:p w14:paraId="03CB9CFF" w14:textId="77777777" w:rsidR="00F25042" w:rsidRPr="00427C25" w:rsidRDefault="00F25042" w:rsidP="00F25042">
            <w:pPr>
              <w:jc w:val="center"/>
              <w:rPr>
                <w:rFonts w:eastAsia="Arial" w:cs="Arial"/>
                <w:color w:val="FFFFFF" w:themeColor="background1"/>
                <w:sz w:val="21"/>
                <w:szCs w:val="21"/>
              </w:rPr>
            </w:pPr>
            <w:r w:rsidRPr="00427C25">
              <w:rPr>
                <w:rFonts w:eastAsia="Arial" w:cs="Arial"/>
                <w:color w:val="FFFFFF" w:themeColor="background1"/>
                <w:sz w:val="21"/>
                <w:szCs w:val="21"/>
              </w:rPr>
              <w:t>Number</w:t>
            </w:r>
          </w:p>
        </w:tc>
        <w:tc>
          <w:tcPr>
            <w:tcW w:w="889" w:type="dxa"/>
            <w:tcBorders>
              <w:top w:val="single" w:sz="4" w:space="0" w:color="004EB6"/>
              <w:left w:val="nil"/>
              <w:bottom w:val="single" w:sz="4" w:space="0" w:color="004EB6"/>
              <w:right w:val="nil"/>
            </w:tcBorders>
            <w:shd w:val="clear" w:color="auto" w:fill="365F91" w:themeFill="accent1" w:themeFillShade="BF"/>
          </w:tcPr>
          <w:p w14:paraId="3552A639" w14:textId="77777777" w:rsidR="00F25042" w:rsidRPr="00427C25" w:rsidRDefault="00F25042" w:rsidP="00F25042">
            <w:pPr>
              <w:jc w:val="center"/>
              <w:rPr>
                <w:rFonts w:eastAsia="Arial" w:cs="Arial"/>
                <w:color w:val="FFFFFF" w:themeColor="background1"/>
                <w:sz w:val="21"/>
                <w:szCs w:val="21"/>
              </w:rPr>
            </w:pPr>
            <w:r w:rsidRPr="00427C25">
              <w:rPr>
                <w:rFonts w:eastAsia="Arial" w:cs="Arial"/>
                <w:color w:val="FFFFFF" w:themeColor="background1"/>
                <w:sz w:val="21"/>
                <w:szCs w:val="21"/>
              </w:rPr>
              <w:t>Girls</w:t>
            </w:r>
          </w:p>
        </w:tc>
        <w:tc>
          <w:tcPr>
            <w:tcW w:w="1134" w:type="dxa"/>
            <w:tcBorders>
              <w:top w:val="single" w:sz="4" w:space="0" w:color="004EB6"/>
              <w:left w:val="nil"/>
              <w:bottom w:val="single" w:sz="4" w:space="0" w:color="004EB6"/>
              <w:right w:val="single" w:sz="4" w:space="0" w:color="0072CE"/>
            </w:tcBorders>
            <w:shd w:val="clear" w:color="auto" w:fill="365F91" w:themeFill="accent1" w:themeFillShade="BF"/>
          </w:tcPr>
          <w:p w14:paraId="3EBFAC67" w14:textId="77777777" w:rsidR="00F25042" w:rsidRPr="00427C25" w:rsidRDefault="00F25042" w:rsidP="00F25042">
            <w:pPr>
              <w:jc w:val="center"/>
              <w:rPr>
                <w:rFonts w:eastAsia="Arial" w:cs="Arial"/>
                <w:color w:val="FFFFFF" w:themeColor="background1"/>
                <w:sz w:val="21"/>
                <w:szCs w:val="21"/>
              </w:rPr>
            </w:pPr>
            <w:r w:rsidRPr="00427C25">
              <w:rPr>
                <w:rFonts w:eastAsia="Arial" w:cs="Arial"/>
                <w:color w:val="FFFFFF" w:themeColor="background1"/>
                <w:sz w:val="21"/>
                <w:szCs w:val="21"/>
              </w:rPr>
              <w:t>Boys</w:t>
            </w:r>
          </w:p>
        </w:tc>
      </w:tr>
      <w:tr w:rsidR="00F25042" w:rsidRPr="00427C25" w14:paraId="3D040D16" w14:textId="77777777" w:rsidTr="00F25042">
        <w:trPr>
          <w:trHeight w:val="260"/>
          <w:jc w:val="center"/>
        </w:trPr>
        <w:tc>
          <w:tcPr>
            <w:tcW w:w="1133" w:type="dxa"/>
            <w:vMerge w:val="restart"/>
            <w:tcBorders>
              <w:left w:val="nil"/>
              <w:bottom w:val="nil"/>
            </w:tcBorders>
          </w:tcPr>
          <w:p w14:paraId="410F2DC3"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Bhola</w:t>
            </w:r>
          </w:p>
        </w:tc>
        <w:tc>
          <w:tcPr>
            <w:tcW w:w="2213" w:type="dxa"/>
            <w:tcBorders>
              <w:left w:val="nil"/>
              <w:bottom w:val="nil"/>
              <w:right w:val="nil"/>
            </w:tcBorders>
          </w:tcPr>
          <w:p w14:paraId="7E5B67B4"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 xml:space="preserve">Secondary School </w:t>
            </w:r>
          </w:p>
        </w:tc>
        <w:tc>
          <w:tcPr>
            <w:tcW w:w="1010" w:type="dxa"/>
            <w:tcBorders>
              <w:left w:val="nil"/>
              <w:bottom w:val="nil"/>
              <w:right w:val="nil"/>
            </w:tcBorders>
          </w:tcPr>
          <w:p w14:paraId="13A66ABD"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51</w:t>
            </w:r>
          </w:p>
        </w:tc>
        <w:tc>
          <w:tcPr>
            <w:tcW w:w="889" w:type="dxa"/>
            <w:tcBorders>
              <w:left w:val="nil"/>
              <w:bottom w:val="nil"/>
              <w:right w:val="nil"/>
            </w:tcBorders>
          </w:tcPr>
          <w:p w14:paraId="7259A25C"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13,866</w:t>
            </w:r>
          </w:p>
        </w:tc>
        <w:tc>
          <w:tcPr>
            <w:tcW w:w="1134" w:type="dxa"/>
            <w:tcBorders>
              <w:left w:val="nil"/>
              <w:bottom w:val="nil"/>
              <w:right w:val="nil"/>
            </w:tcBorders>
          </w:tcPr>
          <w:p w14:paraId="73B68B1F"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12,899</w:t>
            </w:r>
          </w:p>
        </w:tc>
      </w:tr>
      <w:tr w:rsidR="00F25042" w:rsidRPr="00427C25" w14:paraId="7A10C478" w14:textId="77777777" w:rsidTr="00F25042">
        <w:trPr>
          <w:trHeight w:val="260"/>
          <w:jc w:val="center"/>
        </w:trPr>
        <w:tc>
          <w:tcPr>
            <w:tcW w:w="1133" w:type="dxa"/>
            <w:vMerge/>
            <w:tcBorders>
              <w:top w:val="single" w:sz="4" w:space="0" w:color="004EB6"/>
              <w:left w:val="nil"/>
              <w:bottom w:val="nil"/>
            </w:tcBorders>
          </w:tcPr>
          <w:p w14:paraId="5F76E353"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6EFBDB4A"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Jr. Secondary School</w:t>
            </w:r>
          </w:p>
        </w:tc>
        <w:tc>
          <w:tcPr>
            <w:tcW w:w="1010" w:type="dxa"/>
            <w:tcBorders>
              <w:top w:val="nil"/>
              <w:left w:val="nil"/>
              <w:bottom w:val="nil"/>
              <w:right w:val="nil"/>
            </w:tcBorders>
          </w:tcPr>
          <w:p w14:paraId="4F18948D"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23</w:t>
            </w:r>
          </w:p>
        </w:tc>
        <w:tc>
          <w:tcPr>
            <w:tcW w:w="889" w:type="dxa"/>
            <w:tcBorders>
              <w:top w:val="nil"/>
              <w:left w:val="nil"/>
              <w:bottom w:val="nil"/>
              <w:right w:val="nil"/>
            </w:tcBorders>
          </w:tcPr>
          <w:p w14:paraId="7D07C9FF"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3,405</w:t>
            </w:r>
          </w:p>
        </w:tc>
        <w:tc>
          <w:tcPr>
            <w:tcW w:w="1134" w:type="dxa"/>
            <w:tcBorders>
              <w:top w:val="nil"/>
              <w:left w:val="nil"/>
              <w:bottom w:val="nil"/>
              <w:right w:val="nil"/>
            </w:tcBorders>
          </w:tcPr>
          <w:p w14:paraId="2EDD479B"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2,108</w:t>
            </w:r>
          </w:p>
        </w:tc>
      </w:tr>
      <w:tr w:rsidR="00F25042" w:rsidRPr="00427C25" w14:paraId="6EAA9731" w14:textId="77777777" w:rsidTr="00F25042">
        <w:trPr>
          <w:jc w:val="center"/>
        </w:trPr>
        <w:tc>
          <w:tcPr>
            <w:tcW w:w="1133" w:type="dxa"/>
            <w:vMerge/>
            <w:tcBorders>
              <w:left w:val="nil"/>
              <w:bottom w:val="nil"/>
            </w:tcBorders>
          </w:tcPr>
          <w:p w14:paraId="704E3484"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03418ECA"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School &amp; College</w:t>
            </w:r>
          </w:p>
        </w:tc>
        <w:tc>
          <w:tcPr>
            <w:tcW w:w="1010" w:type="dxa"/>
            <w:tcBorders>
              <w:top w:val="nil"/>
              <w:left w:val="nil"/>
              <w:bottom w:val="nil"/>
              <w:right w:val="nil"/>
            </w:tcBorders>
          </w:tcPr>
          <w:p w14:paraId="050F7EFA"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0</w:t>
            </w:r>
          </w:p>
        </w:tc>
        <w:tc>
          <w:tcPr>
            <w:tcW w:w="889" w:type="dxa"/>
            <w:tcBorders>
              <w:top w:val="nil"/>
              <w:left w:val="nil"/>
              <w:bottom w:val="nil"/>
              <w:right w:val="nil"/>
            </w:tcBorders>
          </w:tcPr>
          <w:p w14:paraId="3E86FB03"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0</w:t>
            </w:r>
          </w:p>
        </w:tc>
        <w:tc>
          <w:tcPr>
            <w:tcW w:w="1134" w:type="dxa"/>
            <w:tcBorders>
              <w:top w:val="nil"/>
              <w:left w:val="nil"/>
              <w:bottom w:val="nil"/>
              <w:right w:val="nil"/>
            </w:tcBorders>
          </w:tcPr>
          <w:p w14:paraId="5B5889C8"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0</w:t>
            </w:r>
          </w:p>
        </w:tc>
      </w:tr>
      <w:tr w:rsidR="00F25042" w:rsidRPr="00427C25" w14:paraId="7C0985B2" w14:textId="77777777" w:rsidTr="00F25042">
        <w:trPr>
          <w:jc w:val="center"/>
        </w:trPr>
        <w:tc>
          <w:tcPr>
            <w:tcW w:w="1133" w:type="dxa"/>
            <w:vMerge/>
            <w:tcBorders>
              <w:top w:val="single" w:sz="4" w:space="0" w:color="004EB6"/>
              <w:left w:val="nil"/>
              <w:bottom w:val="nil"/>
            </w:tcBorders>
          </w:tcPr>
          <w:p w14:paraId="21773554"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75459B2C"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Madrasah Alim</w:t>
            </w:r>
          </w:p>
        </w:tc>
        <w:tc>
          <w:tcPr>
            <w:tcW w:w="1010" w:type="dxa"/>
            <w:tcBorders>
              <w:top w:val="nil"/>
              <w:left w:val="nil"/>
              <w:bottom w:val="nil"/>
              <w:right w:val="nil"/>
            </w:tcBorders>
          </w:tcPr>
          <w:p w14:paraId="0A5EE804"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13</w:t>
            </w:r>
          </w:p>
        </w:tc>
        <w:tc>
          <w:tcPr>
            <w:tcW w:w="889" w:type="dxa"/>
            <w:tcBorders>
              <w:top w:val="nil"/>
              <w:left w:val="nil"/>
              <w:bottom w:val="nil"/>
              <w:right w:val="nil"/>
            </w:tcBorders>
          </w:tcPr>
          <w:p w14:paraId="75F78CD5"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2,487</w:t>
            </w:r>
          </w:p>
        </w:tc>
        <w:tc>
          <w:tcPr>
            <w:tcW w:w="1134" w:type="dxa"/>
            <w:tcBorders>
              <w:top w:val="nil"/>
              <w:left w:val="nil"/>
              <w:bottom w:val="nil"/>
              <w:right w:val="nil"/>
            </w:tcBorders>
          </w:tcPr>
          <w:p w14:paraId="34E2CE1A"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1,133</w:t>
            </w:r>
          </w:p>
        </w:tc>
      </w:tr>
      <w:tr w:rsidR="00F25042" w:rsidRPr="00427C25" w14:paraId="5CD29745" w14:textId="77777777" w:rsidTr="00F25042">
        <w:trPr>
          <w:jc w:val="center"/>
        </w:trPr>
        <w:tc>
          <w:tcPr>
            <w:tcW w:w="1133" w:type="dxa"/>
            <w:vMerge/>
            <w:tcBorders>
              <w:left w:val="nil"/>
              <w:bottom w:val="nil"/>
            </w:tcBorders>
          </w:tcPr>
          <w:p w14:paraId="145AFE18" w14:textId="77777777" w:rsidR="00F25042" w:rsidRPr="00427C25" w:rsidRDefault="00F25042" w:rsidP="00F25042">
            <w:pPr>
              <w:rPr>
                <w:rFonts w:eastAsia="Arial" w:cs="Arial"/>
                <w:color w:val="000000"/>
                <w:sz w:val="21"/>
                <w:szCs w:val="21"/>
              </w:rPr>
            </w:pPr>
          </w:p>
        </w:tc>
        <w:tc>
          <w:tcPr>
            <w:tcW w:w="2213" w:type="dxa"/>
            <w:tcBorders>
              <w:top w:val="nil"/>
              <w:left w:val="nil"/>
              <w:right w:val="nil"/>
            </w:tcBorders>
          </w:tcPr>
          <w:p w14:paraId="01D29F16"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 xml:space="preserve">Madrasah </w:t>
            </w:r>
            <w:proofErr w:type="spellStart"/>
            <w:r w:rsidRPr="00427C25">
              <w:rPr>
                <w:rFonts w:eastAsia="Arial" w:cs="Arial"/>
                <w:color w:val="000000"/>
                <w:sz w:val="21"/>
                <w:szCs w:val="21"/>
              </w:rPr>
              <w:t>Dakhil</w:t>
            </w:r>
            <w:proofErr w:type="spellEnd"/>
          </w:p>
        </w:tc>
        <w:tc>
          <w:tcPr>
            <w:tcW w:w="1010" w:type="dxa"/>
            <w:tcBorders>
              <w:top w:val="nil"/>
              <w:left w:val="nil"/>
              <w:right w:val="nil"/>
            </w:tcBorders>
          </w:tcPr>
          <w:p w14:paraId="082DC398"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47</w:t>
            </w:r>
          </w:p>
        </w:tc>
        <w:tc>
          <w:tcPr>
            <w:tcW w:w="889" w:type="dxa"/>
            <w:tcBorders>
              <w:top w:val="nil"/>
              <w:left w:val="nil"/>
              <w:right w:val="nil"/>
            </w:tcBorders>
          </w:tcPr>
          <w:p w14:paraId="5EB56554"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8,976</w:t>
            </w:r>
          </w:p>
        </w:tc>
        <w:tc>
          <w:tcPr>
            <w:tcW w:w="1134" w:type="dxa"/>
            <w:tcBorders>
              <w:top w:val="nil"/>
              <w:left w:val="nil"/>
              <w:right w:val="nil"/>
            </w:tcBorders>
          </w:tcPr>
          <w:p w14:paraId="6FFD2072"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3,639</w:t>
            </w:r>
          </w:p>
        </w:tc>
      </w:tr>
      <w:tr w:rsidR="00F25042" w:rsidRPr="00427C25" w14:paraId="1CABF5EA" w14:textId="77777777" w:rsidTr="00F25042">
        <w:trPr>
          <w:jc w:val="center"/>
        </w:trPr>
        <w:tc>
          <w:tcPr>
            <w:tcW w:w="3346" w:type="dxa"/>
            <w:gridSpan w:val="2"/>
            <w:tcBorders>
              <w:top w:val="single" w:sz="4" w:space="0" w:color="004EB6"/>
              <w:left w:val="nil"/>
              <w:bottom w:val="single" w:sz="4" w:space="0" w:color="004EB6"/>
            </w:tcBorders>
          </w:tcPr>
          <w:p w14:paraId="1602149A"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Subtotal</w:t>
            </w:r>
          </w:p>
        </w:tc>
        <w:tc>
          <w:tcPr>
            <w:tcW w:w="1010" w:type="dxa"/>
            <w:tcBorders>
              <w:top w:val="single" w:sz="4" w:space="0" w:color="004EB6"/>
              <w:left w:val="nil"/>
              <w:bottom w:val="single" w:sz="4" w:space="0" w:color="004EB6"/>
              <w:right w:val="nil"/>
            </w:tcBorders>
            <w:shd w:val="clear" w:color="auto" w:fill="FFFFFF"/>
          </w:tcPr>
          <w:p w14:paraId="68DD05F3"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134</w:t>
            </w:r>
          </w:p>
        </w:tc>
        <w:tc>
          <w:tcPr>
            <w:tcW w:w="889" w:type="dxa"/>
            <w:tcBorders>
              <w:top w:val="single" w:sz="4" w:space="0" w:color="004EB6"/>
              <w:left w:val="nil"/>
              <w:bottom w:val="single" w:sz="4" w:space="0" w:color="004EB6"/>
              <w:right w:val="nil"/>
            </w:tcBorders>
            <w:shd w:val="clear" w:color="auto" w:fill="FFFFFF"/>
          </w:tcPr>
          <w:p w14:paraId="023A295A"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28,734</w:t>
            </w:r>
          </w:p>
        </w:tc>
        <w:tc>
          <w:tcPr>
            <w:tcW w:w="1134" w:type="dxa"/>
            <w:tcBorders>
              <w:top w:val="single" w:sz="4" w:space="0" w:color="004EB6"/>
              <w:left w:val="nil"/>
              <w:bottom w:val="single" w:sz="4" w:space="0" w:color="004EB6"/>
              <w:right w:val="nil"/>
            </w:tcBorders>
            <w:shd w:val="clear" w:color="auto" w:fill="FFFFFF"/>
          </w:tcPr>
          <w:p w14:paraId="0C510EA8"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19,780</w:t>
            </w:r>
          </w:p>
        </w:tc>
      </w:tr>
      <w:tr w:rsidR="00F25042" w:rsidRPr="00427C25" w14:paraId="551213AB" w14:textId="77777777" w:rsidTr="00F25042">
        <w:trPr>
          <w:jc w:val="center"/>
        </w:trPr>
        <w:tc>
          <w:tcPr>
            <w:tcW w:w="1133" w:type="dxa"/>
            <w:vMerge w:val="restart"/>
            <w:tcBorders>
              <w:left w:val="nil"/>
              <w:bottom w:val="nil"/>
            </w:tcBorders>
          </w:tcPr>
          <w:p w14:paraId="0C05C2EE"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Jhalakati</w:t>
            </w:r>
          </w:p>
        </w:tc>
        <w:tc>
          <w:tcPr>
            <w:tcW w:w="2213" w:type="dxa"/>
            <w:tcBorders>
              <w:left w:val="nil"/>
              <w:bottom w:val="nil"/>
              <w:right w:val="nil"/>
            </w:tcBorders>
          </w:tcPr>
          <w:p w14:paraId="5413E024"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 xml:space="preserve">Secondary School </w:t>
            </w:r>
          </w:p>
        </w:tc>
        <w:tc>
          <w:tcPr>
            <w:tcW w:w="1010" w:type="dxa"/>
            <w:tcBorders>
              <w:left w:val="nil"/>
              <w:bottom w:val="nil"/>
              <w:right w:val="nil"/>
            </w:tcBorders>
          </w:tcPr>
          <w:p w14:paraId="198AA5B3"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165</w:t>
            </w:r>
          </w:p>
        </w:tc>
        <w:tc>
          <w:tcPr>
            <w:tcW w:w="889" w:type="dxa"/>
            <w:tcBorders>
              <w:left w:val="nil"/>
              <w:bottom w:val="nil"/>
              <w:right w:val="nil"/>
            </w:tcBorders>
          </w:tcPr>
          <w:p w14:paraId="7703934C"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30,688</w:t>
            </w:r>
          </w:p>
        </w:tc>
        <w:tc>
          <w:tcPr>
            <w:tcW w:w="1134" w:type="dxa"/>
            <w:tcBorders>
              <w:left w:val="nil"/>
              <w:bottom w:val="nil"/>
              <w:right w:val="nil"/>
            </w:tcBorders>
          </w:tcPr>
          <w:p w14:paraId="5F36D18E"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29,932</w:t>
            </w:r>
          </w:p>
        </w:tc>
      </w:tr>
      <w:tr w:rsidR="00F25042" w:rsidRPr="00427C25" w14:paraId="2A55B0E3" w14:textId="77777777" w:rsidTr="00F25042">
        <w:trPr>
          <w:jc w:val="center"/>
        </w:trPr>
        <w:tc>
          <w:tcPr>
            <w:tcW w:w="1133" w:type="dxa"/>
            <w:vMerge/>
            <w:tcBorders>
              <w:top w:val="nil"/>
              <w:left w:val="nil"/>
              <w:bottom w:val="nil"/>
            </w:tcBorders>
          </w:tcPr>
          <w:p w14:paraId="31897438"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013C4DCE"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Jr. Secondary School</w:t>
            </w:r>
          </w:p>
        </w:tc>
        <w:tc>
          <w:tcPr>
            <w:tcW w:w="1010" w:type="dxa"/>
            <w:tcBorders>
              <w:top w:val="nil"/>
              <w:left w:val="nil"/>
              <w:bottom w:val="nil"/>
              <w:right w:val="nil"/>
            </w:tcBorders>
          </w:tcPr>
          <w:p w14:paraId="018199ED"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23</w:t>
            </w:r>
          </w:p>
        </w:tc>
        <w:tc>
          <w:tcPr>
            <w:tcW w:w="889" w:type="dxa"/>
            <w:tcBorders>
              <w:top w:val="nil"/>
              <w:left w:val="nil"/>
              <w:bottom w:val="nil"/>
              <w:right w:val="nil"/>
            </w:tcBorders>
          </w:tcPr>
          <w:p w14:paraId="63FAD484"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2,548</w:t>
            </w:r>
          </w:p>
        </w:tc>
        <w:tc>
          <w:tcPr>
            <w:tcW w:w="1134" w:type="dxa"/>
            <w:tcBorders>
              <w:top w:val="nil"/>
              <w:left w:val="nil"/>
              <w:bottom w:val="nil"/>
              <w:right w:val="nil"/>
            </w:tcBorders>
          </w:tcPr>
          <w:p w14:paraId="28B7B2DE"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882</w:t>
            </w:r>
          </w:p>
        </w:tc>
      </w:tr>
      <w:tr w:rsidR="00F25042" w:rsidRPr="00427C25" w14:paraId="5381BBCC" w14:textId="77777777" w:rsidTr="00F25042">
        <w:trPr>
          <w:jc w:val="center"/>
        </w:trPr>
        <w:tc>
          <w:tcPr>
            <w:tcW w:w="1133" w:type="dxa"/>
            <w:vMerge/>
            <w:tcBorders>
              <w:top w:val="nil"/>
              <w:left w:val="nil"/>
              <w:bottom w:val="nil"/>
            </w:tcBorders>
          </w:tcPr>
          <w:p w14:paraId="346FBDD2"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3DD1F476"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School &amp; College</w:t>
            </w:r>
          </w:p>
        </w:tc>
        <w:tc>
          <w:tcPr>
            <w:tcW w:w="1010" w:type="dxa"/>
            <w:tcBorders>
              <w:top w:val="nil"/>
              <w:left w:val="nil"/>
              <w:bottom w:val="nil"/>
              <w:right w:val="nil"/>
            </w:tcBorders>
          </w:tcPr>
          <w:p w14:paraId="3A9C1E2C"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10</w:t>
            </w:r>
          </w:p>
        </w:tc>
        <w:tc>
          <w:tcPr>
            <w:tcW w:w="889" w:type="dxa"/>
            <w:tcBorders>
              <w:top w:val="nil"/>
              <w:left w:val="nil"/>
              <w:bottom w:val="nil"/>
              <w:right w:val="nil"/>
            </w:tcBorders>
          </w:tcPr>
          <w:p w14:paraId="123E4685"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2,129</w:t>
            </w:r>
          </w:p>
        </w:tc>
        <w:tc>
          <w:tcPr>
            <w:tcW w:w="1134" w:type="dxa"/>
            <w:tcBorders>
              <w:top w:val="nil"/>
              <w:left w:val="nil"/>
              <w:bottom w:val="nil"/>
              <w:right w:val="nil"/>
            </w:tcBorders>
          </w:tcPr>
          <w:p w14:paraId="7A240932"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1,317</w:t>
            </w:r>
          </w:p>
        </w:tc>
      </w:tr>
      <w:tr w:rsidR="00F25042" w:rsidRPr="00427C25" w14:paraId="2BAE32A4" w14:textId="77777777" w:rsidTr="00F25042">
        <w:trPr>
          <w:jc w:val="center"/>
        </w:trPr>
        <w:tc>
          <w:tcPr>
            <w:tcW w:w="1133" w:type="dxa"/>
            <w:vMerge/>
            <w:tcBorders>
              <w:top w:val="nil"/>
              <w:left w:val="nil"/>
              <w:bottom w:val="nil"/>
            </w:tcBorders>
          </w:tcPr>
          <w:p w14:paraId="330E6C08" w14:textId="77777777" w:rsidR="00F25042" w:rsidRPr="00427C25" w:rsidRDefault="00F25042" w:rsidP="00F25042">
            <w:pPr>
              <w:rPr>
                <w:rFonts w:eastAsia="Arial" w:cs="Arial"/>
                <w:color w:val="000000"/>
                <w:sz w:val="21"/>
                <w:szCs w:val="21"/>
              </w:rPr>
            </w:pPr>
          </w:p>
        </w:tc>
        <w:tc>
          <w:tcPr>
            <w:tcW w:w="2213" w:type="dxa"/>
            <w:tcBorders>
              <w:top w:val="nil"/>
              <w:left w:val="nil"/>
              <w:bottom w:val="nil"/>
              <w:right w:val="nil"/>
            </w:tcBorders>
          </w:tcPr>
          <w:p w14:paraId="4B535076"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Madrasah Alim</w:t>
            </w:r>
          </w:p>
        </w:tc>
        <w:tc>
          <w:tcPr>
            <w:tcW w:w="1010" w:type="dxa"/>
            <w:tcBorders>
              <w:top w:val="nil"/>
              <w:left w:val="nil"/>
              <w:bottom w:val="nil"/>
              <w:right w:val="nil"/>
            </w:tcBorders>
          </w:tcPr>
          <w:p w14:paraId="5642ABBD"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21</w:t>
            </w:r>
          </w:p>
        </w:tc>
        <w:tc>
          <w:tcPr>
            <w:tcW w:w="889" w:type="dxa"/>
            <w:tcBorders>
              <w:top w:val="nil"/>
              <w:left w:val="nil"/>
              <w:bottom w:val="nil"/>
              <w:right w:val="nil"/>
            </w:tcBorders>
          </w:tcPr>
          <w:p w14:paraId="56C34893"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1,761</w:t>
            </w:r>
          </w:p>
        </w:tc>
        <w:tc>
          <w:tcPr>
            <w:tcW w:w="1134" w:type="dxa"/>
            <w:tcBorders>
              <w:top w:val="nil"/>
              <w:left w:val="nil"/>
              <w:bottom w:val="nil"/>
              <w:right w:val="nil"/>
            </w:tcBorders>
          </w:tcPr>
          <w:p w14:paraId="1CC42438"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1,709</w:t>
            </w:r>
          </w:p>
        </w:tc>
      </w:tr>
      <w:tr w:rsidR="00F25042" w:rsidRPr="00427C25" w14:paraId="4FEA3DCF" w14:textId="77777777" w:rsidTr="00F25042">
        <w:trPr>
          <w:jc w:val="center"/>
        </w:trPr>
        <w:tc>
          <w:tcPr>
            <w:tcW w:w="1133" w:type="dxa"/>
            <w:vMerge/>
            <w:tcBorders>
              <w:top w:val="nil"/>
              <w:left w:val="nil"/>
            </w:tcBorders>
          </w:tcPr>
          <w:p w14:paraId="54D97D31" w14:textId="77777777" w:rsidR="00F25042" w:rsidRPr="00427C25" w:rsidRDefault="00F25042" w:rsidP="00F25042">
            <w:pPr>
              <w:rPr>
                <w:rFonts w:eastAsia="Arial" w:cs="Arial"/>
                <w:color w:val="000000"/>
                <w:sz w:val="21"/>
                <w:szCs w:val="21"/>
              </w:rPr>
            </w:pPr>
          </w:p>
        </w:tc>
        <w:tc>
          <w:tcPr>
            <w:tcW w:w="2213" w:type="dxa"/>
            <w:tcBorders>
              <w:top w:val="nil"/>
              <w:left w:val="nil"/>
              <w:right w:val="nil"/>
            </w:tcBorders>
          </w:tcPr>
          <w:p w14:paraId="36A4A2CF"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 xml:space="preserve">Madrasah </w:t>
            </w:r>
            <w:proofErr w:type="spellStart"/>
            <w:r w:rsidRPr="00427C25">
              <w:rPr>
                <w:rFonts w:eastAsia="Arial" w:cs="Arial"/>
                <w:color w:val="000000"/>
                <w:sz w:val="21"/>
                <w:szCs w:val="21"/>
              </w:rPr>
              <w:t>Dakhil</w:t>
            </w:r>
            <w:proofErr w:type="spellEnd"/>
          </w:p>
        </w:tc>
        <w:tc>
          <w:tcPr>
            <w:tcW w:w="1010" w:type="dxa"/>
            <w:tcBorders>
              <w:top w:val="nil"/>
              <w:left w:val="nil"/>
              <w:right w:val="nil"/>
            </w:tcBorders>
          </w:tcPr>
          <w:p w14:paraId="6506A927"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87</w:t>
            </w:r>
          </w:p>
        </w:tc>
        <w:tc>
          <w:tcPr>
            <w:tcW w:w="889" w:type="dxa"/>
            <w:tcBorders>
              <w:top w:val="nil"/>
              <w:left w:val="nil"/>
              <w:right w:val="nil"/>
            </w:tcBorders>
          </w:tcPr>
          <w:p w14:paraId="4B9421B9"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8,621</w:t>
            </w:r>
          </w:p>
        </w:tc>
        <w:tc>
          <w:tcPr>
            <w:tcW w:w="1134" w:type="dxa"/>
            <w:tcBorders>
              <w:top w:val="nil"/>
              <w:left w:val="nil"/>
              <w:right w:val="nil"/>
            </w:tcBorders>
          </w:tcPr>
          <w:p w14:paraId="0CDE86E9" w14:textId="77777777" w:rsidR="00F25042" w:rsidRPr="00427C25" w:rsidRDefault="00F25042" w:rsidP="00F25042">
            <w:pPr>
              <w:jc w:val="center"/>
              <w:rPr>
                <w:rFonts w:eastAsia="Arial" w:cs="Arial"/>
                <w:color w:val="000000"/>
                <w:sz w:val="21"/>
                <w:szCs w:val="21"/>
              </w:rPr>
            </w:pPr>
            <w:r w:rsidRPr="00427C25">
              <w:rPr>
                <w:rFonts w:eastAsia="Arial" w:cs="Arial"/>
                <w:color w:val="000000"/>
                <w:sz w:val="21"/>
                <w:szCs w:val="21"/>
              </w:rPr>
              <w:t>7,252</w:t>
            </w:r>
          </w:p>
        </w:tc>
      </w:tr>
      <w:tr w:rsidR="00F25042" w:rsidRPr="00427C25" w14:paraId="00F14694" w14:textId="77777777" w:rsidTr="00F25042">
        <w:trPr>
          <w:jc w:val="center"/>
        </w:trPr>
        <w:tc>
          <w:tcPr>
            <w:tcW w:w="3346" w:type="dxa"/>
            <w:gridSpan w:val="2"/>
            <w:tcBorders>
              <w:top w:val="single" w:sz="4" w:space="0" w:color="004EB6"/>
              <w:left w:val="nil"/>
              <w:bottom w:val="single" w:sz="4" w:space="0" w:color="004EB6"/>
            </w:tcBorders>
          </w:tcPr>
          <w:p w14:paraId="68520BA2"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Subtotal</w:t>
            </w:r>
          </w:p>
        </w:tc>
        <w:tc>
          <w:tcPr>
            <w:tcW w:w="1010" w:type="dxa"/>
            <w:tcBorders>
              <w:top w:val="single" w:sz="4" w:space="0" w:color="004EB6"/>
              <w:left w:val="nil"/>
              <w:bottom w:val="single" w:sz="4" w:space="0" w:color="004EB6"/>
              <w:right w:val="nil"/>
            </w:tcBorders>
            <w:shd w:val="clear" w:color="auto" w:fill="FFFFFF"/>
          </w:tcPr>
          <w:p w14:paraId="2E953319"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306</w:t>
            </w:r>
          </w:p>
        </w:tc>
        <w:tc>
          <w:tcPr>
            <w:tcW w:w="889" w:type="dxa"/>
            <w:tcBorders>
              <w:top w:val="single" w:sz="4" w:space="0" w:color="004EB6"/>
              <w:left w:val="nil"/>
              <w:bottom w:val="single" w:sz="4" w:space="0" w:color="004EB6"/>
              <w:right w:val="nil"/>
            </w:tcBorders>
            <w:shd w:val="clear" w:color="auto" w:fill="FFFFFF"/>
          </w:tcPr>
          <w:p w14:paraId="2CD6197B"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45,745</w:t>
            </w:r>
          </w:p>
        </w:tc>
        <w:tc>
          <w:tcPr>
            <w:tcW w:w="1134" w:type="dxa"/>
            <w:tcBorders>
              <w:top w:val="single" w:sz="4" w:space="0" w:color="004EB6"/>
              <w:left w:val="nil"/>
              <w:bottom w:val="single" w:sz="4" w:space="0" w:color="004EB6"/>
              <w:right w:val="nil"/>
            </w:tcBorders>
            <w:shd w:val="clear" w:color="auto" w:fill="FFFFFF"/>
          </w:tcPr>
          <w:p w14:paraId="2C9C3D88"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35,092</w:t>
            </w:r>
          </w:p>
        </w:tc>
      </w:tr>
      <w:tr w:rsidR="00F25042" w:rsidRPr="00427C25" w14:paraId="0E2BD1A7" w14:textId="77777777" w:rsidTr="00F25042">
        <w:trPr>
          <w:jc w:val="center"/>
        </w:trPr>
        <w:tc>
          <w:tcPr>
            <w:tcW w:w="3346" w:type="dxa"/>
            <w:gridSpan w:val="2"/>
            <w:tcBorders>
              <w:left w:val="nil"/>
            </w:tcBorders>
          </w:tcPr>
          <w:p w14:paraId="432D49C6" w14:textId="77777777" w:rsidR="00F25042" w:rsidRPr="00427C25" w:rsidRDefault="00F25042" w:rsidP="00F25042">
            <w:pPr>
              <w:rPr>
                <w:rFonts w:eastAsia="Arial" w:cs="Arial"/>
                <w:color w:val="000000"/>
                <w:sz w:val="21"/>
                <w:szCs w:val="21"/>
              </w:rPr>
            </w:pPr>
            <w:r w:rsidRPr="00427C25">
              <w:rPr>
                <w:rFonts w:eastAsia="Arial" w:cs="Arial"/>
                <w:color w:val="000000"/>
                <w:sz w:val="21"/>
                <w:szCs w:val="21"/>
              </w:rPr>
              <w:t xml:space="preserve">Total </w:t>
            </w:r>
            <w:r w:rsidRPr="00427C25">
              <w:rPr>
                <w:rFonts w:eastAsia="Arial" w:cs="Arial"/>
                <w:color w:val="000000"/>
                <w:sz w:val="21"/>
                <w:szCs w:val="21"/>
                <w:vertAlign w:val="superscript"/>
              </w:rPr>
              <w:footnoteReference w:id="3"/>
            </w:r>
          </w:p>
        </w:tc>
        <w:tc>
          <w:tcPr>
            <w:tcW w:w="1010" w:type="dxa"/>
            <w:tcBorders>
              <w:left w:val="nil"/>
              <w:right w:val="nil"/>
            </w:tcBorders>
            <w:shd w:val="clear" w:color="auto" w:fill="FFFFFF"/>
          </w:tcPr>
          <w:p w14:paraId="3B73F8A3"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440</w:t>
            </w:r>
          </w:p>
        </w:tc>
        <w:tc>
          <w:tcPr>
            <w:tcW w:w="889" w:type="dxa"/>
            <w:tcBorders>
              <w:left w:val="nil"/>
              <w:right w:val="nil"/>
            </w:tcBorders>
            <w:shd w:val="clear" w:color="auto" w:fill="FFFFFF"/>
          </w:tcPr>
          <w:p w14:paraId="6B1663FF"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74,480</w:t>
            </w:r>
          </w:p>
        </w:tc>
        <w:tc>
          <w:tcPr>
            <w:tcW w:w="1134" w:type="dxa"/>
            <w:tcBorders>
              <w:left w:val="nil"/>
              <w:right w:val="nil"/>
            </w:tcBorders>
            <w:shd w:val="clear" w:color="auto" w:fill="FFFFFF"/>
          </w:tcPr>
          <w:p w14:paraId="55072539" w14:textId="77777777" w:rsidR="00F25042" w:rsidRPr="00427C25" w:rsidRDefault="00F25042" w:rsidP="00F25042">
            <w:pPr>
              <w:jc w:val="center"/>
              <w:rPr>
                <w:rFonts w:eastAsia="Arial" w:cs="Arial"/>
                <w:b/>
                <w:color w:val="000000"/>
                <w:sz w:val="21"/>
                <w:szCs w:val="21"/>
              </w:rPr>
            </w:pPr>
            <w:r w:rsidRPr="00427C25">
              <w:rPr>
                <w:rFonts w:eastAsia="Arial" w:cs="Arial"/>
                <w:b/>
                <w:color w:val="000000"/>
                <w:sz w:val="21"/>
                <w:szCs w:val="21"/>
              </w:rPr>
              <w:t>54,872</w:t>
            </w:r>
          </w:p>
        </w:tc>
      </w:tr>
    </w:tbl>
    <w:p w14:paraId="4216B442" w14:textId="77777777" w:rsidR="00F25042" w:rsidRDefault="00F25042" w:rsidP="00F25042">
      <w:pPr>
        <w:spacing w:after="120" w:line="240" w:lineRule="auto"/>
        <w:ind w:left="360"/>
        <w:rPr>
          <w:rFonts w:ascii="Arial" w:eastAsia="Arial" w:hAnsi="Arial" w:cs="Arial"/>
          <w:color w:val="000000"/>
          <w:sz w:val="24"/>
          <w:szCs w:val="24"/>
        </w:rPr>
      </w:pPr>
    </w:p>
    <w:p w14:paraId="7C0E117A" w14:textId="77777777" w:rsidR="00F25042" w:rsidRPr="008F0133" w:rsidRDefault="00F25042" w:rsidP="00EC2C20">
      <w:pPr>
        <w:pStyle w:val="ListParagraph"/>
        <w:numPr>
          <w:ilvl w:val="0"/>
          <w:numId w:val="3"/>
        </w:numPr>
        <w:spacing w:after="120" w:line="240" w:lineRule="auto"/>
        <w:rPr>
          <w:rFonts w:ascii="Arial" w:eastAsia="Arial" w:hAnsi="Arial" w:cs="Arial"/>
          <w:b/>
          <w:color w:val="000000"/>
          <w:sz w:val="24"/>
          <w:szCs w:val="24"/>
        </w:rPr>
      </w:pPr>
      <w:r w:rsidRPr="008F0133">
        <w:rPr>
          <w:rFonts w:ascii="Arial" w:eastAsia="Arial" w:hAnsi="Arial" w:cs="Arial"/>
          <w:b/>
          <w:color w:val="000000"/>
          <w:sz w:val="24"/>
          <w:szCs w:val="24"/>
        </w:rPr>
        <w:t xml:space="preserve">Purpose </w:t>
      </w:r>
    </w:p>
    <w:p w14:paraId="42C17CCA" w14:textId="77777777" w:rsidR="00F25042" w:rsidRDefault="00F25042" w:rsidP="00F25042">
      <w:pPr>
        <w:spacing w:after="120" w:line="240" w:lineRule="auto"/>
        <w:jc w:val="both"/>
        <w:rPr>
          <w:rFonts w:ascii="Arial" w:hAnsi="Arial" w:cs="Arial"/>
          <w:sz w:val="24"/>
          <w:szCs w:val="24"/>
        </w:rPr>
      </w:pPr>
      <w:r>
        <w:rPr>
          <w:rFonts w:ascii="Arial" w:hAnsi="Arial" w:cs="Arial"/>
          <w:sz w:val="24"/>
          <w:szCs w:val="24"/>
        </w:rPr>
        <w:t>T</w:t>
      </w:r>
      <w:r w:rsidRPr="00571538">
        <w:rPr>
          <w:rFonts w:ascii="Arial" w:hAnsi="Arial" w:cs="Arial"/>
          <w:sz w:val="24"/>
          <w:szCs w:val="24"/>
        </w:rPr>
        <w:t xml:space="preserve">he </w:t>
      </w:r>
      <w:r w:rsidRPr="00413543">
        <w:rPr>
          <w:rFonts w:ascii="Arial" w:hAnsi="Arial" w:cs="Arial"/>
          <w:sz w:val="24"/>
          <w:szCs w:val="24"/>
        </w:rPr>
        <w:t xml:space="preserve">midline study for </w:t>
      </w:r>
      <w:r w:rsidRPr="00413543">
        <w:rPr>
          <w:rFonts w:ascii="Arial" w:hAnsi="Arial" w:cs="Arial"/>
          <w:i/>
          <w:sz w:val="24"/>
          <w:szCs w:val="24"/>
        </w:rPr>
        <w:t>Combatting Child Marriage in Bangladesh</w:t>
      </w:r>
      <w:r w:rsidRPr="00413543">
        <w:rPr>
          <w:rFonts w:ascii="Arial" w:hAnsi="Arial" w:cs="Arial"/>
          <w:sz w:val="24"/>
          <w:szCs w:val="24"/>
        </w:rPr>
        <w:t xml:space="preserve"> project will be comprised of </w:t>
      </w:r>
      <w:r>
        <w:rPr>
          <w:rFonts w:ascii="Arial" w:hAnsi="Arial" w:cs="Arial"/>
          <w:sz w:val="24"/>
          <w:szCs w:val="24"/>
        </w:rPr>
        <w:t>a h</w:t>
      </w:r>
      <w:r w:rsidRPr="00413543">
        <w:rPr>
          <w:rFonts w:ascii="Arial" w:hAnsi="Arial" w:cs="Arial"/>
          <w:sz w:val="24"/>
          <w:szCs w:val="24"/>
        </w:rPr>
        <w:t>ousehold survey, school survey, and Child Marriage Prevention Committee (CMPC) Assessment</w:t>
      </w:r>
      <w:r>
        <w:rPr>
          <w:rFonts w:ascii="Arial" w:hAnsi="Arial" w:cs="Arial"/>
          <w:sz w:val="24"/>
          <w:szCs w:val="24"/>
        </w:rPr>
        <w:t>.</w:t>
      </w:r>
      <w:r>
        <w:rPr>
          <w:rFonts w:ascii="Arial" w:hAnsi="Arial" w:cs="Arial"/>
          <w:b/>
          <w:sz w:val="24"/>
          <w:szCs w:val="24"/>
        </w:rPr>
        <w:t xml:space="preserve"> </w:t>
      </w:r>
      <w:r w:rsidRPr="00571538">
        <w:rPr>
          <w:rFonts w:ascii="Arial" w:hAnsi="Arial" w:cs="Arial"/>
          <w:sz w:val="24"/>
          <w:szCs w:val="24"/>
        </w:rPr>
        <w:t>The findings</w:t>
      </w:r>
      <w:r>
        <w:rPr>
          <w:rFonts w:ascii="Arial" w:hAnsi="Arial" w:cs="Arial"/>
          <w:sz w:val="24"/>
          <w:szCs w:val="24"/>
        </w:rPr>
        <w:t xml:space="preserve"> of this particular study will help to follow up on baseline findings, p</w:t>
      </w:r>
      <w:r w:rsidRPr="00571538">
        <w:rPr>
          <w:rFonts w:ascii="Arial" w:hAnsi="Arial" w:cs="Arial"/>
          <w:sz w:val="24"/>
          <w:szCs w:val="24"/>
        </w:rPr>
        <w:t xml:space="preserve">rovide relevant information and evidence serving as the </w:t>
      </w:r>
      <w:r>
        <w:rPr>
          <w:rFonts w:ascii="Arial" w:hAnsi="Arial" w:cs="Arial"/>
          <w:sz w:val="24"/>
          <w:szCs w:val="24"/>
        </w:rPr>
        <w:t>progress made by the project in achieving the final targets and make comparisons with the baseline findings.</w:t>
      </w:r>
    </w:p>
    <w:p w14:paraId="13DD3ACF" w14:textId="77777777" w:rsidR="00F25042" w:rsidRPr="00F0638E" w:rsidRDefault="00F25042" w:rsidP="00F25042">
      <w:pPr>
        <w:spacing w:after="120" w:line="240" w:lineRule="auto"/>
        <w:rPr>
          <w:rFonts w:ascii="Arial" w:hAnsi="Arial" w:cs="Arial"/>
          <w:sz w:val="24"/>
          <w:szCs w:val="24"/>
        </w:rPr>
      </w:pPr>
      <w:r>
        <w:rPr>
          <w:rFonts w:ascii="Arial" w:hAnsi="Arial" w:cs="Arial"/>
          <w:sz w:val="24"/>
          <w:szCs w:val="24"/>
        </w:rPr>
        <w:t xml:space="preserve">Midline </w:t>
      </w:r>
      <w:r w:rsidRPr="00F0638E">
        <w:rPr>
          <w:rFonts w:ascii="Arial" w:hAnsi="Arial" w:cs="Arial"/>
          <w:sz w:val="24"/>
          <w:szCs w:val="24"/>
        </w:rPr>
        <w:t>findings will primarily be used:</w:t>
      </w:r>
    </w:p>
    <w:p w14:paraId="2925E07B" w14:textId="77777777" w:rsidR="00F25042" w:rsidRPr="00571538" w:rsidRDefault="00F25042" w:rsidP="00EC2C20">
      <w:pPr>
        <w:pStyle w:val="ListParagraph"/>
        <w:numPr>
          <w:ilvl w:val="0"/>
          <w:numId w:val="4"/>
        </w:numPr>
        <w:spacing w:after="0" w:line="240" w:lineRule="auto"/>
        <w:ind w:left="1066"/>
        <w:contextualSpacing w:val="0"/>
        <w:rPr>
          <w:rFonts w:ascii="Arial" w:hAnsi="Arial" w:cs="Arial"/>
          <w:sz w:val="24"/>
          <w:szCs w:val="24"/>
        </w:rPr>
      </w:pPr>
      <w:r w:rsidRPr="00571538">
        <w:rPr>
          <w:rFonts w:ascii="Arial" w:hAnsi="Arial" w:cs="Arial"/>
          <w:sz w:val="24"/>
          <w:szCs w:val="24"/>
        </w:rPr>
        <w:t xml:space="preserve">By the project team </w:t>
      </w:r>
      <w:r>
        <w:rPr>
          <w:rFonts w:ascii="Arial" w:hAnsi="Arial" w:cs="Arial"/>
          <w:sz w:val="24"/>
          <w:szCs w:val="24"/>
        </w:rPr>
        <w:t>for outcome monitoring, understand the progress towards project outcome and measure progress from baseline</w:t>
      </w:r>
      <w:r w:rsidRPr="00571538">
        <w:rPr>
          <w:rFonts w:ascii="Arial" w:hAnsi="Arial" w:cs="Arial"/>
          <w:sz w:val="24"/>
          <w:szCs w:val="24"/>
        </w:rPr>
        <w:t>.</w:t>
      </w:r>
    </w:p>
    <w:p w14:paraId="2D219AE3" w14:textId="77777777" w:rsidR="00F25042" w:rsidRPr="00571538" w:rsidRDefault="00F25042" w:rsidP="00EC2C20">
      <w:pPr>
        <w:pStyle w:val="ListParagraph"/>
        <w:numPr>
          <w:ilvl w:val="0"/>
          <w:numId w:val="4"/>
        </w:numPr>
        <w:spacing w:after="0" w:line="240" w:lineRule="auto"/>
        <w:ind w:left="1066"/>
        <w:contextualSpacing w:val="0"/>
        <w:rPr>
          <w:rFonts w:ascii="Arial" w:hAnsi="Arial" w:cs="Arial"/>
          <w:sz w:val="24"/>
          <w:szCs w:val="24"/>
        </w:rPr>
      </w:pPr>
      <w:r w:rsidRPr="00571538">
        <w:rPr>
          <w:rFonts w:ascii="Arial" w:hAnsi="Arial" w:cs="Arial"/>
          <w:sz w:val="24"/>
          <w:szCs w:val="24"/>
        </w:rPr>
        <w:lastRenderedPageBreak/>
        <w:t>By Plan International to demonstrate accountability for the funding received to the donor (GAC).</w:t>
      </w:r>
    </w:p>
    <w:p w14:paraId="7D3FC5E3" w14:textId="77777777" w:rsidR="00F25042" w:rsidRDefault="00F25042" w:rsidP="00EC2C20">
      <w:pPr>
        <w:pStyle w:val="ListParagraph"/>
        <w:numPr>
          <w:ilvl w:val="0"/>
          <w:numId w:val="4"/>
        </w:numPr>
        <w:spacing w:after="120" w:line="240" w:lineRule="auto"/>
        <w:contextualSpacing w:val="0"/>
        <w:rPr>
          <w:rFonts w:ascii="Arial" w:hAnsi="Arial" w:cs="Arial"/>
          <w:sz w:val="24"/>
          <w:szCs w:val="24"/>
        </w:rPr>
      </w:pPr>
      <w:r w:rsidRPr="00571538">
        <w:rPr>
          <w:rFonts w:ascii="Arial" w:hAnsi="Arial" w:cs="Arial"/>
          <w:sz w:val="24"/>
          <w:szCs w:val="24"/>
        </w:rPr>
        <w:t>By partners and stakeholders in Bangladesh such as government departments/ministries, local authorities, civil society organizations (CSOs) and communities to inform and to act on the wider understanding of CEFM and SRHR issues in the targeted districts.</w:t>
      </w:r>
    </w:p>
    <w:p w14:paraId="129783FD" w14:textId="77777777" w:rsidR="00F25042" w:rsidRPr="009429E7" w:rsidRDefault="00F25042" w:rsidP="00F25042">
      <w:pPr>
        <w:spacing w:after="12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Pr="002C61C0">
        <w:rPr>
          <w:rFonts w:ascii="Arial" w:eastAsia="Arial" w:hAnsi="Arial" w:cs="Arial"/>
          <w:b/>
          <w:color w:val="000000"/>
          <w:sz w:val="24"/>
          <w:szCs w:val="24"/>
        </w:rPr>
        <w:t>Study Objectives</w:t>
      </w:r>
      <w:r w:rsidRPr="009429E7">
        <w:rPr>
          <w:rFonts w:ascii="Arial" w:hAnsi="Arial" w:cs="Arial"/>
          <w:sz w:val="24"/>
          <w:szCs w:val="24"/>
        </w:rPr>
        <w:t xml:space="preserve">   </w:t>
      </w:r>
    </w:p>
    <w:p w14:paraId="59AF3163" w14:textId="77777777" w:rsidR="00F25042" w:rsidRDefault="00F25042" w:rsidP="00F25042">
      <w:pPr>
        <w:spacing w:after="120" w:line="240" w:lineRule="auto"/>
        <w:rPr>
          <w:rFonts w:ascii="Arial" w:hAnsi="Arial" w:cs="Arial"/>
          <w:sz w:val="24"/>
          <w:szCs w:val="24"/>
        </w:rPr>
      </w:pPr>
      <w:r w:rsidRPr="008860D9">
        <w:rPr>
          <w:rFonts w:ascii="Arial" w:hAnsi="Arial" w:cs="Arial"/>
          <w:sz w:val="24"/>
          <w:szCs w:val="24"/>
        </w:rPr>
        <w:t>The specific objectives of the study are</w:t>
      </w:r>
      <w:r>
        <w:rPr>
          <w:rFonts w:ascii="Arial" w:hAnsi="Arial" w:cs="Arial"/>
          <w:sz w:val="24"/>
          <w:szCs w:val="24"/>
        </w:rPr>
        <w:t>:</w:t>
      </w:r>
    </w:p>
    <w:p w14:paraId="63EE39FA" w14:textId="725D804A" w:rsidR="00F25042" w:rsidRPr="002F3ED2" w:rsidRDefault="00F25042" w:rsidP="00F25042">
      <w:pPr>
        <w:spacing w:after="120" w:line="240" w:lineRule="auto"/>
        <w:rPr>
          <w:rFonts w:ascii="Arial" w:hAnsi="Arial" w:cs="Arial"/>
          <w:sz w:val="24"/>
          <w:szCs w:val="24"/>
        </w:rPr>
      </w:pPr>
      <w:r w:rsidRPr="002F3ED2">
        <w:rPr>
          <w:rFonts w:ascii="Arial" w:hAnsi="Arial" w:cs="Arial"/>
          <w:sz w:val="24"/>
          <w:szCs w:val="24"/>
        </w:rPr>
        <w:t>1.</w:t>
      </w:r>
      <w:r w:rsidRPr="002F3ED2">
        <w:rPr>
          <w:rFonts w:ascii="Arial" w:hAnsi="Arial" w:cs="Arial"/>
          <w:sz w:val="24"/>
          <w:szCs w:val="24"/>
        </w:rPr>
        <w:tab/>
        <w:t xml:space="preserve">To understand proportion of girls/women age 15-19 years who were first married before age of 15 and 18. </w:t>
      </w:r>
    </w:p>
    <w:p w14:paraId="4533116C" w14:textId="5E0AD390" w:rsidR="00F25042" w:rsidRPr="002F3ED2" w:rsidRDefault="00EC2C20" w:rsidP="00F25042">
      <w:pPr>
        <w:spacing w:after="120" w:line="240" w:lineRule="auto"/>
        <w:rPr>
          <w:rFonts w:ascii="Arial" w:hAnsi="Arial" w:cs="Arial"/>
          <w:sz w:val="24"/>
          <w:szCs w:val="24"/>
        </w:rPr>
      </w:pPr>
      <w:r>
        <w:rPr>
          <w:rFonts w:ascii="Arial" w:hAnsi="Arial" w:cs="Arial"/>
          <w:sz w:val="24"/>
          <w:szCs w:val="24"/>
        </w:rPr>
        <w:t>2</w:t>
      </w:r>
      <w:r w:rsidR="00F25042" w:rsidRPr="002F3ED2">
        <w:rPr>
          <w:rFonts w:ascii="Arial" w:hAnsi="Arial" w:cs="Arial"/>
          <w:sz w:val="24"/>
          <w:szCs w:val="24"/>
        </w:rPr>
        <w:t>.</w:t>
      </w:r>
      <w:r w:rsidR="00F25042" w:rsidRPr="002F3ED2">
        <w:rPr>
          <w:rFonts w:ascii="Arial" w:hAnsi="Arial" w:cs="Arial"/>
          <w:sz w:val="24"/>
          <w:szCs w:val="24"/>
        </w:rPr>
        <w:tab/>
        <w:t xml:space="preserve">To understand sources of income of the households of girls/women and situation of productive assets and association of child marriage with different socioeconomic factors e.g. household economic status and education of household head. </w:t>
      </w:r>
    </w:p>
    <w:p w14:paraId="533041C3" w14:textId="580485AC" w:rsidR="00F25042" w:rsidRPr="002F3ED2" w:rsidRDefault="00EC2C20" w:rsidP="00F25042">
      <w:pPr>
        <w:spacing w:after="120" w:line="240" w:lineRule="auto"/>
        <w:rPr>
          <w:rFonts w:ascii="Arial" w:hAnsi="Arial" w:cs="Arial"/>
          <w:sz w:val="24"/>
          <w:szCs w:val="24"/>
        </w:rPr>
      </w:pPr>
      <w:r>
        <w:rPr>
          <w:rFonts w:ascii="Arial" w:hAnsi="Arial" w:cs="Arial"/>
          <w:sz w:val="24"/>
          <w:szCs w:val="24"/>
        </w:rPr>
        <w:t>3</w:t>
      </w:r>
      <w:r w:rsidR="00F25042" w:rsidRPr="002F3ED2">
        <w:rPr>
          <w:rFonts w:ascii="Arial" w:hAnsi="Arial" w:cs="Arial"/>
          <w:sz w:val="24"/>
          <w:szCs w:val="24"/>
        </w:rPr>
        <w:t>.</w:t>
      </w:r>
      <w:r w:rsidR="00F25042" w:rsidRPr="002F3ED2">
        <w:rPr>
          <w:rFonts w:ascii="Arial" w:hAnsi="Arial" w:cs="Arial"/>
          <w:sz w:val="24"/>
          <w:szCs w:val="24"/>
        </w:rPr>
        <w:tab/>
        <w:t xml:space="preserve">To identify the underlying factors of CEFM in project areas. </w:t>
      </w:r>
    </w:p>
    <w:p w14:paraId="7D57B465" w14:textId="235FDE6A" w:rsidR="00F25042" w:rsidRPr="002F3ED2" w:rsidRDefault="00EC2C20" w:rsidP="00F25042">
      <w:pPr>
        <w:spacing w:after="120" w:line="240" w:lineRule="auto"/>
        <w:rPr>
          <w:rFonts w:ascii="Arial" w:hAnsi="Arial" w:cs="Arial"/>
          <w:sz w:val="24"/>
          <w:szCs w:val="24"/>
        </w:rPr>
      </w:pPr>
      <w:r>
        <w:rPr>
          <w:rFonts w:ascii="Arial" w:hAnsi="Arial" w:cs="Arial"/>
          <w:sz w:val="24"/>
          <w:szCs w:val="24"/>
        </w:rPr>
        <w:t>4</w:t>
      </w:r>
      <w:r w:rsidR="00F25042" w:rsidRPr="002F3ED2">
        <w:rPr>
          <w:rFonts w:ascii="Arial" w:hAnsi="Arial" w:cs="Arial"/>
          <w:sz w:val="24"/>
          <w:szCs w:val="24"/>
        </w:rPr>
        <w:t>.</w:t>
      </w:r>
      <w:r w:rsidR="00F25042" w:rsidRPr="002F3ED2">
        <w:rPr>
          <w:rFonts w:ascii="Arial" w:hAnsi="Arial" w:cs="Arial"/>
          <w:sz w:val="24"/>
          <w:szCs w:val="24"/>
        </w:rPr>
        <w:tab/>
        <w:t>To know</w:t>
      </w:r>
      <w:r w:rsidR="00B25B87">
        <w:rPr>
          <w:rFonts w:ascii="Arial" w:hAnsi="Arial" w:cs="Arial"/>
          <w:sz w:val="24"/>
          <w:szCs w:val="24"/>
        </w:rPr>
        <w:t xml:space="preserve"> what</w:t>
      </w:r>
      <w:r w:rsidR="00F25042" w:rsidRPr="002F3ED2">
        <w:rPr>
          <w:rFonts w:ascii="Arial" w:hAnsi="Arial" w:cs="Arial"/>
          <w:sz w:val="24"/>
          <w:szCs w:val="24"/>
        </w:rPr>
        <w:t xml:space="preserve"> proportion of girls/women take decisions regarding their own marriage. </w:t>
      </w:r>
    </w:p>
    <w:p w14:paraId="28B08FBD" w14:textId="4C61B119" w:rsidR="00F25042" w:rsidRPr="002F3ED2" w:rsidRDefault="00EC2C20" w:rsidP="00F25042">
      <w:pPr>
        <w:spacing w:after="120" w:line="240" w:lineRule="auto"/>
        <w:rPr>
          <w:rFonts w:ascii="Arial" w:hAnsi="Arial" w:cs="Arial"/>
          <w:sz w:val="24"/>
          <w:szCs w:val="24"/>
        </w:rPr>
      </w:pPr>
      <w:r>
        <w:rPr>
          <w:rFonts w:ascii="Arial" w:hAnsi="Arial" w:cs="Arial"/>
          <w:sz w:val="24"/>
          <w:szCs w:val="24"/>
        </w:rPr>
        <w:t>5</w:t>
      </w:r>
      <w:r w:rsidR="00F25042" w:rsidRPr="002F3ED2">
        <w:rPr>
          <w:rFonts w:ascii="Arial" w:hAnsi="Arial" w:cs="Arial"/>
          <w:sz w:val="24"/>
          <w:szCs w:val="24"/>
        </w:rPr>
        <w:t>.</w:t>
      </w:r>
      <w:r w:rsidR="00F25042" w:rsidRPr="002F3ED2">
        <w:rPr>
          <w:rFonts w:ascii="Arial" w:hAnsi="Arial" w:cs="Arial"/>
          <w:sz w:val="24"/>
          <w:szCs w:val="24"/>
        </w:rPr>
        <w:tab/>
        <w:t xml:space="preserve">To understand proportion of adolescents (10–19 years) who have gender equitable attitudes and possess knowledge about CEFM and Gender Equality issues. </w:t>
      </w:r>
    </w:p>
    <w:p w14:paraId="188701AE" w14:textId="4D04E796" w:rsidR="00F25042" w:rsidRPr="002F3ED2" w:rsidRDefault="00EC2C20" w:rsidP="00F25042">
      <w:pPr>
        <w:spacing w:after="120" w:line="240" w:lineRule="auto"/>
        <w:rPr>
          <w:rFonts w:ascii="Arial" w:hAnsi="Arial" w:cs="Arial"/>
          <w:sz w:val="24"/>
          <w:szCs w:val="24"/>
        </w:rPr>
      </w:pPr>
      <w:r>
        <w:rPr>
          <w:rFonts w:ascii="Arial" w:hAnsi="Arial" w:cs="Arial"/>
          <w:sz w:val="24"/>
          <w:szCs w:val="24"/>
        </w:rPr>
        <w:t>6</w:t>
      </w:r>
      <w:r w:rsidR="00F25042" w:rsidRPr="002F3ED2">
        <w:rPr>
          <w:rFonts w:ascii="Arial" w:hAnsi="Arial" w:cs="Arial"/>
          <w:sz w:val="24"/>
          <w:szCs w:val="24"/>
        </w:rPr>
        <w:t>.</w:t>
      </w:r>
      <w:r w:rsidR="00F25042" w:rsidRPr="002F3ED2">
        <w:rPr>
          <w:rFonts w:ascii="Arial" w:hAnsi="Arial" w:cs="Arial"/>
          <w:sz w:val="24"/>
          <w:szCs w:val="24"/>
        </w:rPr>
        <w:tab/>
        <w:t>To understand level of knowledge of adolescents (10–19 years) about sexual and reproductive health and rights (SRHR) and services.</w:t>
      </w:r>
    </w:p>
    <w:p w14:paraId="0E5836A6" w14:textId="3A4F2CB9" w:rsidR="00F25042" w:rsidRPr="002F3ED2" w:rsidRDefault="00EC2C20" w:rsidP="00F25042">
      <w:pPr>
        <w:spacing w:after="120" w:line="240" w:lineRule="auto"/>
        <w:rPr>
          <w:rFonts w:ascii="Arial" w:hAnsi="Arial" w:cs="Arial"/>
          <w:sz w:val="24"/>
          <w:szCs w:val="24"/>
        </w:rPr>
      </w:pPr>
      <w:r>
        <w:rPr>
          <w:rFonts w:ascii="Arial" w:hAnsi="Arial" w:cs="Arial"/>
          <w:sz w:val="24"/>
          <w:szCs w:val="24"/>
        </w:rPr>
        <w:t>7</w:t>
      </w:r>
      <w:r w:rsidR="00F25042" w:rsidRPr="002F3ED2">
        <w:rPr>
          <w:rFonts w:ascii="Arial" w:hAnsi="Arial" w:cs="Arial"/>
          <w:sz w:val="24"/>
          <w:szCs w:val="24"/>
        </w:rPr>
        <w:t>.</w:t>
      </w:r>
      <w:r w:rsidR="00F25042" w:rsidRPr="002F3ED2">
        <w:rPr>
          <w:rFonts w:ascii="Arial" w:hAnsi="Arial" w:cs="Arial"/>
          <w:sz w:val="24"/>
          <w:szCs w:val="24"/>
        </w:rPr>
        <w:tab/>
        <w:t xml:space="preserve">To understand proportion of adolescents (10–19 years) that seek sexual and reproductive health (SRH) services including modern contraceptive methods. </w:t>
      </w:r>
    </w:p>
    <w:p w14:paraId="693527E3" w14:textId="0C21699B" w:rsidR="00F25042" w:rsidRPr="002F3ED2" w:rsidRDefault="00EC2C20" w:rsidP="00F25042">
      <w:pPr>
        <w:spacing w:after="120" w:line="240" w:lineRule="auto"/>
        <w:rPr>
          <w:rFonts w:ascii="Arial" w:hAnsi="Arial" w:cs="Arial"/>
          <w:sz w:val="24"/>
          <w:szCs w:val="24"/>
        </w:rPr>
      </w:pPr>
      <w:r>
        <w:rPr>
          <w:rFonts w:ascii="Arial" w:hAnsi="Arial" w:cs="Arial"/>
          <w:sz w:val="24"/>
          <w:szCs w:val="24"/>
        </w:rPr>
        <w:t>8</w:t>
      </w:r>
      <w:r w:rsidR="00F25042" w:rsidRPr="002F3ED2">
        <w:rPr>
          <w:rFonts w:ascii="Arial" w:hAnsi="Arial" w:cs="Arial"/>
          <w:sz w:val="24"/>
          <w:szCs w:val="24"/>
        </w:rPr>
        <w:t>.</w:t>
      </w:r>
      <w:r w:rsidR="00F25042" w:rsidRPr="002F3ED2">
        <w:rPr>
          <w:rFonts w:ascii="Arial" w:hAnsi="Arial" w:cs="Arial"/>
          <w:sz w:val="24"/>
          <w:szCs w:val="24"/>
        </w:rPr>
        <w:tab/>
        <w:t xml:space="preserve">To understand proportion of adolescents (10-19) </w:t>
      </w:r>
      <w:r w:rsidR="00B25B87">
        <w:rPr>
          <w:rFonts w:ascii="Arial" w:hAnsi="Arial" w:cs="Arial"/>
          <w:sz w:val="24"/>
          <w:szCs w:val="24"/>
        </w:rPr>
        <w:t>including</w:t>
      </w:r>
      <w:r w:rsidR="00F25042" w:rsidRPr="002F3ED2">
        <w:rPr>
          <w:rFonts w:ascii="Arial" w:hAnsi="Arial" w:cs="Arial"/>
          <w:sz w:val="24"/>
          <w:szCs w:val="24"/>
        </w:rPr>
        <w:t xml:space="preserve"> married adolescent girls that decided to use family planning, alone or jointly with their husbands/partners </w:t>
      </w:r>
    </w:p>
    <w:p w14:paraId="37482866" w14:textId="7439C0C0" w:rsidR="00F25042" w:rsidRPr="002F3ED2" w:rsidRDefault="00EC2C20" w:rsidP="00F25042">
      <w:pPr>
        <w:spacing w:after="120" w:line="240" w:lineRule="auto"/>
        <w:rPr>
          <w:rFonts w:ascii="Arial" w:hAnsi="Arial" w:cs="Arial"/>
          <w:sz w:val="24"/>
          <w:szCs w:val="24"/>
        </w:rPr>
      </w:pPr>
      <w:r>
        <w:rPr>
          <w:rFonts w:ascii="Arial" w:hAnsi="Arial" w:cs="Arial"/>
          <w:sz w:val="24"/>
          <w:szCs w:val="24"/>
        </w:rPr>
        <w:t>9</w:t>
      </w:r>
      <w:r w:rsidR="00F25042" w:rsidRPr="002F3ED2">
        <w:rPr>
          <w:rFonts w:ascii="Arial" w:hAnsi="Arial" w:cs="Arial"/>
          <w:sz w:val="24"/>
          <w:szCs w:val="24"/>
        </w:rPr>
        <w:t>.</w:t>
      </w:r>
      <w:r w:rsidR="00F25042" w:rsidRPr="002F3ED2">
        <w:rPr>
          <w:rFonts w:ascii="Arial" w:hAnsi="Arial" w:cs="Arial"/>
          <w:sz w:val="24"/>
          <w:szCs w:val="24"/>
        </w:rPr>
        <w:tab/>
        <w:t xml:space="preserve">To know proportion of SMC members, teachers, and parents who perceive girls/women as equal to boys/men. </w:t>
      </w:r>
    </w:p>
    <w:p w14:paraId="6642B156" w14:textId="28E7DC12" w:rsidR="00F25042" w:rsidRPr="002F3ED2" w:rsidRDefault="00EC2C20" w:rsidP="00F25042">
      <w:pPr>
        <w:spacing w:after="120" w:line="240" w:lineRule="auto"/>
        <w:rPr>
          <w:rFonts w:ascii="Arial" w:hAnsi="Arial" w:cs="Arial"/>
          <w:sz w:val="24"/>
          <w:szCs w:val="24"/>
        </w:rPr>
      </w:pPr>
      <w:r>
        <w:rPr>
          <w:rFonts w:ascii="Arial" w:hAnsi="Arial" w:cs="Arial"/>
          <w:sz w:val="24"/>
          <w:szCs w:val="24"/>
        </w:rPr>
        <w:t>10</w:t>
      </w:r>
      <w:r w:rsidR="00F25042" w:rsidRPr="002F3ED2">
        <w:rPr>
          <w:rFonts w:ascii="Arial" w:hAnsi="Arial" w:cs="Arial"/>
          <w:sz w:val="24"/>
          <w:szCs w:val="24"/>
        </w:rPr>
        <w:t>.</w:t>
      </w:r>
      <w:r w:rsidR="00F25042" w:rsidRPr="002F3ED2">
        <w:rPr>
          <w:rFonts w:ascii="Arial" w:hAnsi="Arial" w:cs="Arial"/>
          <w:sz w:val="24"/>
          <w:szCs w:val="24"/>
        </w:rPr>
        <w:tab/>
        <w:t xml:space="preserve">To know proportion of schools that has child protection mechanism in place. </w:t>
      </w:r>
    </w:p>
    <w:p w14:paraId="279A19BE" w14:textId="5B289D67" w:rsidR="00F25042" w:rsidRPr="002F3ED2" w:rsidRDefault="00EC2C20" w:rsidP="00F25042">
      <w:pPr>
        <w:spacing w:after="120" w:line="240" w:lineRule="auto"/>
        <w:rPr>
          <w:rFonts w:ascii="Arial" w:hAnsi="Arial" w:cs="Arial"/>
          <w:sz w:val="24"/>
          <w:szCs w:val="24"/>
        </w:rPr>
      </w:pPr>
      <w:r>
        <w:rPr>
          <w:rFonts w:ascii="Arial" w:hAnsi="Arial" w:cs="Arial"/>
          <w:sz w:val="24"/>
          <w:szCs w:val="24"/>
        </w:rPr>
        <w:t>11</w:t>
      </w:r>
      <w:r w:rsidR="00F25042" w:rsidRPr="002F3ED2">
        <w:rPr>
          <w:rFonts w:ascii="Arial" w:hAnsi="Arial" w:cs="Arial"/>
          <w:sz w:val="24"/>
          <w:szCs w:val="24"/>
        </w:rPr>
        <w:t>.</w:t>
      </w:r>
      <w:r w:rsidR="00F25042" w:rsidRPr="002F3ED2">
        <w:rPr>
          <w:rFonts w:ascii="Arial" w:hAnsi="Arial" w:cs="Arial"/>
          <w:sz w:val="24"/>
          <w:szCs w:val="24"/>
        </w:rPr>
        <w:tab/>
        <w:t>To understand proportion of parents who support their adolescent daughters to continue education, participation in education, sports and different co-curricular activities and engagement in income earning activities.</w:t>
      </w:r>
    </w:p>
    <w:p w14:paraId="44393333" w14:textId="58504508" w:rsidR="00F25042" w:rsidRDefault="00EC2C20" w:rsidP="00F25042">
      <w:pPr>
        <w:spacing w:after="120" w:line="240" w:lineRule="auto"/>
        <w:rPr>
          <w:rFonts w:ascii="Arial" w:hAnsi="Arial" w:cs="Arial"/>
          <w:sz w:val="24"/>
          <w:szCs w:val="24"/>
        </w:rPr>
      </w:pPr>
      <w:r>
        <w:rPr>
          <w:rFonts w:ascii="Arial" w:hAnsi="Arial" w:cs="Arial"/>
          <w:sz w:val="24"/>
          <w:szCs w:val="24"/>
        </w:rPr>
        <w:t>12</w:t>
      </w:r>
      <w:r w:rsidR="00F25042" w:rsidRPr="002F3ED2">
        <w:rPr>
          <w:rFonts w:ascii="Arial" w:hAnsi="Arial" w:cs="Arial"/>
          <w:sz w:val="24"/>
          <w:szCs w:val="24"/>
        </w:rPr>
        <w:t>.</w:t>
      </w:r>
      <w:r w:rsidR="00F25042" w:rsidRPr="002F3ED2">
        <w:rPr>
          <w:rFonts w:ascii="Arial" w:hAnsi="Arial" w:cs="Arial"/>
          <w:sz w:val="24"/>
          <w:szCs w:val="24"/>
        </w:rPr>
        <w:tab/>
        <w:t xml:space="preserve">To identify proportion of Child Marriage Prevention Committees, at union, </w:t>
      </w:r>
      <w:proofErr w:type="spellStart"/>
      <w:r w:rsidR="00F25042" w:rsidRPr="002F3ED2">
        <w:rPr>
          <w:rFonts w:ascii="Arial" w:hAnsi="Arial" w:cs="Arial"/>
          <w:sz w:val="24"/>
          <w:szCs w:val="24"/>
        </w:rPr>
        <w:t>upazilas</w:t>
      </w:r>
      <w:proofErr w:type="spellEnd"/>
      <w:r w:rsidR="00F25042" w:rsidRPr="002F3ED2">
        <w:rPr>
          <w:rFonts w:ascii="Arial" w:hAnsi="Arial" w:cs="Arial"/>
          <w:sz w:val="24"/>
          <w:szCs w:val="24"/>
        </w:rPr>
        <w:t xml:space="preserve"> and districts that are functional as per CMRA 2017 guidelines and relevant laws.</w:t>
      </w:r>
    </w:p>
    <w:p w14:paraId="1A753786" w14:textId="77777777" w:rsidR="00A1044A" w:rsidRPr="00413543" w:rsidRDefault="00A1044A" w:rsidP="00F25042">
      <w:pPr>
        <w:spacing w:after="120" w:line="240" w:lineRule="auto"/>
        <w:rPr>
          <w:rFonts w:ascii="Arial" w:hAnsi="Arial" w:cs="Arial"/>
          <w:b/>
          <w:sz w:val="24"/>
          <w:szCs w:val="24"/>
          <w:lang w:val="en-US"/>
        </w:rPr>
      </w:pPr>
    </w:p>
    <w:p w14:paraId="616E12C7" w14:textId="77777777" w:rsidR="00F25042" w:rsidRDefault="00F25042" w:rsidP="00EC2C20">
      <w:pPr>
        <w:pStyle w:val="ListParagraph"/>
        <w:numPr>
          <w:ilvl w:val="0"/>
          <w:numId w:val="3"/>
        </w:numPr>
        <w:spacing w:after="120" w:line="240" w:lineRule="auto"/>
        <w:rPr>
          <w:rFonts w:ascii="Arial" w:hAnsi="Arial" w:cs="Arial"/>
          <w:b/>
          <w:sz w:val="24"/>
          <w:szCs w:val="24"/>
        </w:rPr>
      </w:pPr>
      <w:r w:rsidRPr="00B3481D">
        <w:rPr>
          <w:rFonts w:ascii="Arial" w:hAnsi="Arial" w:cs="Arial"/>
          <w:b/>
          <w:sz w:val="24"/>
          <w:szCs w:val="24"/>
        </w:rPr>
        <w:t>Methodolog</w:t>
      </w:r>
      <w:r>
        <w:rPr>
          <w:rFonts w:ascii="Arial" w:hAnsi="Arial" w:cs="Arial"/>
          <w:b/>
          <w:sz w:val="24"/>
          <w:szCs w:val="24"/>
        </w:rPr>
        <w:t xml:space="preserve">y </w:t>
      </w:r>
    </w:p>
    <w:p w14:paraId="56D341AB" w14:textId="0CD3D31D" w:rsidR="00F25042" w:rsidRDefault="002F3ED2" w:rsidP="00F25042">
      <w:pPr>
        <w:spacing w:after="120" w:line="240" w:lineRule="auto"/>
        <w:rPr>
          <w:rFonts w:ascii="Arial" w:hAnsi="Arial" w:cs="Arial"/>
          <w:b/>
          <w:sz w:val="24"/>
          <w:szCs w:val="24"/>
        </w:rPr>
      </w:pPr>
      <w:r>
        <w:rPr>
          <w:rFonts w:ascii="Arial" w:hAnsi="Arial" w:cs="Arial"/>
          <w:b/>
          <w:sz w:val="24"/>
          <w:szCs w:val="24"/>
        </w:rPr>
        <w:t>4</w:t>
      </w:r>
      <w:r w:rsidR="00F25042">
        <w:rPr>
          <w:rFonts w:ascii="Arial" w:hAnsi="Arial" w:cs="Arial"/>
          <w:b/>
          <w:sz w:val="24"/>
          <w:szCs w:val="24"/>
        </w:rPr>
        <w:t>.1 Household Survey</w:t>
      </w:r>
    </w:p>
    <w:p w14:paraId="018B341D" w14:textId="5938561B" w:rsidR="00F25042" w:rsidRDefault="002F3ED2" w:rsidP="00F25042">
      <w:pPr>
        <w:spacing w:after="120" w:line="240" w:lineRule="auto"/>
        <w:rPr>
          <w:rFonts w:ascii="Arial" w:hAnsi="Arial" w:cs="Arial"/>
          <w:b/>
          <w:sz w:val="24"/>
          <w:szCs w:val="24"/>
        </w:rPr>
      </w:pPr>
      <w:r>
        <w:rPr>
          <w:rFonts w:ascii="Arial" w:hAnsi="Arial" w:cs="Arial"/>
          <w:b/>
          <w:sz w:val="24"/>
          <w:szCs w:val="24"/>
        </w:rPr>
        <w:t>4</w:t>
      </w:r>
      <w:r w:rsidR="00F25042">
        <w:rPr>
          <w:rFonts w:ascii="Arial" w:hAnsi="Arial" w:cs="Arial"/>
          <w:b/>
          <w:sz w:val="24"/>
          <w:szCs w:val="24"/>
        </w:rPr>
        <w:t>.1.1 Overview</w:t>
      </w:r>
    </w:p>
    <w:p w14:paraId="416C9F47" w14:textId="1D795F4A" w:rsidR="00F25042" w:rsidRPr="00D0650F" w:rsidRDefault="00F25042" w:rsidP="00D0650F">
      <w:pPr>
        <w:spacing w:after="120" w:line="240" w:lineRule="auto"/>
        <w:jc w:val="both"/>
        <w:rPr>
          <w:rFonts w:ascii="Arial" w:hAnsi="Arial" w:cs="Arial"/>
          <w:bCs/>
          <w:sz w:val="24"/>
          <w:szCs w:val="24"/>
          <w:lang w:val="en-US"/>
        </w:rPr>
      </w:pPr>
      <w:r w:rsidRPr="00413543">
        <w:rPr>
          <w:rFonts w:ascii="Arial" w:hAnsi="Arial" w:cs="Arial"/>
          <w:bCs/>
          <w:sz w:val="24"/>
          <w:szCs w:val="24"/>
          <w:lang w:val="en-US"/>
        </w:rPr>
        <w:t>For the midline study, progress on key outcome indicators will be assess</w:t>
      </w:r>
      <w:r>
        <w:rPr>
          <w:rFonts w:ascii="Arial" w:hAnsi="Arial" w:cs="Arial"/>
          <w:bCs/>
          <w:sz w:val="24"/>
          <w:szCs w:val="24"/>
          <w:lang w:val="en-US"/>
        </w:rPr>
        <w:t>ed</w:t>
      </w:r>
      <w:r w:rsidRPr="00413543">
        <w:rPr>
          <w:rFonts w:ascii="Arial" w:hAnsi="Arial" w:cs="Arial"/>
          <w:bCs/>
          <w:sz w:val="24"/>
          <w:szCs w:val="24"/>
          <w:lang w:val="en-US"/>
        </w:rPr>
        <w:t xml:space="preserve"> through quantitative methods and multi-informant sources in the </w:t>
      </w:r>
      <w:r>
        <w:rPr>
          <w:rFonts w:ascii="Arial" w:hAnsi="Arial" w:cs="Arial"/>
          <w:bCs/>
          <w:sz w:val="24"/>
          <w:szCs w:val="24"/>
          <w:lang w:val="en-US"/>
        </w:rPr>
        <w:t xml:space="preserve">seven sub-districts </w:t>
      </w:r>
      <w:r w:rsidRPr="00413543">
        <w:rPr>
          <w:rFonts w:ascii="Arial" w:hAnsi="Arial" w:cs="Arial"/>
          <w:bCs/>
          <w:sz w:val="24"/>
          <w:szCs w:val="24"/>
          <w:lang w:val="en-US"/>
        </w:rPr>
        <w:t xml:space="preserve">of </w:t>
      </w:r>
      <w:r>
        <w:rPr>
          <w:rFonts w:ascii="Arial" w:hAnsi="Arial" w:cs="Arial"/>
          <w:bCs/>
          <w:sz w:val="24"/>
          <w:szCs w:val="24"/>
          <w:lang w:val="en-US"/>
        </w:rPr>
        <w:t>Bhola</w:t>
      </w:r>
      <w:r w:rsidRPr="00413543">
        <w:rPr>
          <w:rFonts w:ascii="Arial" w:hAnsi="Arial" w:cs="Arial"/>
          <w:bCs/>
          <w:sz w:val="24"/>
          <w:szCs w:val="24"/>
          <w:lang w:val="en-US"/>
        </w:rPr>
        <w:t xml:space="preserve"> and </w:t>
      </w:r>
      <w:r>
        <w:rPr>
          <w:rFonts w:ascii="Arial" w:hAnsi="Arial" w:cs="Arial"/>
          <w:bCs/>
          <w:sz w:val="24"/>
          <w:szCs w:val="24"/>
          <w:lang w:val="en-US"/>
        </w:rPr>
        <w:t>Jhalokathi districts</w:t>
      </w:r>
      <w:r w:rsidRPr="00413543">
        <w:rPr>
          <w:rFonts w:ascii="Arial" w:hAnsi="Arial" w:cs="Arial"/>
          <w:bCs/>
          <w:sz w:val="24"/>
          <w:szCs w:val="24"/>
          <w:lang w:val="en-US"/>
        </w:rPr>
        <w:t xml:space="preserve">. </w:t>
      </w:r>
      <w:r w:rsidRPr="00413543">
        <w:rPr>
          <w:rFonts w:ascii="Arial" w:hAnsi="Arial" w:cs="Arial"/>
          <w:bCs/>
          <w:sz w:val="24"/>
          <w:szCs w:val="24"/>
          <w:lang w:val="en-US"/>
        </w:rPr>
        <w:lastRenderedPageBreak/>
        <w:t xml:space="preserve">Informants will include: adolescent girls (aged 10-19 years), adolescent boys (aged 10-19 years); </w:t>
      </w:r>
      <w:r>
        <w:rPr>
          <w:rFonts w:ascii="Arial" w:hAnsi="Arial" w:cs="Arial"/>
          <w:bCs/>
          <w:sz w:val="24"/>
          <w:szCs w:val="24"/>
          <w:lang w:val="en-US"/>
        </w:rPr>
        <w:t xml:space="preserve">and </w:t>
      </w:r>
      <w:r w:rsidRPr="005C590D">
        <w:rPr>
          <w:rFonts w:ascii="Arial" w:hAnsi="Arial" w:cs="Arial"/>
          <w:bCs/>
          <w:sz w:val="24"/>
          <w:szCs w:val="24"/>
          <w:lang w:val="en-US"/>
        </w:rPr>
        <w:t>parents of adolescents</w:t>
      </w:r>
      <w:r>
        <w:rPr>
          <w:rFonts w:ascii="Arial" w:hAnsi="Arial" w:cs="Arial"/>
          <w:bCs/>
          <w:sz w:val="24"/>
          <w:szCs w:val="24"/>
          <w:lang w:val="en-US"/>
        </w:rPr>
        <w:t>.</w:t>
      </w:r>
      <w:r w:rsidRPr="005C590D">
        <w:rPr>
          <w:rFonts w:ascii="Arial" w:hAnsi="Arial" w:cs="Arial"/>
          <w:bCs/>
          <w:sz w:val="24"/>
          <w:szCs w:val="24"/>
          <w:lang w:val="en-US"/>
        </w:rPr>
        <w:t xml:space="preserve"> Data on the PMF indicators</w:t>
      </w:r>
      <w:r w:rsidRPr="005C590D">
        <w:rPr>
          <w:rFonts w:ascii="Arial" w:hAnsi="Arial" w:cs="Arial"/>
          <w:bCs/>
          <w:sz w:val="24"/>
          <w:szCs w:val="24"/>
          <w:vertAlign w:val="superscript"/>
          <w:lang w:val="en-US"/>
        </w:rPr>
        <w:footnoteReference w:id="4"/>
      </w:r>
      <w:r w:rsidRPr="005C590D">
        <w:rPr>
          <w:rFonts w:ascii="Arial" w:hAnsi="Arial" w:cs="Arial"/>
          <w:bCs/>
          <w:sz w:val="24"/>
          <w:szCs w:val="24"/>
          <w:lang w:val="en-US"/>
        </w:rPr>
        <w:t xml:space="preserve"> </w:t>
      </w:r>
      <w:r w:rsidR="002F3ED2">
        <w:rPr>
          <w:rFonts w:ascii="Arial" w:hAnsi="Arial" w:cs="Arial"/>
          <w:bCs/>
          <w:sz w:val="24"/>
          <w:szCs w:val="24"/>
          <w:lang w:val="en-US"/>
        </w:rPr>
        <w:t>as mentioned in Annex 1</w:t>
      </w:r>
      <w:r w:rsidRPr="005C590D">
        <w:rPr>
          <w:rFonts w:ascii="Arial" w:hAnsi="Arial" w:cs="Arial"/>
          <w:bCs/>
          <w:sz w:val="24"/>
          <w:szCs w:val="24"/>
          <w:lang w:val="en-US"/>
        </w:rPr>
        <w:t xml:space="preserve"> will be collected exclusively through the Household Survey</w:t>
      </w:r>
      <w:r w:rsidR="002F3ED2">
        <w:rPr>
          <w:rFonts w:ascii="Arial" w:hAnsi="Arial" w:cs="Arial"/>
          <w:bCs/>
          <w:sz w:val="24"/>
          <w:szCs w:val="24"/>
          <w:lang w:val="en-US"/>
        </w:rPr>
        <w:t>.</w:t>
      </w:r>
    </w:p>
    <w:p w14:paraId="7F274653" w14:textId="77777777" w:rsidR="00F25042" w:rsidRPr="00935010" w:rsidRDefault="00F25042" w:rsidP="00F25042">
      <w:pPr>
        <w:autoSpaceDE w:val="0"/>
        <w:autoSpaceDN w:val="0"/>
        <w:adjustRightInd w:val="0"/>
        <w:spacing w:after="120" w:line="240" w:lineRule="auto"/>
        <w:rPr>
          <w:rFonts w:ascii="Arial" w:hAnsi="Arial" w:cs="Arial"/>
          <w:sz w:val="24"/>
          <w:szCs w:val="24"/>
          <w:lang w:val="en-US"/>
        </w:rPr>
      </w:pPr>
      <w:r w:rsidRPr="00935010">
        <w:rPr>
          <w:rFonts w:ascii="Arial" w:hAnsi="Arial" w:cs="Arial"/>
          <w:sz w:val="24"/>
          <w:szCs w:val="24"/>
          <w:lang w:val="en-US"/>
        </w:rPr>
        <w:t>Bidders for this consultancy are required to outline their approach to the Household Survey. This must include consideration for the following (at minimum):</w:t>
      </w:r>
    </w:p>
    <w:p w14:paraId="20C1CEB2" w14:textId="77777777" w:rsidR="00F25042" w:rsidRPr="00935010" w:rsidRDefault="00F25042" w:rsidP="00EC2C20">
      <w:pPr>
        <w:numPr>
          <w:ilvl w:val="0"/>
          <w:numId w:val="9"/>
        </w:numPr>
        <w:autoSpaceDE w:val="0"/>
        <w:autoSpaceDN w:val="0"/>
        <w:adjustRightInd w:val="0"/>
        <w:spacing w:after="120" w:line="240" w:lineRule="auto"/>
        <w:rPr>
          <w:rFonts w:ascii="Arial" w:hAnsi="Arial" w:cs="Arial"/>
          <w:sz w:val="24"/>
          <w:szCs w:val="24"/>
          <w:lang w:val="en-US"/>
        </w:rPr>
      </w:pPr>
      <w:r w:rsidRPr="00935010">
        <w:rPr>
          <w:rFonts w:ascii="Arial" w:hAnsi="Arial" w:cs="Arial"/>
          <w:b/>
          <w:i/>
          <w:sz w:val="24"/>
          <w:szCs w:val="24"/>
          <w:lang w:val="en-US"/>
        </w:rPr>
        <w:t>Tool development:</w:t>
      </w:r>
      <w:r w:rsidRPr="00935010">
        <w:rPr>
          <w:rFonts w:ascii="Arial" w:hAnsi="Arial" w:cs="Arial"/>
          <w:sz w:val="24"/>
          <w:szCs w:val="24"/>
          <w:lang w:val="en-US"/>
        </w:rPr>
        <w:t xml:space="preserve"> Plan International will provide the Consultant with draft tools for the Household Survey. The Consultant will be required to work with Plan Canada and Plan </w:t>
      </w:r>
      <w:r>
        <w:rPr>
          <w:rFonts w:ascii="Arial" w:hAnsi="Arial" w:cs="Arial"/>
          <w:sz w:val="24"/>
          <w:szCs w:val="24"/>
          <w:lang w:val="en-US"/>
        </w:rPr>
        <w:t xml:space="preserve">Bangladesh </w:t>
      </w:r>
      <w:r w:rsidRPr="00935010">
        <w:rPr>
          <w:rFonts w:ascii="Arial" w:hAnsi="Arial" w:cs="Arial"/>
          <w:sz w:val="24"/>
          <w:szCs w:val="24"/>
          <w:lang w:val="en-US"/>
        </w:rPr>
        <w:t>technical advisors to review, refine, pilot and finalize the tools.</w:t>
      </w:r>
    </w:p>
    <w:p w14:paraId="462355E9" w14:textId="77777777" w:rsidR="00F25042" w:rsidRPr="00935010" w:rsidRDefault="00F25042" w:rsidP="00EC2C20">
      <w:pPr>
        <w:numPr>
          <w:ilvl w:val="0"/>
          <w:numId w:val="9"/>
        </w:numPr>
        <w:autoSpaceDE w:val="0"/>
        <w:autoSpaceDN w:val="0"/>
        <w:adjustRightInd w:val="0"/>
        <w:spacing w:after="120" w:line="240" w:lineRule="auto"/>
        <w:rPr>
          <w:rFonts w:ascii="Arial" w:hAnsi="Arial" w:cs="Arial"/>
          <w:sz w:val="24"/>
          <w:szCs w:val="24"/>
          <w:lang w:val="en-US"/>
        </w:rPr>
      </w:pPr>
      <w:r w:rsidRPr="00935010">
        <w:rPr>
          <w:rFonts w:ascii="Arial" w:hAnsi="Arial" w:cs="Arial"/>
          <w:b/>
          <w:i/>
          <w:sz w:val="24"/>
          <w:szCs w:val="24"/>
          <w:lang w:val="en-US"/>
        </w:rPr>
        <w:t>Sample size:</w:t>
      </w:r>
      <w:r w:rsidRPr="00935010">
        <w:rPr>
          <w:rFonts w:ascii="Arial" w:hAnsi="Arial" w:cs="Arial"/>
          <w:sz w:val="24"/>
          <w:szCs w:val="24"/>
          <w:lang w:val="en-US"/>
        </w:rPr>
        <w:t xml:space="preserve"> The sample size should be of a sufficient size and representativeness to allow reasonable levels of certainty that the findings are representative of the target groups. The Consultant will be required to verify estimated population figures and validate sample sizes.</w:t>
      </w:r>
    </w:p>
    <w:p w14:paraId="54A39DEA" w14:textId="77777777" w:rsidR="00F25042" w:rsidRPr="00935010" w:rsidRDefault="00F25042" w:rsidP="00EC2C20">
      <w:pPr>
        <w:numPr>
          <w:ilvl w:val="0"/>
          <w:numId w:val="9"/>
        </w:numPr>
        <w:autoSpaceDE w:val="0"/>
        <w:autoSpaceDN w:val="0"/>
        <w:adjustRightInd w:val="0"/>
        <w:spacing w:after="120" w:line="240" w:lineRule="auto"/>
        <w:rPr>
          <w:rFonts w:ascii="Arial" w:hAnsi="Arial" w:cs="Arial"/>
          <w:i/>
          <w:sz w:val="24"/>
          <w:szCs w:val="24"/>
          <w:lang w:val="en-US"/>
        </w:rPr>
      </w:pPr>
      <w:r w:rsidRPr="00935010">
        <w:rPr>
          <w:rFonts w:ascii="Arial" w:hAnsi="Arial" w:cs="Arial"/>
          <w:b/>
          <w:i/>
          <w:sz w:val="24"/>
          <w:szCs w:val="24"/>
          <w:lang w:val="en-US"/>
        </w:rPr>
        <w:t>Risk management and data quality assurance</w:t>
      </w:r>
      <w:r w:rsidRPr="00935010">
        <w:rPr>
          <w:rFonts w:ascii="Arial" w:hAnsi="Arial" w:cs="Arial"/>
          <w:i/>
          <w:sz w:val="24"/>
          <w:szCs w:val="24"/>
          <w:lang w:val="en-US"/>
        </w:rPr>
        <w:t>:</w:t>
      </w:r>
      <w:r w:rsidRPr="00935010">
        <w:rPr>
          <w:rFonts w:ascii="Arial" w:hAnsi="Arial" w:cs="Arial"/>
          <w:sz w:val="24"/>
          <w:szCs w:val="24"/>
          <w:lang w:val="en-US"/>
        </w:rPr>
        <w:t xml:space="preserve"> The Consultant must propose a comprehensive approach for risk management and quality assurance throughout the study, from the refin</w:t>
      </w:r>
      <w:r>
        <w:rPr>
          <w:rFonts w:ascii="Arial" w:hAnsi="Arial" w:cs="Arial"/>
          <w:sz w:val="24"/>
          <w:szCs w:val="24"/>
          <w:lang w:val="en-US"/>
        </w:rPr>
        <w:t xml:space="preserve">ing </w:t>
      </w:r>
      <w:r w:rsidRPr="00935010">
        <w:rPr>
          <w:rFonts w:ascii="Arial" w:hAnsi="Arial" w:cs="Arial"/>
          <w:sz w:val="24"/>
          <w:szCs w:val="24"/>
          <w:lang w:val="en-US"/>
        </w:rPr>
        <w:t>of survey tools and a sampling framework to enumerator and supervisor recruitment and training, field work protocols and data cleaning, (</w:t>
      </w:r>
      <w:r w:rsidRPr="00935010">
        <w:rPr>
          <w:rFonts w:ascii="Arial" w:hAnsi="Arial" w:cs="Arial"/>
          <w:i/>
          <w:sz w:val="24"/>
          <w:szCs w:val="24"/>
          <w:lang w:val="en-US"/>
        </w:rPr>
        <w:t>See sections 5, 6 and 7 for more details on requirements). *Risk management here includes considerations to mitigate safeguarding risks to children and young people.</w:t>
      </w:r>
    </w:p>
    <w:p w14:paraId="23EE04C8" w14:textId="77777777" w:rsidR="00F25042" w:rsidRDefault="00F25042" w:rsidP="00F25042">
      <w:pPr>
        <w:autoSpaceDE w:val="0"/>
        <w:autoSpaceDN w:val="0"/>
        <w:adjustRightInd w:val="0"/>
        <w:spacing w:after="120" w:line="240" w:lineRule="auto"/>
        <w:rPr>
          <w:rFonts w:ascii="Arial" w:hAnsi="Arial" w:cs="Arial"/>
          <w:sz w:val="24"/>
          <w:szCs w:val="24"/>
          <w:lang w:val="en-US"/>
        </w:rPr>
      </w:pPr>
      <w:r w:rsidRPr="00935010">
        <w:rPr>
          <w:rFonts w:ascii="Arial" w:hAnsi="Arial" w:cs="Arial"/>
          <w:sz w:val="24"/>
          <w:szCs w:val="24"/>
          <w:lang w:val="en-US"/>
        </w:rPr>
        <w:t>The Consultant is expected to ensure that all data collection tools and methodologies respond appropriately to the gender and age dynamics (challenges, availability, norms) within targeted communities and the data collectors are provided adequate orientation to collect all data in a gender and age sensitive manner.</w:t>
      </w:r>
    </w:p>
    <w:p w14:paraId="7D3A4046" w14:textId="44590270" w:rsidR="00F25042" w:rsidRPr="00590842" w:rsidRDefault="002F3ED2" w:rsidP="00F25042">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4</w:t>
      </w:r>
      <w:r w:rsidR="00F25042" w:rsidRPr="00590842">
        <w:rPr>
          <w:rFonts w:ascii="Arial" w:hAnsi="Arial" w:cs="Arial"/>
          <w:b/>
          <w:bCs/>
          <w:sz w:val="24"/>
          <w:szCs w:val="24"/>
        </w:rPr>
        <w:t>.1.2 Data Collection Tools</w:t>
      </w:r>
    </w:p>
    <w:p w14:paraId="3EC0B28B" w14:textId="77777777" w:rsidR="00F25042" w:rsidRPr="005846BB" w:rsidRDefault="00F25042" w:rsidP="00F25042">
      <w:pPr>
        <w:autoSpaceDE w:val="0"/>
        <w:autoSpaceDN w:val="0"/>
        <w:adjustRightInd w:val="0"/>
        <w:spacing w:after="120" w:line="240" w:lineRule="auto"/>
        <w:rPr>
          <w:rFonts w:ascii="Arial" w:hAnsi="Arial" w:cs="Arial"/>
          <w:sz w:val="24"/>
          <w:szCs w:val="24"/>
          <w:lang w:val="en-US"/>
        </w:rPr>
      </w:pPr>
      <w:r w:rsidRPr="005846BB">
        <w:rPr>
          <w:rFonts w:ascii="Arial" w:hAnsi="Arial" w:cs="Arial"/>
          <w:sz w:val="24"/>
          <w:szCs w:val="24"/>
          <w:lang w:val="en-US"/>
        </w:rPr>
        <w:t>The quantitative Household Survey will make use of several tools, Questionnaires for the following sub-groups will be administered to eligible individuals willing to take part in an interview:</w:t>
      </w:r>
    </w:p>
    <w:p w14:paraId="018E54BE" w14:textId="77777777" w:rsidR="00F25042" w:rsidRPr="005846BB" w:rsidRDefault="00F25042" w:rsidP="00EC2C20">
      <w:pPr>
        <w:numPr>
          <w:ilvl w:val="0"/>
          <w:numId w:val="10"/>
        </w:numPr>
        <w:autoSpaceDE w:val="0"/>
        <w:autoSpaceDN w:val="0"/>
        <w:adjustRightInd w:val="0"/>
        <w:spacing w:after="0" w:line="240" w:lineRule="auto"/>
        <w:rPr>
          <w:rFonts w:ascii="Arial" w:hAnsi="Arial" w:cs="Arial"/>
          <w:sz w:val="24"/>
          <w:szCs w:val="24"/>
          <w:lang w:val="en-US"/>
        </w:rPr>
      </w:pPr>
      <w:r w:rsidRPr="005846BB">
        <w:rPr>
          <w:rFonts w:ascii="Arial" w:hAnsi="Arial" w:cs="Arial"/>
          <w:sz w:val="24"/>
          <w:szCs w:val="24"/>
          <w:lang w:val="en-US"/>
        </w:rPr>
        <w:t xml:space="preserve">Adolescent girls aged 10-19 years. </w:t>
      </w:r>
    </w:p>
    <w:p w14:paraId="4C55B31F" w14:textId="77777777" w:rsidR="00F25042" w:rsidRPr="005846BB" w:rsidRDefault="00F25042" w:rsidP="00EC2C20">
      <w:pPr>
        <w:numPr>
          <w:ilvl w:val="0"/>
          <w:numId w:val="10"/>
        </w:numPr>
        <w:autoSpaceDE w:val="0"/>
        <w:autoSpaceDN w:val="0"/>
        <w:adjustRightInd w:val="0"/>
        <w:spacing w:after="0" w:line="240" w:lineRule="auto"/>
        <w:rPr>
          <w:rFonts w:ascii="Arial" w:hAnsi="Arial" w:cs="Arial"/>
          <w:sz w:val="24"/>
          <w:szCs w:val="24"/>
          <w:lang w:val="en-US"/>
        </w:rPr>
      </w:pPr>
      <w:r w:rsidRPr="005846BB">
        <w:rPr>
          <w:rFonts w:ascii="Arial" w:hAnsi="Arial" w:cs="Arial"/>
          <w:sz w:val="24"/>
          <w:szCs w:val="24"/>
          <w:lang w:val="en-US"/>
        </w:rPr>
        <w:t xml:space="preserve">Adolescent boys aged 10-19 years. </w:t>
      </w:r>
    </w:p>
    <w:p w14:paraId="0EC58BA6" w14:textId="77777777" w:rsidR="00F25042" w:rsidRPr="005846BB" w:rsidRDefault="00F25042" w:rsidP="00EC2C20">
      <w:pPr>
        <w:numPr>
          <w:ilvl w:val="0"/>
          <w:numId w:val="10"/>
        </w:numPr>
        <w:autoSpaceDE w:val="0"/>
        <w:autoSpaceDN w:val="0"/>
        <w:adjustRightInd w:val="0"/>
        <w:spacing w:after="120" w:line="240" w:lineRule="auto"/>
        <w:rPr>
          <w:rFonts w:ascii="Arial" w:hAnsi="Arial" w:cs="Arial"/>
          <w:sz w:val="24"/>
          <w:szCs w:val="24"/>
          <w:lang w:val="en-US"/>
        </w:rPr>
      </w:pPr>
      <w:r w:rsidRPr="005846BB">
        <w:rPr>
          <w:rFonts w:ascii="Arial" w:hAnsi="Arial" w:cs="Arial"/>
          <w:sz w:val="24"/>
          <w:szCs w:val="24"/>
          <w:lang w:val="en-US"/>
        </w:rPr>
        <w:t xml:space="preserve">Parents, adult family members </w:t>
      </w:r>
      <w:r>
        <w:rPr>
          <w:rFonts w:ascii="Arial" w:hAnsi="Arial" w:cs="Arial"/>
          <w:sz w:val="24"/>
          <w:szCs w:val="24"/>
          <w:lang w:val="en-US"/>
        </w:rPr>
        <w:t>l</w:t>
      </w:r>
      <w:r w:rsidRPr="005846BB">
        <w:rPr>
          <w:rFonts w:ascii="Arial" w:hAnsi="Arial" w:cs="Arial"/>
          <w:sz w:val="24"/>
          <w:szCs w:val="24"/>
          <w:lang w:val="en-US"/>
        </w:rPr>
        <w:t>iving with the adolescents surveyed.</w:t>
      </w:r>
    </w:p>
    <w:p w14:paraId="4B8B2703" w14:textId="392AFA44" w:rsidR="00F25042" w:rsidRPr="00590842" w:rsidRDefault="002F3ED2" w:rsidP="00F25042">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t>4</w:t>
      </w:r>
      <w:r w:rsidR="00F25042" w:rsidRPr="00590842">
        <w:rPr>
          <w:rFonts w:ascii="Arial" w:hAnsi="Arial" w:cs="Arial"/>
          <w:b/>
          <w:bCs/>
          <w:sz w:val="24"/>
          <w:szCs w:val="24"/>
        </w:rPr>
        <w:t>.1.3 Sampling</w:t>
      </w:r>
    </w:p>
    <w:p w14:paraId="34647169" w14:textId="77777777" w:rsidR="00F25042" w:rsidRPr="00BB7D3A" w:rsidRDefault="00F25042" w:rsidP="00F25042">
      <w:pPr>
        <w:autoSpaceDE w:val="0"/>
        <w:autoSpaceDN w:val="0"/>
        <w:adjustRightInd w:val="0"/>
        <w:spacing w:after="120" w:line="240" w:lineRule="auto"/>
        <w:jc w:val="both"/>
        <w:rPr>
          <w:rFonts w:ascii="Arial" w:hAnsi="Arial" w:cs="Arial"/>
          <w:sz w:val="24"/>
          <w:szCs w:val="24"/>
          <w:lang w:val="en-US"/>
        </w:rPr>
      </w:pPr>
      <w:r w:rsidRPr="00BB7D3A">
        <w:rPr>
          <w:rFonts w:ascii="Arial" w:hAnsi="Arial" w:cs="Arial"/>
          <w:b/>
          <w:i/>
          <w:sz w:val="24"/>
          <w:szCs w:val="24"/>
          <w:lang w:val="en-US"/>
        </w:rPr>
        <w:t>Household Questionnaires:</w:t>
      </w:r>
      <w:r w:rsidRPr="00BB7D3A">
        <w:rPr>
          <w:rFonts w:ascii="Arial" w:hAnsi="Arial" w:cs="Arial"/>
          <w:sz w:val="24"/>
          <w:szCs w:val="24"/>
          <w:lang w:val="en-US"/>
        </w:rPr>
        <w:t xml:space="preserve"> Questionnaires will be administered to adolescent girls and boys, and their parents/family members. A stratified sampling design (and proportional allocation) will be used to determine the sample size for the household survey questionnaires. Strata will include demographic features (e.g., age, sex, martial/union) and other relevant characteristics. Sample sizes will reflect a confidence level of 95%, margin of error of 5% and an additional 10% anticipated non-respondents or incomplete questionnaires. The preliminary proposed sample sizes to be covered by the questionnaires are provided in Table </w:t>
      </w:r>
      <w:r>
        <w:rPr>
          <w:rFonts w:ascii="Arial" w:hAnsi="Arial" w:cs="Arial"/>
          <w:sz w:val="24"/>
          <w:szCs w:val="24"/>
          <w:lang w:val="en-US"/>
        </w:rPr>
        <w:t>4</w:t>
      </w:r>
      <w:r w:rsidRPr="00BB7D3A">
        <w:rPr>
          <w:rFonts w:ascii="Arial" w:hAnsi="Arial" w:cs="Arial"/>
          <w:sz w:val="24"/>
          <w:szCs w:val="24"/>
          <w:lang w:val="en-US"/>
        </w:rPr>
        <w:t xml:space="preserve"> below.</w:t>
      </w:r>
    </w:p>
    <w:p w14:paraId="700F3791" w14:textId="77777777" w:rsidR="008F156A" w:rsidRDefault="008F156A" w:rsidP="00F25042">
      <w:pPr>
        <w:autoSpaceDE w:val="0"/>
        <w:autoSpaceDN w:val="0"/>
        <w:adjustRightInd w:val="0"/>
        <w:spacing w:after="120" w:line="240" w:lineRule="auto"/>
        <w:rPr>
          <w:rFonts w:ascii="Arial" w:hAnsi="Arial" w:cs="Arial"/>
          <w:b/>
          <w:bCs/>
          <w:sz w:val="24"/>
          <w:szCs w:val="24"/>
          <w:lang w:val="en-US"/>
        </w:rPr>
      </w:pPr>
    </w:p>
    <w:p w14:paraId="0C5FA263" w14:textId="3066BA8B" w:rsidR="00F25042" w:rsidRPr="00E74514" w:rsidRDefault="00F25042" w:rsidP="00F25042">
      <w:pPr>
        <w:autoSpaceDE w:val="0"/>
        <w:autoSpaceDN w:val="0"/>
        <w:adjustRightInd w:val="0"/>
        <w:spacing w:after="120" w:line="240" w:lineRule="auto"/>
        <w:rPr>
          <w:rFonts w:ascii="Arial" w:hAnsi="Arial" w:cs="Arial"/>
          <w:b/>
          <w:bCs/>
          <w:sz w:val="24"/>
          <w:szCs w:val="24"/>
          <w:lang w:val="en-US"/>
        </w:rPr>
      </w:pPr>
      <w:r w:rsidRPr="00E74514">
        <w:rPr>
          <w:rFonts w:ascii="Arial" w:hAnsi="Arial" w:cs="Arial"/>
          <w:b/>
          <w:bCs/>
          <w:sz w:val="24"/>
          <w:szCs w:val="24"/>
          <w:lang w:val="en-US"/>
        </w:rPr>
        <w:lastRenderedPageBreak/>
        <w:t>Table 4: Sample Sizes for Quantitative Household Survey Questionnaire (draft)</w:t>
      </w:r>
    </w:p>
    <w:tbl>
      <w:tblPr>
        <w:tblW w:w="8831" w:type="dxa"/>
        <w:tblInd w:w="360"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4012"/>
        <w:gridCol w:w="1417"/>
        <w:gridCol w:w="3402"/>
      </w:tblGrid>
      <w:tr w:rsidR="00F25042" w:rsidRPr="00482248" w14:paraId="7D75077A" w14:textId="77777777" w:rsidTr="00F25042">
        <w:tc>
          <w:tcPr>
            <w:tcW w:w="4012" w:type="dxa"/>
            <w:tcBorders>
              <w:top w:val="single" w:sz="18" w:space="0" w:color="4F81BD" w:themeColor="accent1"/>
              <w:left w:val="single" w:sz="18" w:space="0" w:color="4F81BD" w:themeColor="accent1"/>
              <w:bottom w:val="nil"/>
              <w:right w:val="single" w:sz="18" w:space="0" w:color="FFFFFF" w:themeColor="background1"/>
            </w:tcBorders>
            <w:shd w:val="clear" w:color="auto" w:fill="4F81BD" w:themeFill="accent1"/>
            <w:vAlign w:val="center"/>
          </w:tcPr>
          <w:p w14:paraId="4BE57041"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Target Population</w:t>
            </w:r>
          </w:p>
        </w:tc>
        <w:tc>
          <w:tcPr>
            <w:tcW w:w="1417" w:type="dxa"/>
            <w:tcBorders>
              <w:top w:val="single" w:sz="18" w:space="0" w:color="4F81BD" w:themeColor="accent1"/>
              <w:left w:val="single" w:sz="18" w:space="0" w:color="FFFFFF" w:themeColor="background1"/>
              <w:bottom w:val="nil"/>
              <w:right w:val="single" w:sz="18" w:space="0" w:color="FFFFFF" w:themeColor="background1"/>
            </w:tcBorders>
            <w:shd w:val="clear" w:color="auto" w:fill="4F81BD" w:themeFill="accent1"/>
            <w:vAlign w:val="center"/>
          </w:tcPr>
          <w:p w14:paraId="3C10419C"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Sample Size</w:t>
            </w:r>
            <w:r w:rsidRPr="00482248">
              <w:rPr>
                <w:rFonts w:ascii="Arial" w:hAnsi="Arial" w:cs="Arial"/>
                <w:sz w:val="24"/>
                <w:szCs w:val="24"/>
                <w:vertAlign w:val="superscript"/>
                <w:lang w:val="en-US"/>
              </w:rPr>
              <w:footnoteReference w:id="5"/>
            </w:r>
          </w:p>
        </w:tc>
        <w:tc>
          <w:tcPr>
            <w:tcW w:w="3402" w:type="dxa"/>
            <w:tcBorders>
              <w:top w:val="single" w:sz="18" w:space="0" w:color="4F81BD" w:themeColor="accent1"/>
              <w:left w:val="single" w:sz="18" w:space="0" w:color="FFFFFF" w:themeColor="background1"/>
              <w:bottom w:val="nil"/>
              <w:right w:val="single" w:sz="18" w:space="0" w:color="4F81BD" w:themeColor="accent1"/>
            </w:tcBorders>
            <w:shd w:val="clear" w:color="auto" w:fill="4F81BD" w:themeFill="accent1"/>
            <w:vAlign w:val="center"/>
          </w:tcPr>
          <w:p w14:paraId="56B1C8E6"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Expected Length of Survey</w:t>
            </w:r>
          </w:p>
        </w:tc>
      </w:tr>
      <w:tr w:rsidR="00F25042" w:rsidRPr="00482248" w14:paraId="2EF68A4F" w14:textId="77777777" w:rsidTr="00F25042">
        <w:tc>
          <w:tcPr>
            <w:tcW w:w="401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0DACD10E"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Adolescent girls aged 10-19 years</w:t>
            </w:r>
          </w:p>
        </w:tc>
        <w:tc>
          <w:tcPr>
            <w:tcW w:w="141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39DCB1C5"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420</w:t>
            </w:r>
          </w:p>
        </w:tc>
        <w:tc>
          <w:tcPr>
            <w:tcW w:w="340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629CA86F"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55-70 minutes</w:t>
            </w:r>
          </w:p>
        </w:tc>
      </w:tr>
      <w:tr w:rsidR="00F25042" w:rsidRPr="00482248" w14:paraId="50881765" w14:textId="77777777" w:rsidTr="00F25042">
        <w:tc>
          <w:tcPr>
            <w:tcW w:w="401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4324C653"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Adolescent boys aged 10-19 years</w:t>
            </w:r>
          </w:p>
        </w:tc>
        <w:tc>
          <w:tcPr>
            <w:tcW w:w="141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74D93EE2"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420</w:t>
            </w:r>
          </w:p>
        </w:tc>
        <w:tc>
          <w:tcPr>
            <w:tcW w:w="340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4D4E510C"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50-60 minutes</w:t>
            </w:r>
          </w:p>
        </w:tc>
      </w:tr>
      <w:tr w:rsidR="00F25042" w:rsidRPr="00482248" w14:paraId="5A349CFF" w14:textId="77777777" w:rsidTr="00F25042">
        <w:tc>
          <w:tcPr>
            <w:tcW w:w="401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0FF655F6" w14:textId="77777777" w:rsidR="00F25042" w:rsidRPr="00482248" w:rsidRDefault="00F25042" w:rsidP="00F25042">
            <w:pPr>
              <w:spacing w:after="120"/>
              <w:rPr>
                <w:rFonts w:ascii="Arial" w:hAnsi="Arial" w:cs="Arial"/>
                <w:sz w:val="24"/>
                <w:szCs w:val="24"/>
                <w:lang w:val="en-US"/>
              </w:rPr>
            </w:pPr>
            <w:r>
              <w:rPr>
                <w:rFonts w:ascii="Arial" w:hAnsi="Arial" w:cs="Arial"/>
                <w:sz w:val="24"/>
                <w:szCs w:val="24"/>
                <w:lang w:val="en-US"/>
              </w:rPr>
              <w:t>P</w:t>
            </w:r>
            <w:r w:rsidRPr="00482248">
              <w:rPr>
                <w:rFonts w:ascii="Arial" w:hAnsi="Arial" w:cs="Arial"/>
                <w:sz w:val="24"/>
                <w:szCs w:val="24"/>
                <w:lang w:val="en-US"/>
              </w:rPr>
              <w:t>arents or family members of adolescents living in the same HH</w:t>
            </w:r>
          </w:p>
        </w:tc>
        <w:tc>
          <w:tcPr>
            <w:tcW w:w="141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784C70CA"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600</w:t>
            </w:r>
          </w:p>
        </w:tc>
        <w:tc>
          <w:tcPr>
            <w:tcW w:w="3402"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278FFEF4" w14:textId="77777777" w:rsidR="00F25042" w:rsidRPr="00482248" w:rsidRDefault="00F25042" w:rsidP="00F25042">
            <w:pPr>
              <w:spacing w:after="120"/>
              <w:rPr>
                <w:rFonts w:ascii="Arial" w:hAnsi="Arial" w:cs="Arial"/>
                <w:sz w:val="24"/>
                <w:szCs w:val="24"/>
                <w:lang w:val="en-US"/>
              </w:rPr>
            </w:pPr>
            <w:r w:rsidRPr="00482248">
              <w:rPr>
                <w:rFonts w:ascii="Arial" w:hAnsi="Arial" w:cs="Arial"/>
                <w:sz w:val="24"/>
                <w:szCs w:val="24"/>
                <w:lang w:val="en-US"/>
              </w:rPr>
              <w:t>40-55 minutes</w:t>
            </w:r>
          </w:p>
        </w:tc>
      </w:tr>
    </w:tbl>
    <w:p w14:paraId="2F77D1FB" w14:textId="77777777" w:rsidR="00F25042" w:rsidRDefault="00F25042" w:rsidP="00F25042">
      <w:pPr>
        <w:autoSpaceDE w:val="0"/>
        <w:autoSpaceDN w:val="0"/>
        <w:adjustRightInd w:val="0"/>
        <w:spacing w:after="120" w:line="240" w:lineRule="auto"/>
        <w:rPr>
          <w:rFonts w:ascii="Arial" w:hAnsi="Arial" w:cs="Arial"/>
          <w:sz w:val="24"/>
          <w:szCs w:val="24"/>
          <w:lang w:val="en-US"/>
        </w:rPr>
      </w:pPr>
    </w:p>
    <w:p w14:paraId="22BF60E1" w14:textId="02E4BFCF" w:rsidR="00F25042" w:rsidRPr="00E74514" w:rsidRDefault="002F3ED2" w:rsidP="00F25042">
      <w:pPr>
        <w:autoSpaceDE w:val="0"/>
        <w:autoSpaceDN w:val="0"/>
        <w:adjustRightInd w:val="0"/>
        <w:spacing w:after="120" w:line="240" w:lineRule="auto"/>
        <w:rPr>
          <w:rFonts w:ascii="Arial" w:hAnsi="Arial" w:cs="Arial"/>
          <w:b/>
          <w:bCs/>
          <w:sz w:val="24"/>
          <w:szCs w:val="24"/>
          <w:lang w:val="en-US"/>
        </w:rPr>
      </w:pPr>
      <w:r>
        <w:rPr>
          <w:rFonts w:ascii="Arial" w:hAnsi="Arial" w:cs="Arial"/>
          <w:b/>
          <w:bCs/>
          <w:sz w:val="24"/>
          <w:szCs w:val="24"/>
          <w:lang w:val="en-US"/>
        </w:rPr>
        <w:t>4</w:t>
      </w:r>
      <w:r w:rsidR="00F25042" w:rsidRPr="00E74514">
        <w:rPr>
          <w:rFonts w:ascii="Arial" w:hAnsi="Arial" w:cs="Arial"/>
          <w:b/>
          <w:bCs/>
          <w:sz w:val="24"/>
          <w:szCs w:val="24"/>
          <w:lang w:val="en-US"/>
        </w:rPr>
        <w:t>.1.4 Gender Equality</w:t>
      </w:r>
    </w:p>
    <w:p w14:paraId="22F45149" w14:textId="77777777" w:rsidR="00F25042" w:rsidRPr="00B4466B" w:rsidRDefault="00F25042" w:rsidP="00F25042">
      <w:pPr>
        <w:autoSpaceDE w:val="0"/>
        <w:autoSpaceDN w:val="0"/>
        <w:adjustRightInd w:val="0"/>
        <w:spacing w:after="120" w:line="240" w:lineRule="auto"/>
        <w:jc w:val="both"/>
        <w:rPr>
          <w:rFonts w:ascii="Arial" w:hAnsi="Arial" w:cs="Arial"/>
          <w:sz w:val="24"/>
          <w:szCs w:val="24"/>
          <w:lang w:val="en-US"/>
        </w:rPr>
      </w:pPr>
      <w:r w:rsidRPr="00B4466B">
        <w:rPr>
          <w:rFonts w:ascii="Arial" w:hAnsi="Arial" w:cs="Arial"/>
          <w:sz w:val="24"/>
          <w:szCs w:val="24"/>
          <w:lang w:val="en-US"/>
        </w:rPr>
        <w:t>The Household Survey tool will cover indicators in the PMF as indicated above but may also include additional questions for broader learning related to CEFM and ASRHR outcomes. Questions exploring the following topics related to gender equality are expected to be included in the Household Survey, disaggregated by the age and sex of respondents:</w:t>
      </w:r>
    </w:p>
    <w:p w14:paraId="11DF242E"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Barriers like structural, attitudinal, communication, and physical faced by women and adolescent girls (married/unmarried), men and adolescent boys in accessing and utilizing SRHR information and services</w:t>
      </w:r>
    </w:p>
    <w:p w14:paraId="387BB734"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 xml:space="preserve">Barriers faced by men and boys in supporting women and girls’ SRHR, gender equality, and women’s and girls’ rights </w:t>
      </w:r>
    </w:p>
    <w:p w14:paraId="7D300C18"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 xml:space="preserve">Roles and responsibilities of women, girls, men and boys in making (A)SRH decisions </w:t>
      </w:r>
    </w:p>
    <w:p w14:paraId="374CFC7D"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Women’s and girls, men’s and boys’ level of participation in decision-making processes pertaining to SRHR and CEFM</w:t>
      </w:r>
    </w:p>
    <w:p w14:paraId="1F7F2659"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Knowledge, attitudes and practices regarding (A)SRHR and CEFM</w:t>
      </w:r>
    </w:p>
    <w:p w14:paraId="6BEEDD20"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Social norms, beliefs and practices related to SRHR and CEFM and gender equality</w:t>
      </w:r>
    </w:p>
    <w:p w14:paraId="45A608B0"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Women’s and adolescent girls’ and boys’ sources of information on SRHR information and services</w:t>
      </w:r>
    </w:p>
    <w:p w14:paraId="0DA82FB7"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Type of support provided by male partner/family members and community members/leaders to women and adolescent girls for decisions on SRHR and marriage/union</w:t>
      </w:r>
    </w:p>
    <w:p w14:paraId="083B48EA"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Distribution of decision-making between women and adolescent girls and their male partners</w:t>
      </w:r>
    </w:p>
    <w:p w14:paraId="6568ECC8" w14:textId="77777777" w:rsidR="00F25042" w:rsidRPr="00B4466B"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Women’s and girls’ (relative to men’s and boys’) level of access to and control over resources and opportunities.</w:t>
      </w:r>
    </w:p>
    <w:p w14:paraId="0550A235" w14:textId="77777777" w:rsidR="00F25042" w:rsidRDefault="00F25042" w:rsidP="00EC2C20">
      <w:pPr>
        <w:numPr>
          <w:ilvl w:val="0"/>
          <w:numId w:val="11"/>
        </w:numPr>
        <w:autoSpaceDE w:val="0"/>
        <w:autoSpaceDN w:val="0"/>
        <w:adjustRightInd w:val="0"/>
        <w:spacing w:after="0" w:line="240" w:lineRule="auto"/>
        <w:rPr>
          <w:rFonts w:ascii="Arial" w:hAnsi="Arial" w:cs="Arial"/>
          <w:sz w:val="24"/>
          <w:szCs w:val="24"/>
          <w:lang w:val="en-US"/>
        </w:rPr>
      </w:pPr>
      <w:r w:rsidRPr="00B4466B">
        <w:rPr>
          <w:rFonts w:ascii="Arial" w:hAnsi="Arial" w:cs="Arial"/>
          <w:sz w:val="24"/>
          <w:szCs w:val="24"/>
          <w:lang w:val="en-US"/>
        </w:rPr>
        <w:t>Enablers of gender equality; what provides women and girls with empowering opportunities or ability to equally access resources and health and protection rights from institutional services</w:t>
      </w:r>
    </w:p>
    <w:p w14:paraId="016B6DCD" w14:textId="77777777" w:rsidR="00F25042" w:rsidRPr="00F61327" w:rsidRDefault="00F25042" w:rsidP="00F25042">
      <w:pPr>
        <w:autoSpaceDE w:val="0"/>
        <w:autoSpaceDN w:val="0"/>
        <w:adjustRightInd w:val="0"/>
        <w:spacing w:after="120" w:line="240" w:lineRule="auto"/>
        <w:rPr>
          <w:rFonts w:ascii="Arial" w:hAnsi="Arial" w:cs="Arial"/>
          <w:b/>
          <w:sz w:val="24"/>
          <w:szCs w:val="24"/>
          <w:lang w:val="en-US"/>
        </w:rPr>
      </w:pPr>
    </w:p>
    <w:p w14:paraId="115FFAD6" w14:textId="1D6E9F1D" w:rsidR="00F25042" w:rsidRPr="00F61327" w:rsidRDefault="002F3ED2" w:rsidP="00F25042">
      <w:pPr>
        <w:spacing w:after="120" w:line="240" w:lineRule="auto"/>
        <w:rPr>
          <w:rFonts w:ascii="Arial" w:hAnsi="Arial" w:cs="Arial"/>
          <w:b/>
          <w:color w:val="000000" w:themeColor="text1"/>
          <w:sz w:val="24"/>
          <w:szCs w:val="24"/>
        </w:rPr>
      </w:pPr>
      <w:r w:rsidRPr="00F61327">
        <w:rPr>
          <w:rFonts w:ascii="Arial" w:hAnsi="Arial" w:cs="Arial"/>
          <w:b/>
          <w:color w:val="000000" w:themeColor="text1"/>
          <w:sz w:val="24"/>
          <w:szCs w:val="24"/>
        </w:rPr>
        <w:lastRenderedPageBreak/>
        <w:t>4</w:t>
      </w:r>
      <w:r w:rsidR="00F25042" w:rsidRPr="00F61327">
        <w:rPr>
          <w:rFonts w:ascii="Arial" w:hAnsi="Arial" w:cs="Arial"/>
          <w:b/>
          <w:color w:val="000000" w:themeColor="text1"/>
          <w:sz w:val="24"/>
          <w:szCs w:val="24"/>
        </w:rPr>
        <w:t>.2 Geographic Scope</w:t>
      </w:r>
    </w:p>
    <w:p w14:paraId="2A26A169" w14:textId="77777777" w:rsidR="00F25042" w:rsidRDefault="00F25042" w:rsidP="00F25042">
      <w:pPr>
        <w:spacing w:after="120" w:line="240" w:lineRule="auto"/>
        <w:jc w:val="both"/>
        <w:rPr>
          <w:rFonts w:ascii="Arial" w:hAnsi="Arial" w:cs="Arial"/>
          <w:sz w:val="24"/>
          <w:szCs w:val="24"/>
          <w:lang w:val="en-US"/>
        </w:rPr>
      </w:pPr>
      <w:r w:rsidRPr="00413543">
        <w:rPr>
          <w:rFonts w:ascii="Arial" w:hAnsi="Arial" w:cs="Arial"/>
          <w:sz w:val="24"/>
          <w:szCs w:val="24"/>
          <w:lang w:val="en-US"/>
        </w:rPr>
        <w:t xml:space="preserve">Data collection for the midline study for the </w:t>
      </w:r>
      <w:r>
        <w:rPr>
          <w:rFonts w:ascii="Arial" w:hAnsi="Arial" w:cs="Arial"/>
          <w:sz w:val="24"/>
          <w:szCs w:val="24"/>
          <w:lang w:val="en-US"/>
        </w:rPr>
        <w:t xml:space="preserve">Combatting Early Marriage in Bangladesh (CEMB) </w:t>
      </w:r>
      <w:r w:rsidRPr="00413543">
        <w:rPr>
          <w:rFonts w:ascii="Arial" w:hAnsi="Arial" w:cs="Arial"/>
          <w:sz w:val="24"/>
          <w:szCs w:val="24"/>
          <w:lang w:val="en-US"/>
        </w:rPr>
        <w:t xml:space="preserve">project will be conducted in all of the </w:t>
      </w:r>
      <w:r>
        <w:rPr>
          <w:rFonts w:ascii="Arial" w:hAnsi="Arial" w:cs="Arial"/>
          <w:sz w:val="24"/>
          <w:szCs w:val="24"/>
          <w:lang w:val="en-US"/>
        </w:rPr>
        <w:t>seven sub-district i</w:t>
      </w:r>
      <w:r w:rsidRPr="00413543">
        <w:rPr>
          <w:rFonts w:ascii="Arial" w:hAnsi="Arial" w:cs="Arial"/>
          <w:sz w:val="24"/>
          <w:szCs w:val="24"/>
          <w:lang w:val="en-US"/>
        </w:rPr>
        <w:t xml:space="preserve">mplementation sites of the project: </w:t>
      </w:r>
      <w:r>
        <w:rPr>
          <w:rFonts w:ascii="Arial" w:hAnsi="Arial" w:cs="Arial"/>
          <w:sz w:val="24"/>
          <w:szCs w:val="24"/>
          <w:lang w:val="en-US"/>
        </w:rPr>
        <w:t xml:space="preserve">Borhanuddin, Daulatkhan, and Tazimuddin of Bhola District and Jhalokathi Sadar, Kathalia, Nalchity and Rajapur </w:t>
      </w:r>
      <w:r w:rsidRPr="00413543">
        <w:rPr>
          <w:rFonts w:ascii="Arial" w:hAnsi="Arial" w:cs="Arial"/>
          <w:sz w:val="24"/>
          <w:szCs w:val="24"/>
          <w:lang w:val="en-US"/>
        </w:rPr>
        <w:t xml:space="preserve">of </w:t>
      </w:r>
      <w:r>
        <w:rPr>
          <w:rFonts w:ascii="Arial" w:hAnsi="Arial" w:cs="Arial"/>
          <w:sz w:val="24"/>
          <w:szCs w:val="24"/>
          <w:lang w:val="en-US"/>
        </w:rPr>
        <w:t>Jhalokathi District</w:t>
      </w:r>
      <w:r w:rsidRPr="00413543">
        <w:rPr>
          <w:rFonts w:ascii="Arial" w:hAnsi="Arial" w:cs="Arial"/>
          <w:sz w:val="24"/>
          <w:szCs w:val="24"/>
          <w:lang w:val="en-US"/>
        </w:rPr>
        <w:t xml:space="preserve">.  </w:t>
      </w:r>
    </w:p>
    <w:p w14:paraId="270B0AEE" w14:textId="6166CAB3" w:rsidR="00F25042" w:rsidRPr="00F61327" w:rsidRDefault="002F3ED2" w:rsidP="00F25042">
      <w:pPr>
        <w:spacing w:line="240" w:lineRule="auto"/>
        <w:rPr>
          <w:rFonts w:ascii="Arial" w:hAnsi="Arial" w:cs="Arial"/>
          <w:b/>
          <w:sz w:val="24"/>
          <w:szCs w:val="24"/>
          <w:lang w:val="en-US"/>
        </w:rPr>
      </w:pPr>
      <w:r w:rsidRPr="00F61327">
        <w:rPr>
          <w:rFonts w:ascii="Arial" w:hAnsi="Arial" w:cs="Arial"/>
          <w:b/>
          <w:sz w:val="24"/>
          <w:szCs w:val="24"/>
          <w:lang w:val="en-US"/>
        </w:rPr>
        <w:t>4</w:t>
      </w:r>
      <w:r w:rsidR="00F25042" w:rsidRPr="00F61327">
        <w:rPr>
          <w:rFonts w:ascii="Arial" w:hAnsi="Arial" w:cs="Arial"/>
          <w:b/>
          <w:sz w:val="24"/>
          <w:szCs w:val="24"/>
          <w:lang w:val="en-US"/>
        </w:rPr>
        <w:t>.3 Technical Scope</w:t>
      </w:r>
    </w:p>
    <w:p w14:paraId="6DAF1D1E" w14:textId="77777777" w:rsidR="00F25042" w:rsidRPr="003E3944" w:rsidRDefault="00F25042" w:rsidP="00F25042">
      <w:pPr>
        <w:spacing w:after="0" w:line="240" w:lineRule="auto"/>
        <w:jc w:val="both"/>
        <w:rPr>
          <w:rFonts w:ascii="Arial" w:hAnsi="Arial" w:cs="Arial"/>
          <w:sz w:val="24"/>
          <w:szCs w:val="24"/>
          <w:lang w:val="en-US"/>
        </w:rPr>
      </w:pPr>
      <w:r w:rsidRPr="003E3944">
        <w:rPr>
          <w:rFonts w:ascii="Arial" w:hAnsi="Arial" w:cs="Arial"/>
          <w:sz w:val="24"/>
          <w:szCs w:val="24"/>
          <w:lang w:val="en-US"/>
        </w:rPr>
        <w:t>As this is data collection for a midline study, methodology and tools will follow the protocols set down in the baseline study. The data collection firm is expected to:</w:t>
      </w:r>
    </w:p>
    <w:p w14:paraId="71FD097C" w14:textId="77777777" w:rsidR="00F25042" w:rsidRDefault="00F25042" w:rsidP="00F25042">
      <w:pPr>
        <w:pStyle w:val="ListParagraph"/>
        <w:spacing w:after="120" w:line="240" w:lineRule="auto"/>
        <w:rPr>
          <w:rFonts w:ascii="Arial" w:hAnsi="Arial" w:cs="Arial"/>
          <w:color w:val="000000" w:themeColor="text1"/>
          <w:sz w:val="24"/>
          <w:szCs w:val="24"/>
        </w:rPr>
      </w:pPr>
    </w:p>
    <w:p w14:paraId="1361CCC4" w14:textId="77777777" w:rsidR="00F25042" w:rsidRPr="00E27256" w:rsidRDefault="00F25042" w:rsidP="00EC2C20">
      <w:pPr>
        <w:pStyle w:val="ListParagraph"/>
        <w:numPr>
          <w:ilvl w:val="0"/>
          <w:numId w:val="8"/>
        </w:numPr>
        <w:spacing w:after="120" w:line="240" w:lineRule="auto"/>
        <w:rPr>
          <w:rFonts w:ascii="Arial" w:hAnsi="Arial" w:cs="Arial"/>
          <w:color w:val="000000" w:themeColor="text1"/>
          <w:sz w:val="24"/>
          <w:szCs w:val="24"/>
        </w:rPr>
      </w:pPr>
      <w:r w:rsidRPr="00E27256">
        <w:rPr>
          <w:rFonts w:ascii="Arial" w:hAnsi="Arial" w:cs="Arial"/>
          <w:color w:val="000000" w:themeColor="text1"/>
          <w:sz w:val="24"/>
          <w:szCs w:val="24"/>
        </w:rPr>
        <w:t xml:space="preserve">Review </w:t>
      </w:r>
      <w:r>
        <w:rPr>
          <w:rFonts w:ascii="Arial" w:hAnsi="Arial" w:cs="Arial"/>
          <w:color w:val="000000" w:themeColor="text1"/>
          <w:sz w:val="24"/>
          <w:szCs w:val="24"/>
        </w:rPr>
        <w:t xml:space="preserve">key project </w:t>
      </w:r>
      <w:r w:rsidRPr="00E27256">
        <w:rPr>
          <w:rFonts w:ascii="Arial" w:hAnsi="Arial" w:cs="Arial"/>
          <w:color w:val="000000" w:themeColor="text1"/>
          <w:sz w:val="24"/>
          <w:szCs w:val="24"/>
        </w:rPr>
        <w:t>documents</w:t>
      </w:r>
      <w:r>
        <w:rPr>
          <w:rFonts w:ascii="Arial" w:hAnsi="Arial" w:cs="Arial"/>
          <w:color w:val="000000" w:themeColor="text1"/>
          <w:sz w:val="24"/>
          <w:szCs w:val="24"/>
        </w:rPr>
        <w:t>, including the project’s Logic Model (LM) and P</w:t>
      </w:r>
      <w:r w:rsidRPr="00E27256">
        <w:rPr>
          <w:rFonts w:ascii="Arial" w:hAnsi="Arial" w:cs="Arial"/>
          <w:color w:val="000000" w:themeColor="text1"/>
          <w:sz w:val="24"/>
          <w:szCs w:val="24"/>
        </w:rPr>
        <w:t xml:space="preserve">erformance </w:t>
      </w:r>
      <w:r>
        <w:rPr>
          <w:rFonts w:ascii="Arial" w:hAnsi="Arial" w:cs="Arial"/>
          <w:color w:val="000000" w:themeColor="text1"/>
          <w:sz w:val="24"/>
          <w:szCs w:val="24"/>
        </w:rPr>
        <w:t>M</w:t>
      </w:r>
      <w:r w:rsidRPr="00E27256">
        <w:rPr>
          <w:rFonts w:ascii="Arial" w:hAnsi="Arial" w:cs="Arial"/>
          <w:color w:val="000000" w:themeColor="text1"/>
          <w:sz w:val="24"/>
          <w:szCs w:val="24"/>
        </w:rPr>
        <w:t xml:space="preserve">onitoring </w:t>
      </w:r>
      <w:r>
        <w:rPr>
          <w:rFonts w:ascii="Arial" w:hAnsi="Arial" w:cs="Arial"/>
          <w:color w:val="000000" w:themeColor="text1"/>
          <w:sz w:val="24"/>
          <w:szCs w:val="24"/>
        </w:rPr>
        <w:t>F</w:t>
      </w:r>
      <w:r w:rsidRPr="00E27256">
        <w:rPr>
          <w:rFonts w:ascii="Arial" w:hAnsi="Arial" w:cs="Arial"/>
          <w:color w:val="000000" w:themeColor="text1"/>
          <w:sz w:val="24"/>
          <w:szCs w:val="24"/>
        </w:rPr>
        <w:t xml:space="preserve">ramework </w:t>
      </w:r>
      <w:r>
        <w:rPr>
          <w:rFonts w:ascii="Arial" w:hAnsi="Arial" w:cs="Arial"/>
          <w:color w:val="000000" w:themeColor="text1"/>
          <w:sz w:val="24"/>
          <w:szCs w:val="24"/>
        </w:rPr>
        <w:t>(PMF), baseline study, gender equality assessment, and various reports prepared and submitted by the project;</w:t>
      </w:r>
    </w:p>
    <w:p w14:paraId="29F93247" w14:textId="77777777" w:rsidR="00F25042"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 xml:space="preserve">In consultation with Plan technical specialists and advisors finalize </w:t>
      </w:r>
      <w:r w:rsidRPr="00E914B3">
        <w:rPr>
          <w:rFonts w:ascii="Arial" w:hAnsi="Arial" w:cs="Arial"/>
          <w:color w:val="000000" w:themeColor="text1"/>
          <w:sz w:val="24"/>
          <w:szCs w:val="24"/>
        </w:rPr>
        <w:t xml:space="preserve">design </w:t>
      </w:r>
      <w:r w:rsidRPr="00E57492">
        <w:rPr>
          <w:rFonts w:ascii="Arial" w:hAnsi="Arial" w:cs="Arial"/>
          <w:color w:val="000000" w:themeColor="text1"/>
          <w:sz w:val="24"/>
          <w:szCs w:val="24"/>
        </w:rPr>
        <w:t xml:space="preserve">and </w:t>
      </w:r>
      <w:r w:rsidRPr="00935010">
        <w:rPr>
          <w:rFonts w:ascii="Arial" w:hAnsi="Arial" w:cs="Arial"/>
          <w:color w:val="000000" w:themeColor="text1"/>
          <w:sz w:val="24"/>
          <w:szCs w:val="24"/>
        </w:rPr>
        <w:t>sampl</w:t>
      </w:r>
      <w:r w:rsidRPr="005846BB">
        <w:rPr>
          <w:rFonts w:ascii="Arial" w:hAnsi="Arial" w:cs="Arial"/>
          <w:color w:val="000000" w:themeColor="text1"/>
          <w:sz w:val="24"/>
          <w:szCs w:val="24"/>
        </w:rPr>
        <w:t>ing methodology</w:t>
      </w:r>
      <w:r w:rsidRPr="00482248">
        <w:rPr>
          <w:rFonts w:ascii="Arial" w:hAnsi="Arial" w:cs="Arial"/>
          <w:color w:val="000000" w:themeColor="text1"/>
          <w:sz w:val="24"/>
          <w:szCs w:val="24"/>
        </w:rPr>
        <w:t>, including ver</w:t>
      </w:r>
      <w:r w:rsidRPr="00B4466B">
        <w:rPr>
          <w:rFonts w:ascii="Arial" w:hAnsi="Arial" w:cs="Arial"/>
          <w:color w:val="000000" w:themeColor="text1"/>
          <w:sz w:val="24"/>
          <w:szCs w:val="24"/>
        </w:rPr>
        <w:t>ifying underlying data on the size of target groups</w:t>
      </w:r>
      <w:r>
        <w:rPr>
          <w:rFonts w:ascii="Arial" w:hAnsi="Arial" w:cs="Arial"/>
          <w:color w:val="000000" w:themeColor="text1"/>
          <w:sz w:val="24"/>
          <w:szCs w:val="24"/>
        </w:rPr>
        <w:t>;</w:t>
      </w:r>
      <w:r w:rsidRPr="00E57492">
        <w:rPr>
          <w:rFonts w:ascii="Arial" w:hAnsi="Arial" w:cs="Arial"/>
          <w:color w:val="000000" w:themeColor="text1"/>
          <w:sz w:val="24"/>
          <w:szCs w:val="24"/>
        </w:rPr>
        <w:t xml:space="preserve"> </w:t>
      </w:r>
      <w:r w:rsidRPr="00D915AC">
        <w:rPr>
          <w:rFonts w:ascii="Arial" w:hAnsi="Arial" w:cs="Arial"/>
          <w:color w:val="000000" w:themeColor="text1"/>
          <w:sz w:val="24"/>
          <w:szCs w:val="24"/>
        </w:rPr>
        <w:t xml:space="preserve"> </w:t>
      </w:r>
    </w:p>
    <w:p w14:paraId="580A94AD"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Review, adapt, translate, format and pilot quantitative data collection tools. The revision might include the inclusion of COVID-19 related questions to some tools</w:t>
      </w:r>
      <w:r>
        <w:rPr>
          <w:rFonts w:ascii="Arial" w:hAnsi="Arial" w:cs="Arial"/>
          <w:color w:val="000000" w:themeColor="text1"/>
          <w:sz w:val="24"/>
          <w:szCs w:val="24"/>
        </w:rPr>
        <w:t>,</w:t>
      </w:r>
    </w:p>
    <w:p w14:paraId="28F6843F"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Develop high quality (safeguarding informed, gender responsive and adolescent friendly) data collection guidelines and protocols</w:t>
      </w:r>
      <w:r>
        <w:rPr>
          <w:rFonts w:ascii="Arial" w:hAnsi="Arial" w:cs="Arial"/>
          <w:color w:val="000000" w:themeColor="text1"/>
          <w:sz w:val="24"/>
          <w:szCs w:val="24"/>
        </w:rPr>
        <w:t>;</w:t>
      </w:r>
    </w:p>
    <w:p w14:paraId="143C1EBC"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Carry out all recruitment, training and supervision of enumerators/data collectors, field supervisors required to complete the assignment efficiently</w:t>
      </w:r>
      <w:r>
        <w:rPr>
          <w:rFonts w:ascii="Arial" w:hAnsi="Arial" w:cs="Arial"/>
          <w:color w:val="000000" w:themeColor="text1"/>
          <w:sz w:val="24"/>
          <w:szCs w:val="24"/>
        </w:rPr>
        <w:t>;</w:t>
      </w:r>
    </w:p>
    <w:p w14:paraId="6173CE76"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Plan and report on midline data collection</w:t>
      </w:r>
      <w:r>
        <w:rPr>
          <w:rFonts w:ascii="Arial" w:hAnsi="Arial" w:cs="Arial"/>
          <w:color w:val="000000" w:themeColor="text1"/>
          <w:sz w:val="24"/>
          <w:szCs w:val="24"/>
        </w:rPr>
        <w:t>;</w:t>
      </w:r>
    </w:p>
    <w:p w14:paraId="32C47F9A"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Lead the implementation of high-quality data collection with adequate field testing and supervision of all data collection and data entry</w:t>
      </w:r>
      <w:r>
        <w:rPr>
          <w:rFonts w:ascii="Arial" w:hAnsi="Arial" w:cs="Arial"/>
          <w:color w:val="000000" w:themeColor="text1"/>
          <w:sz w:val="24"/>
          <w:szCs w:val="24"/>
        </w:rPr>
        <w:t>;</w:t>
      </w:r>
    </w:p>
    <w:p w14:paraId="375FFEA7" w14:textId="77777777" w:rsidR="00F25042" w:rsidRPr="008D46B3" w:rsidRDefault="00F25042" w:rsidP="00EC2C20">
      <w:pPr>
        <w:pStyle w:val="ListParagraph"/>
        <w:numPr>
          <w:ilvl w:val="0"/>
          <w:numId w:val="8"/>
        </w:numPr>
        <w:spacing w:after="120" w:line="240" w:lineRule="auto"/>
        <w:rPr>
          <w:rFonts w:ascii="Arial" w:hAnsi="Arial" w:cs="Arial"/>
          <w:color w:val="000000" w:themeColor="text1"/>
          <w:sz w:val="24"/>
          <w:szCs w:val="24"/>
        </w:rPr>
      </w:pPr>
      <w:r w:rsidRPr="008D46B3">
        <w:rPr>
          <w:rFonts w:ascii="Arial" w:hAnsi="Arial" w:cs="Arial"/>
          <w:color w:val="000000" w:themeColor="text1"/>
          <w:sz w:val="24"/>
          <w:szCs w:val="24"/>
        </w:rPr>
        <w:t>Develop data entry interface (or tool digitalization if applicable), enter data into database and clean data set</w:t>
      </w:r>
      <w:r>
        <w:rPr>
          <w:rFonts w:ascii="Arial" w:hAnsi="Arial" w:cs="Arial"/>
          <w:color w:val="000000" w:themeColor="text1"/>
          <w:sz w:val="24"/>
          <w:szCs w:val="24"/>
        </w:rPr>
        <w:t>;</w:t>
      </w:r>
      <w:r w:rsidRPr="008D46B3">
        <w:rPr>
          <w:rFonts w:ascii="Arial" w:hAnsi="Arial" w:cs="Arial"/>
          <w:color w:val="000000" w:themeColor="text1"/>
          <w:sz w:val="24"/>
          <w:szCs w:val="24"/>
        </w:rPr>
        <w:t xml:space="preserve"> </w:t>
      </w:r>
    </w:p>
    <w:p w14:paraId="78B91FFC" w14:textId="77777777" w:rsidR="00F25042" w:rsidRPr="008D46B3" w:rsidRDefault="00F25042" w:rsidP="00EC2C20">
      <w:pPr>
        <w:pStyle w:val="ListParagraph"/>
        <w:numPr>
          <w:ilvl w:val="0"/>
          <w:numId w:val="8"/>
        </w:numPr>
        <w:spacing w:after="0" w:line="240" w:lineRule="auto"/>
        <w:rPr>
          <w:rFonts w:ascii="Arial" w:hAnsi="Arial" w:cs="Arial"/>
          <w:color w:val="000000" w:themeColor="text1"/>
          <w:sz w:val="24"/>
          <w:szCs w:val="24"/>
        </w:rPr>
      </w:pPr>
      <w:r w:rsidRPr="008D46B3">
        <w:rPr>
          <w:rFonts w:ascii="Arial" w:hAnsi="Arial" w:cs="Arial"/>
          <w:color w:val="000000" w:themeColor="text1"/>
          <w:sz w:val="24"/>
          <w:szCs w:val="24"/>
        </w:rPr>
        <w:t>Run descriptive statistics (averages and proportions) for all variables included in the data collection tools.</w:t>
      </w:r>
    </w:p>
    <w:p w14:paraId="710D0626" w14:textId="77777777" w:rsidR="00F25042" w:rsidRDefault="00F25042" w:rsidP="00F25042">
      <w:pPr>
        <w:spacing w:after="120" w:line="240" w:lineRule="auto"/>
        <w:rPr>
          <w:rFonts w:ascii="Arial" w:hAnsi="Arial" w:cs="Arial"/>
          <w:b/>
          <w:sz w:val="24"/>
          <w:szCs w:val="24"/>
        </w:rPr>
      </w:pPr>
    </w:p>
    <w:p w14:paraId="1BB1C689" w14:textId="77777777" w:rsidR="00F25042" w:rsidRPr="00413543" w:rsidRDefault="00F25042" w:rsidP="00F25042">
      <w:pPr>
        <w:spacing w:line="240" w:lineRule="auto"/>
        <w:rPr>
          <w:rFonts w:ascii="Arial" w:hAnsi="Arial" w:cs="Arial"/>
          <w:sz w:val="24"/>
          <w:szCs w:val="24"/>
          <w:lang w:val="en-US"/>
        </w:rPr>
      </w:pPr>
      <w:r w:rsidRPr="00413543">
        <w:rPr>
          <w:rFonts w:ascii="Arial" w:hAnsi="Arial" w:cs="Arial"/>
          <w:sz w:val="24"/>
          <w:szCs w:val="24"/>
          <w:lang w:val="en-US"/>
        </w:rPr>
        <w:t>In carrying out the steps/tasks outlined above, the consultant will also be expected to:</w:t>
      </w:r>
    </w:p>
    <w:p w14:paraId="0E1A2A73" w14:textId="77777777" w:rsidR="00F25042" w:rsidRPr="004C69E8" w:rsidRDefault="00F25042" w:rsidP="00EC2C20">
      <w:pPr>
        <w:pStyle w:val="ListParagraph"/>
        <w:numPr>
          <w:ilvl w:val="0"/>
          <w:numId w:val="8"/>
        </w:numPr>
        <w:spacing w:after="120" w:line="240" w:lineRule="auto"/>
        <w:rPr>
          <w:rFonts w:ascii="Arial" w:hAnsi="Arial" w:cs="Arial"/>
          <w:color w:val="000000" w:themeColor="text1"/>
          <w:sz w:val="24"/>
          <w:szCs w:val="24"/>
        </w:rPr>
      </w:pPr>
      <w:r w:rsidRPr="004C69E8">
        <w:rPr>
          <w:rFonts w:ascii="Arial" w:hAnsi="Arial" w:cs="Arial"/>
          <w:color w:val="000000" w:themeColor="text1"/>
          <w:sz w:val="24"/>
          <w:szCs w:val="24"/>
        </w:rPr>
        <w:t>Design and implement the midline study with Do No Harm principles,</w:t>
      </w:r>
    </w:p>
    <w:p w14:paraId="1CDB257E" w14:textId="77777777" w:rsidR="00F25042" w:rsidRPr="004C69E8" w:rsidRDefault="00F25042" w:rsidP="00EC2C20">
      <w:pPr>
        <w:pStyle w:val="ListParagraph"/>
        <w:numPr>
          <w:ilvl w:val="0"/>
          <w:numId w:val="8"/>
        </w:numPr>
        <w:spacing w:after="120" w:line="240" w:lineRule="auto"/>
        <w:rPr>
          <w:rFonts w:ascii="Arial" w:hAnsi="Arial" w:cs="Arial"/>
          <w:color w:val="000000" w:themeColor="text1"/>
          <w:sz w:val="24"/>
          <w:szCs w:val="24"/>
        </w:rPr>
      </w:pPr>
      <w:r w:rsidRPr="004C69E8">
        <w:rPr>
          <w:rFonts w:ascii="Arial" w:hAnsi="Arial" w:cs="Arial"/>
          <w:color w:val="000000" w:themeColor="text1"/>
          <w:sz w:val="24"/>
          <w:szCs w:val="24"/>
        </w:rPr>
        <w:t xml:space="preserve">Ensuring strict adherence to Plan International’s Safeguarding Children and Young People Policy, Child Protection Policy, and Gender Equality &amp; Inclusion Policy procedures and guidelines at all stages of the study, </w:t>
      </w:r>
    </w:p>
    <w:p w14:paraId="1E3A1097" w14:textId="77777777" w:rsidR="00F25042" w:rsidRPr="001814DC" w:rsidRDefault="00F25042" w:rsidP="00EC2C20">
      <w:pPr>
        <w:pStyle w:val="ListParagraph"/>
        <w:numPr>
          <w:ilvl w:val="0"/>
          <w:numId w:val="8"/>
        </w:numPr>
        <w:spacing w:after="120" w:line="240" w:lineRule="auto"/>
        <w:rPr>
          <w:rFonts w:ascii="Arial" w:hAnsi="Arial" w:cs="Arial"/>
          <w:sz w:val="24"/>
          <w:szCs w:val="24"/>
          <w:lang w:val="en-US"/>
        </w:rPr>
      </w:pPr>
      <w:r w:rsidRPr="004C69E8">
        <w:rPr>
          <w:rFonts w:ascii="Arial" w:hAnsi="Arial" w:cs="Arial"/>
          <w:color w:val="000000" w:themeColor="text1"/>
          <w:sz w:val="24"/>
          <w:szCs w:val="24"/>
        </w:rPr>
        <w:t>Ensure</w:t>
      </w:r>
      <w:r w:rsidRPr="00413543">
        <w:rPr>
          <w:rFonts w:ascii="Arial" w:hAnsi="Arial" w:cs="Arial"/>
          <w:sz w:val="24"/>
          <w:szCs w:val="24"/>
          <w:lang w:val="en-US"/>
        </w:rPr>
        <w:t xml:space="preserve"> all aspects and processes of the midline study </w:t>
      </w:r>
      <w:r w:rsidRPr="00413543">
        <w:rPr>
          <w:rFonts w:ascii="Arial" w:hAnsi="Arial" w:cs="Arial"/>
          <w:i/>
          <w:iCs/>
          <w:sz w:val="24"/>
          <w:szCs w:val="24"/>
          <w:shd w:val="clear" w:color="auto" w:fill="E6E6E6"/>
          <w:lang w:val="en-US"/>
        </w:rPr>
        <w:t>comply with international ethical standards on doing research with/about children</w:t>
      </w:r>
      <w:r w:rsidRPr="00413543">
        <w:rPr>
          <w:rFonts w:ascii="Arial" w:hAnsi="Arial" w:cs="Arial"/>
          <w:sz w:val="24"/>
          <w:szCs w:val="24"/>
          <w:lang w:val="en-US"/>
        </w:rPr>
        <w:t xml:space="preserve"> (such as those outlined by </w:t>
      </w:r>
      <w:hyperlink r:id="rId13" w:history="1">
        <w:r w:rsidRPr="00413543">
          <w:rPr>
            <w:rStyle w:val="Hyperlink"/>
            <w:rFonts w:ascii="Arial" w:hAnsi="Arial" w:cs="Arial"/>
            <w:sz w:val="24"/>
            <w:szCs w:val="24"/>
            <w:lang w:val="en-US"/>
          </w:rPr>
          <w:t>https://childethics.com/</w:t>
        </w:r>
      </w:hyperlink>
      <w:r w:rsidRPr="00413543">
        <w:rPr>
          <w:rFonts w:ascii="Arial" w:hAnsi="Arial" w:cs="Arial"/>
          <w:sz w:val="24"/>
          <w:szCs w:val="24"/>
          <w:lang w:val="en-US"/>
        </w:rPr>
        <w:t xml:space="preserve">) and </w:t>
      </w:r>
      <w:r w:rsidRPr="00413543">
        <w:rPr>
          <w:rFonts w:ascii="Arial" w:hAnsi="Arial" w:cs="Arial"/>
          <w:i/>
          <w:iCs/>
          <w:sz w:val="24"/>
          <w:szCs w:val="24"/>
          <w:shd w:val="clear" w:color="auto" w:fill="E6E6E6"/>
          <w:lang w:val="en-US"/>
        </w:rPr>
        <w:t>clearly outline to Plan International how this will be done</w:t>
      </w:r>
      <w:r w:rsidRPr="00413543">
        <w:rPr>
          <w:rFonts w:ascii="Arial" w:hAnsi="Arial" w:cs="Arial"/>
          <w:i/>
          <w:iCs/>
          <w:sz w:val="24"/>
          <w:szCs w:val="24"/>
          <w:lang w:val="en-US"/>
        </w:rPr>
        <w:t xml:space="preserve"> and how safeguarding risks to children and young people will be mitigated</w:t>
      </w:r>
    </w:p>
    <w:p w14:paraId="349B4513" w14:textId="77777777" w:rsidR="00F25042" w:rsidRPr="00B4466B" w:rsidRDefault="00F25042" w:rsidP="00F25042">
      <w:pPr>
        <w:autoSpaceDE w:val="0"/>
        <w:autoSpaceDN w:val="0"/>
        <w:adjustRightInd w:val="0"/>
        <w:spacing w:after="0" w:line="240" w:lineRule="auto"/>
        <w:ind w:left="1080"/>
        <w:rPr>
          <w:rFonts w:ascii="Arial" w:hAnsi="Arial" w:cs="Arial"/>
          <w:sz w:val="24"/>
          <w:szCs w:val="24"/>
          <w:lang w:val="en-US"/>
        </w:rPr>
      </w:pPr>
    </w:p>
    <w:p w14:paraId="5C492943" w14:textId="77777777" w:rsidR="008F156A" w:rsidRDefault="008F156A" w:rsidP="00F25042">
      <w:pPr>
        <w:autoSpaceDE w:val="0"/>
        <w:autoSpaceDN w:val="0"/>
        <w:adjustRightInd w:val="0"/>
        <w:spacing w:after="120" w:line="240" w:lineRule="auto"/>
        <w:rPr>
          <w:rFonts w:ascii="Arial" w:hAnsi="Arial" w:cs="Arial"/>
          <w:b/>
          <w:bCs/>
          <w:sz w:val="24"/>
          <w:szCs w:val="24"/>
        </w:rPr>
      </w:pPr>
    </w:p>
    <w:p w14:paraId="6C2E6AA0" w14:textId="77777777" w:rsidR="008F156A" w:rsidRDefault="008F156A" w:rsidP="00F25042">
      <w:pPr>
        <w:autoSpaceDE w:val="0"/>
        <w:autoSpaceDN w:val="0"/>
        <w:adjustRightInd w:val="0"/>
        <w:spacing w:after="120" w:line="240" w:lineRule="auto"/>
        <w:rPr>
          <w:rFonts w:ascii="Arial" w:hAnsi="Arial" w:cs="Arial"/>
          <w:b/>
          <w:bCs/>
          <w:sz w:val="24"/>
          <w:szCs w:val="24"/>
        </w:rPr>
      </w:pPr>
    </w:p>
    <w:p w14:paraId="43B5CA09" w14:textId="7DC0E56C" w:rsidR="00F25042" w:rsidRPr="00A563D2" w:rsidRDefault="002F3ED2" w:rsidP="00F25042">
      <w:pPr>
        <w:autoSpaceDE w:val="0"/>
        <w:autoSpaceDN w:val="0"/>
        <w:adjustRightInd w:val="0"/>
        <w:spacing w:after="120" w:line="240" w:lineRule="auto"/>
        <w:rPr>
          <w:rFonts w:ascii="Arial" w:hAnsi="Arial" w:cs="Arial"/>
          <w:b/>
          <w:bCs/>
          <w:sz w:val="24"/>
          <w:szCs w:val="24"/>
        </w:rPr>
      </w:pPr>
      <w:r>
        <w:rPr>
          <w:rFonts w:ascii="Arial" w:hAnsi="Arial" w:cs="Arial"/>
          <w:b/>
          <w:bCs/>
          <w:sz w:val="24"/>
          <w:szCs w:val="24"/>
        </w:rPr>
        <w:lastRenderedPageBreak/>
        <w:t>4</w:t>
      </w:r>
      <w:r w:rsidR="00F25042" w:rsidRPr="00A563D2">
        <w:rPr>
          <w:rFonts w:ascii="Arial" w:hAnsi="Arial" w:cs="Arial"/>
          <w:b/>
          <w:bCs/>
          <w:sz w:val="24"/>
          <w:szCs w:val="24"/>
        </w:rPr>
        <w:t>.</w:t>
      </w:r>
      <w:r w:rsidR="00F25042">
        <w:rPr>
          <w:rFonts w:ascii="Arial" w:hAnsi="Arial" w:cs="Arial"/>
          <w:b/>
          <w:bCs/>
          <w:sz w:val="24"/>
          <w:szCs w:val="24"/>
        </w:rPr>
        <w:t>4</w:t>
      </w:r>
      <w:r w:rsidR="00F25042" w:rsidRPr="00A563D2">
        <w:rPr>
          <w:rFonts w:ascii="Arial" w:hAnsi="Arial" w:cs="Arial"/>
          <w:b/>
          <w:bCs/>
          <w:sz w:val="24"/>
          <w:szCs w:val="24"/>
        </w:rPr>
        <w:t xml:space="preserve"> School Survey</w:t>
      </w:r>
    </w:p>
    <w:p w14:paraId="301496D5" w14:textId="77777777" w:rsidR="00F25042" w:rsidRDefault="00F25042" w:rsidP="00F25042">
      <w:pPr>
        <w:autoSpaceDE w:val="0"/>
        <w:autoSpaceDN w:val="0"/>
        <w:adjustRightInd w:val="0"/>
        <w:spacing w:after="120" w:line="240" w:lineRule="auto"/>
        <w:rPr>
          <w:rFonts w:ascii="Arial" w:hAnsi="Arial" w:cs="Arial"/>
          <w:sz w:val="24"/>
          <w:szCs w:val="24"/>
        </w:rPr>
      </w:pPr>
      <w:r>
        <w:rPr>
          <w:rFonts w:ascii="Arial" w:hAnsi="Arial" w:cs="Arial"/>
          <w:sz w:val="24"/>
          <w:szCs w:val="24"/>
        </w:rPr>
        <w:t>The school survey will respond to the below PMF indicators:</w:t>
      </w:r>
    </w:p>
    <w:p w14:paraId="20EB41DF" w14:textId="77777777" w:rsidR="00F25042" w:rsidRPr="00CD3530" w:rsidRDefault="00F25042" w:rsidP="00F25042">
      <w:pPr>
        <w:autoSpaceDE w:val="0"/>
        <w:autoSpaceDN w:val="0"/>
        <w:adjustRightInd w:val="0"/>
        <w:spacing w:after="120" w:line="240" w:lineRule="auto"/>
        <w:rPr>
          <w:rFonts w:ascii="Arial" w:hAnsi="Arial" w:cs="Arial"/>
          <w:b/>
          <w:sz w:val="24"/>
          <w:szCs w:val="24"/>
          <w:lang w:val="en-US"/>
        </w:rPr>
      </w:pPr>
      <w:r w:rsidRPr="00CD3530">
        <w:rPr>
          <w:rFonts w:ascii="Arial" w:hAnsi="Arial" w:cs="Arial"/>
          <w:b/>
          <w:sz w:val="24"/>
          <w:szCs w:val="24"/>
          <w:lang w:val="en-US"/>
        </w:rPr>
        <w:t xml:space="preserve">Table </w:t>
      </w:r>
      <w:r>
        <w:rPr>
          <w:rFonts w:ascii="Arial" w:hAnsi="Arial" w:cs="Arial"/>
          <w:b/>
          <w:sz w:val="24"/>
          <w:szCs w:val="24"/>
          <w:lang w:val="en-US"/>
        </w:rPr>
        <w:t>5</w:t>
      </w:r>
      <w:r w:rsidRPr="00CD3530">
        <w:rPr>
          <w:rFonts w:ascii="Arial" w:hAnsi="Arial" w:cs="Arial"/>
          <w:b/>
          <w:sz w:val="24"/>
          <w:szCs w:val="24"/>
          <w:lang w:val="en-US"/>
        </w:rPr>
        <w:t xml:space="preserve">: PMF Indicators Covered by </w:t>
      </w:r>
      <w:r>
        <w:rPr>
          <w:rFonts w:ascii="Arial" w:hAnsi="Arial" w:cs="Arial"/>
          <w:b/>
          <w:sz w:val="24"/>
          <w:szCs w:val="24"/>
          <w:lang w:val="en-US"/>
        </w:rPr>
        <w:t>School Survey</w:t>
      </w:r>
    </w:p>
    <w:tbl>
      <w:tblPr>
        <w:tblW w:w="0" w:type="auto"/>
        <w:tblInd w:w="360"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4637"/>
        <w:gridCol w:w="1963"/>
        <w:gridCol w:w="2354"/>
      </w:tblGrid>
      <w:tr w:rsidR="00F25042" w:rsidRPr="00CD3530" w14:paraId="742572A4" w14:textId="77777777" w:rsidTr="00F25042">
        <w:tc>
          <w:tcPr>
            <w:tcW w:w="463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7C4ACF57" w14:textId="77777777" w:rsidR="00F25042" w:rsidRPr="00CD3530" w:rsidRDefault="00F25042" w:rsidP="00F25042">
            <w:pPr>
              <w:spacing w:after="120"/>
              <w:rPr>
                <w:rFonts w:ascii="Arial" w:hAnsi="Arial" w:cs="Arial"/>
                <w:b/>
                <w:sz w:val="24"/>
                <w:szCs w:val="24"/>
                <w:lang w:val="en-US"/>
              </w:rPr>
            </w:pPr>
            <w:r w:rsidRPr="00CD3530">
              <w:rPr>
                <w:rFonts w:ascii="Arial" w:hAnsi="Arial" w:cs="Arial"/>
                <w:b/>
                <w:sz w:val="24"/>
                <w:szCs w:val="24"/>
                <w:lang w:val="en-US"/>
              </w:rPr>
              <w:t>Indicators</w:t>
            </w:r>
          </w:p>
        </w:tc>
        <w:tc>
          <w:tcPr>
            <w:tcW w:w="196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5D0139CF" w14:textId="77777777" w:rsidR="00F25042" w:rsidRPr="00CD3530" w:rsidRDefault="00F25042" w:rsidP="00F25042">
            <w:pPr>
              <w:spacing w:after="120"/>
              <w:rPr>
                <w:rFonts w:ascii="Arial" w:hAnsi="Arial" w:cs="Arial"/>
                <w:b/>
                <w:sz w:val="24"/>
                <w:szCs w:val="24"/>
                <w:lang w:val="en-US"/>
              </w:rPr>
            </w:pPr>
            <w:r w:rsidRPr="00CD3530">
              <w:rPr>
                <w:rFonts w:ascii="Arial" w:hAnsi="Arial" w:cs="Arial"/>
                <w:b/>
                <w:sz w:val="24"/>
                <w:szCs w:val="24"/>
                <w:lang w:val="en-US"/>
              </w:rPr>
              <w:t>Levels of Disaggregation</w:t>
            </w:r>
          </w:p>
        </w:tc>
        <w:tc>
          <w:tcPr>
            <w:tcW w:w="2354"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1313A81F" w14:textId="77777777" w:rsidR="00F25042" w:rsidRPr="00CD3530" w:rsidRDefault="00F25042" w:rsidP="00F25042">
            <w:pPr>
              <w:spacing w:after="120"/>
              <w:rPr>
                <w:rFonts w:ascii="Arial" w:hAnsi="Arial" w:cs="Arial"/>
                <w:b/>
                <w:sz w:val="24"/>
                <w:szCs w:val="24"/>
                <w:lang w:val="en-US"/>
              </w:rPr>
            </w:pPr>
            <w:r w:rsidRPr="00CD3530">
              <w:rPr>
                <w:rFonts w:ascii="Arial" w:hAnsi="Arial" w:cs="Arial"/>
                <w:b/>
                <w:sz w:val="24"/>
                <w:szCs w:val="24"/>
                <w:lang w:val="en-US"/>
              </w:rPr>
              <w:t>Data Sources</w:t>
            </w:r>
          </w:p>
        </w:tc>
      </w:tr>
      <w:tr w:rsidR="00F25042" w:rsidRPr="00CD3530" w14:paraId="7158E636" w14:textId="77777777" w:rsidTr="00F25042">
        <w:tc>
          <w:tcPr>
            <w:tcW w:w="8954"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2F2F2" w:themeFill="background1" w:themeFillShade="F2"/>
            <w:hideMark/>
          </w:tcPr>
          <w:p w14:paraId="5BAC056C" w14:textId="77777777" w:rsidR="00F25042" w:rsidRPr="00CD3530" w:rsidRDefault="00F25042" w:rsidP="00F25042">
            <w:pPr>
              <w:spacing w:after="120"/>
              <w:rPr>
                <w:rFonts w:ascii="Arial" w:hAnsi="Arial" w:cs="Arial"/>
                <w:sz w:val="24"/>
                <w:szCs w:val="24"/>
                <w:lang w:val="en-US"/>
              </w:rPr>
            </w:pPr>
            <w:r w:rsidRPr="00CD3530">
              <w:rPr>
                <w:rFonts w:ascii="Arial" w:hAnsi="Arial" w:cs="Arial"/>
                <w:b/>
                <w:sz w:val="24"/>
                <w:szCs w:val="24"/>
                <w:lang w:val="en-US"/>
              </w:rPr>
              <w:t>Intermediate Outcomes:</w:t>
            </w:r>
          </w:p>
        </w:tc>
      </w:tr>
      <w:tr w:rsidR="00F25042" w:rsidRPr="00CD3530" w14:paraId="2F4726DC" w14:textId="77777777" w:rsidTr="00F25042">
        <w:tc>
          <w:tcPr>
            <w:tcW w:w="463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A84879F" w14:textId="77777777" w:rsidR="00F25042" w:rsidRPr="00CD3530" w:rsidRDefault="00F25042" w:rsidP="00F25042">
            <w:pPr>
              <w:spacing w:after="120"/>
              <w:rPr>
                <w:rFonts w:ascii="Arial" w:hAnsi="Arial" w:cs="Arial"/>
                <w:sz w:val="24"/>
                <w:szCs w:val="24"/>
                <w:lang w:val="en-US"/>
              </w:rPr>
            </w:pPr>
            <w:r w:rsidRPr="00F60D37">
              <w:rPr>
                <w:rFonts w:ascii="Arial" w:hAnsi="Arial" w:cs="Arial"/>
                <w:sz w:val="24"/>
                <w:szCs w:val="24"/>
                <w:lang w:val="en-US"/>
              </w:rPr>
              <w:t>Degree/extent to which SMC members, teachers, men, women perceive women/girls as equal to men/boys</w:t>
            </w:r>
          </w:p>
        </w:tc>
        <w:tc>
          <w:tcPr>
            <w:tcW w:w="196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4953CF14" w14:textId="77777777" w:rsidR="00F25042" w:rsidRPr="00CD3530" w:rsidRDefault="00F25042" w:rsidP="00F25042">
            <w:pPr>
              <w:spacing w:after="120"/>
              <w:rPr>
                <w:rFonts w:ascii="Arial" w:hAnsi="Arial" w:cs="Arial"/>
                <w:sz w:val="24"/>
                <w:szCs w:val="24"/>
                <w:lang w:val="en-US"/>
              </w:rPr>
            </w:pPr>
            <w:r>
              <w:rPr>
                <w:rFonts w:ascii="Arial" w:hAnsi="Arial" w:cs="Arial"/>
                <w:sz w:val="24"/>
                <w:szCs w:val="24"/>
                <w:lang w:val="en-US"/>
              </w:rPr>
              <w:t>Sex</w:t>
            </w:r>
          </w:p>
        </w:tc>
        <w:tc>
          <w:tcPr>
            <w:tcW w:w="2354"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F3C16E5" w14:textId="77777777" w:rsidR="00F25042" w:rsidRPr="00CD3530" w:rsidRDefault="00F25042" w:rsidP="00F25042">
            <w:pPr>
              <w:spacing w:after="120"/>
              <w:rPr>
                <w:rFonts w:ascii="Arial" w:hAnsi="Arial" w:cs="Arial"/>
                <w:sz w:val="24"/>
                <w:szCs w:val="24"/>
                <w:lang w:val="en-US"/>
              </w:rPr>
            </w:pPr>
            <w:r>
              <w:rPr>
                <w:rFonts w:ascii="Arial" w:hAnsi="Arial" w:cs="Arial"/>
                <w:sz w:val="24"/>
                <w:szCs w:val="24"/>
                <w:lang w:val="en-US"/>
              </w:rPr>
              <w:t>Teachers and SMC/MMC members</w:t>
            </w:r>
          </w:p>
        </w:tc>
      </w:tr>
    </w:tbl>
    <w:p w14:paraId="57AA8D54" w14:textId="77777777" w:rsidR="00F25042" w:rsidRDefault="00F25042" w:rsidP="00F25042">
      <w:pPr>
        <w:autoSpaceDE w:val="0"/>
        <w:autoSpaceDN w:val="0"/>
        <w:adjustRightInd w:val="0"/>
        <w:spacing w:after="120" w:line="240" w:lineRule="auto"/>
        <w:rPr>
          <w:rFonts w:ascii="Arial" w:hAnsi="Arial" w:cs="Arial"/>
          <w:sz w:val="24"/>
          <w:szCs w:val="24"/>
        </w:rPr>
      </w:pPr>
    </w:p>
    <w:p w14:paraId="44FCAD53" w14:textId="77777777" w:rsidR="00F25042" w:rsidRPr="0021044A" w:rsidRDefault="00F25042" w:rsidP="00F25042">
      <w:pPr>
        <w:autoSpaceDE w:val="0"/>
        <w:autoSpaceDN w:val="0"/>
        <w:adjustRightInd w:val="0"/>
        <w:spacing w:after="120" w:line="240" w:lineRule="auto"/>
        <w:rPr>
          <w:rFonts w:ascii="Arial" w:hAnsi="Arial" w:cs="Arial"/>
          <w:sz w:val="24"/>
          <w:szCs w:val="24"/>
        </w:rPr>
      </w:pPr>
      <w:r>
        <w:rPr>
          <w:rFonts w:ascii="Arial" w:hAnsi="Arial" w:cs="Arial"/>
          <w:sz w:val="24"/>
          <w:szCs w:val="24"/>
        </w:rPr>
        <w:t>A selection of teachers from the targeted 440 schools have been trained in GEMs curriculum for delivery with their students. The sample of teachers and SMC/MMC members would be randomly selected from this sample frame with an expected sample of about 420 teachers/SMC/MMC members.</w:t>
      </w:r>
    </w:p>
    <w:p w14:paraId="2C9232E1" w14:textId="4A563455" w:rsidR="00F25042" w:rsidRPr="007A4C5F" w:rsidRDefault="002F3ED2" w:rsidP="00F25042">
      <w:pPr>
        <w:spacing w:after="120" w:line="240" w:lineRule="auto"/>
        <w:rPr>
          <w:rFonts w:ascii="Arial" w:hAnsi="Arial" w:cs="Arial"/>
          <w:b/>
          <w:bCs/>
          <w:sz w:val="24"/>
          <w:szCs w:val="24"/>
          <w:lang w:val="en-US"/>
        </w:rPr>
      </w:pPr>
      <w:r>
        <w:rPr>
          <w:rFonts w:ascii="Arial" w:hAnsi="Arial" w:cs="Arial"/>
          <w:b/>
          <w:bCs/>
          <w:sz w:val="24"/>
          <w:szCs w:val="24"/>
          <w:lang w:val="en-US"/>
        </w:rPr>
        <w:t>4</w:t>
      </w:r>
      <w:r w:rsidR="00F25042" w:rsidRPr="007A4C5F">
        <w:rPr>
          <w:rFonts w:ascii="Arial" w:hAnsi="Arial" w:cs="Arial"/>
          <w:b/>
          <w:bCs/>
          <w:sz w:val="24"/>
          <w:szCs w:val="24"/>
          <w:lang w:val="en-US"/>
        </w:rPr>
        <w:t>.</w:t>
      </w:r>
      <w:r w:rsidR="00F25042">
        <w:rPr>
          <w:rFonts w:ascii="Arial" w:hAnsi="Arial" w:cs="Arial"/>
          <w:b/>
          <w:bCs/>
          <w:sz w:val="24"/>
          <w:szCs w:val="24"/>
          <w:lang w:val="en-US"/>
        </w:rPr>
        <w:t>5</w:t>
      </w:r>
      <w:r w:rsidR="00F25042" w:rsidRPr="007A4C5F">
        <w:rPr>
          <w:rFonts w:ascii="Arial" w:hAnsi="Arial" w:cs="Arial"/>
          <w:b/>
          <w:bCs/>
          <w:sz w:val="24"/>
          <w:szCs w:val="24"/>
          <w:lang w:val="en-US"/>
        </w:rPr>
        <w:t xml:space="preserve"> CMPC Committee Assessment</w:t>
      </w:r>
    </w:p>
    <w:p w14:paraId="7FB6A086" w14:textId="77777777" w:rsidR="00F25042" w:rsidRDefault="00F25042" w:rsidP="00F25042">
      <w:pPr>
        <w:spacing w:after="120" w:line="240" w:lineRule="auto"/>
        <w:rPr>
          <w:rFonts w:ascii="Arial" w:hAnsi="Arial" w:cs="Arial"/>
          <w:sz w:val="24"/>
          <w:szCs w:val="24"/>
          <w:lang w:val="en-US"/>
        </w:rPr>
      </w:pPr>
      <w:r>
        <w:rPr>
          <w:rFonts w:ascii="Arial" w:hAnsi="Arial" w:cs="Arial"/>
          <w:sz w:val="24"/>
          <w:szCs w:val="24"/>
          <w:lang w:val="en-US"/>
        </w:rPr>
        <w:t>The CMPC Committee Assessment will respond to the below indicator within the PMF:</w:t>
      </w:r>
    </w:p>
    <w:p w14:paraId="1C393D20" w14:textId="77777777" w:rsidR="00F25042" w:rsidRPr="00CD3530" w:rsidRDefault="00F25042" w:rsidP="00F25042">
      <w:pPr>
        <w:spacing w:after="120" w:line="240" w:lineRule="auto"/>
        <w:rPr>
          <w:rFonts w:ascii="Arial" w:hAnsi="Arial" w:cs="Arial"/>
          <w:b/>
          <w:sz w:val="24"/>
          <w:szCs w:val="24"/>
          <w:lang w:val="en-US"/>
        </w:rPr>
      </w:pPr>
      <w:r w:rsidRPr="00CD3530">
        <w:rPr>
          <w:rFonts w:ascii="Arial" w:hAnsi="Arial" w:cs="Arial"/>
          <w:b/>
          <w:sz w:val="24"/>
          <w:szCs w:val="24"/>
          <w:lang w:val="en-US"/>
        </w:rPr>
        <w:t xml:space="preserve">Table </w:t>
      </w:r>
      <w:r>
        <w:rPr>
          <w:rFonts w:ascii="Arial" w:hAnsi="Arial" w:cs="Arial"/>
          <w:b/>
          <w:sz w:val="24"/>
          <w:szCs w:val="24"/>
          <w:lang w:val="en-US"/>
        </w:rPr>
        <w:t>6</w:t>
      </w:r>
      <w:r w:rsidRPr="00CD3530">
        <w:rPr>
          <w:rFonts w:ascii="Arial" w:hAnsi="Arial" w:cs="Arial"/>
          <w:b/>
          <w:sz w:val="24"/>
          <w:szCs w:val="24"/>
          <w:lang w:val="en-US"/>
        </w:rPr>
        <w:t xml:space="preserve">: PMF Indicators Covered by </w:t>
      </w:r>
      <w:r>
        <w:rPr>
          <w:rFonts w:ascii="Arial" w:hAnsi="Arial" w:cs="Arial"/>
          <w:b/>
          <w:sz w:val="24"/>
          <w:szCs w:val="24"/>
          <w:lang w:val="en-US"/>
        </w:rPr>
        <w:t>CMPC Committee Assessment</w:t>
      </w:r>
    </w:p>
    <w:tbl>
      <w:tblPr>
        <w:tblW w:w="0" w:type="auto"/>
        <w:tblInd w:w="360"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4637"/>
        <w:gridCol w:w="1963"/>
        <w:gridCol w:w="2354"/>
      </w:tblGrid>
      <w:tr w:rsidR="00F25042" w:rsidRPr="00B97218" w14:paraId="48F84413" w14:textId="77777777" w:rsidTr="00F25042">
        <w:tc>
          <w:tcPr>
            <w:tcW w:w="463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5AEAC59F" w14:textId="77777777" w:rsidR="00F25042" w:rsidRPr="00B97218" w:rsidRDefault="00F25042" w:rsidP="00F25042">
            <w:pPr>
              <w:spacing w:after="120"/>
              <w:rPr>
                <w:rFonts w:ascii="Arial" w:hAnsi="Arial" w:cs="Arial"/>
                <w:b/>
                <w:sz w:val="24"/>
                <w:szCs w:val="24"/>
                <w:lang w:val="en-US"/>
              </w:rPr>
            </w:pPr>
            <w:r w:rsidRPr="00B97218">
              <w:rPr>
                <w:rFonts w:ascii="Arial" w:hAnsi="Arial" w:cs="Arial"/>
                <w:b/>
                <w:sz w:val="24"/>
                <w:szCs w:val="24"/>
                <w:lang w:val="en-US"/>
              </w:rPr>
              <w:t>Indicators</w:t>
            </w:r>
          </w:p>
        </w:tc>
        <w:tc>
          <w:tcPr>
            <w:tcW w:w="196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7BAC4C29" w14:textId="77777777" w:rsidR="00F25042" w:rsidRPr="00B97218" w:rsidRDefault="00F25042" w:rsidP="00F25042">
            <w:pPr>
              <w:spacing w:after="120"/>
              <w:rPr>
                <w:rFonts w:ascii="Arial" w:hAnsi="Arial" w:cs="Arial"/>
                <w:b/>
                <w:sz w:val="24"/>
                <w:szCs w:val="24"/>
                <w:lang w:val="en-US"/>
              </w:rPr>
            </w:pPr>
            <w:r w:rsidRPr="00B97218">
              <w:rPr>
                <w:rFonts w:ascii="Arial" w:hAnsi="Arial" w:cs="Arial"/>
                <w:b/>
                <w:sz w:val="24"/>
                <w:szCs w:val="24"/>
                <w:lang w:val="en-US"/>
              </w:rPr>
              <w:t>Levels of Disaggregation</w:t>
            </w:r>
          </w:p>
        </w:tc>
        <w:tc>
          <w:tcPr>
            <w:tcW w:w="2354"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4F81BD" w:themeFill="accent1"/>
            <w:hideMark/>
          </w:tcPr>
          <w:p w14:paraId="1BF2B436" w14:textId="77777777" w:rsidR="00F25042" w:rsidRPr="00B97218" w:rsidRDefault="00F25042" w:rsidP="00F25042">
            <w:pPr>
              <w:spacing w:after="120"/>
              <w:rPr>
                <w:rFonts w:ascii="Arial" w:hAnsi="Arial" w:cs="Arial"/>
                <w:b/>
                <w:sz w:val="24"/>
                <w:szCs w:val="24"/>
                <w:lang w:val="en-US"/>
              </w:rPr>
            </w:pPr>
            <w:r w:rsidRPr="00B97218">
              <w:rPr>
                <w:rFonts w:ascii="Arial" w:hAnsi="Arial" w:cs="Arial"/>
                <w:b/>
                <w:sz w:val="24"/>
                <w:szCs w:val="24"/>
                <w:lang w:val="en-US"/>
              </w:rPr>
              <w:t>Data Sources</w:t>
            </w:r>
          </w:p>
        </w:tc>
      </w:tr>
      <w:tr w:rsidR="00F25042" w:rsidRPr="00B97218" w14:paraId="1362101B" w14:textId="77777777" w:rsidTr="00F25042">
        <w:tc>
          <w:tcPr>
            <w:tcW w:w="8954"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2F2F2" w:themeFill="background1" w:themeFillShade="F2"/>
            <w:hideMark/>
          </w:tcPr>
          <w:p w14:paraId="7758592D" w14:textId="77777777" w:rsidR="00F25042" w:rsidRPr="00B97218" w:rsidRDefault="00F25042" w:rsidP="00F25042">
            <w:pPr>
              <w:spacing w:after="120"/>
              <w:rPr>
                <w:rFonts w:ascii="Arial" w:hAnsi="Arial" w:cs="Arial"/>
                <w:sz w:val="24"/>
                <w:szCs w:val="24"/>
                <w:lang w:val="en-US"/>
              </w:rPr>
            </w:pPr>
            <w:r w:rsidRPr="00B97218">
              <w:rPr>
                <w:rFonts w:ascii="Arial" w:hAnsi="Arial" w:cs="Arial"/>
                <w:b/>
                <w:sz w:val="24"/>
                <w:szCs w:val="24"/>
                <w:lang w:val="en-US"/>
              </w:rPr>
              <w:t>Intermediate Outcomes:</w:t>
            </w:r>
          </w:p>
        </w:tc>
      </w:tr>
      <w:tr w:rsidR="00F25042" w:rsidRPr="00B97218" w14:paraId="2BC99D1E" w14:textId="77777777" w:rsidTr="00F25042">
        <w:tc>
          <w:tcPr>
            <w:tcW w:w="463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34109FEB" w14:textId="77777777" w:rsidR="00F25042" w:rsidRPr="00B97218" w:rsidRDefault="00F25042" w:rsidP="00F25042">
            <w:pPr>
              <w:spacing w:after="120"/>
              <w:rPr>
                <w:rFonts w:ascii="Arial" w:hAnsi="Arial" w:cs="Arial"/>
                <w:sz w:val="24"/>
                <w:szCs w:val="24"/>
                <w:lang w:val="en-US"/>
              </w:rPr>
            </w:pPr>
            <w:r w:rsidRPr="00032B84">
              <w:rPr>
                <w:rFonts w:ascii="Arial" w:hAnsi="Arial" w:cs="Arial"/>
                <w:sz w:val="24"/>
                <w:szCs w:val="24"/>
                <w:lang w:val="en-US"/>
              </w:rPr>
              <w:t>Percentage of CMPCs functioning as per CMRA 2017 guidelines</w:t>
            </w:r>
          </w:p>
        </w:tc>
        <w:tc>
          <w:tcPr>
            <w:tcW w:w="196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hideMark/>
          </w:tcPr>
          <w:p w14:paraId="7CD3D87A" w14:textId="77777777" w:rsidR="00F25042" w:rsidRPr="00B97218" w:rsidRDefault="00F25042" w:rsidP="00F25042">
            <w:pPr>
              <w:spacing w:after="120"/>
              <w:rPr>
                <w:rFonts w:ascii="Arial" w:hAnsi="Arial" w:cs="Arial"/>
                <w:sz w:val="24"/>
                <w:szCs w:val="24"/>
                <w:lang w:val="en-US"/>
              </w:rPr>
            </w:pPr>
            <w:r>
              <w:rPr>
                <w:rFonts w:ascii="Arial" w:hAnsi="Arial" w:cs="Arial"/>
                <w:sz w:val="24"/>
                <w:szCs w:val="24"/>
                <w:lang w:val="en-US"/>
              </w:rPr>
              <w:t>Level: Union, Upazila, District</w:t>
            </w:r>
          </w:p>
        </w:tc>
        <w:tc>
          <w:tcPr>
            <w:tcW w:w="2354"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624C5EA" w14:textId="77777777" w:rsidR="00F25042" w:rsidRPr="00B97218" w:rsidRDefault="00F25042" w:rsidP="00F25042">
            <w:pPr>
              <w:spacing w:after="120"/>
              <w:rPr>
                <w:rFonts w:ascii="Arial" w:hAnsi="Arial" w:cs="Arial"/>
                <w:sz w:val="24"/>
                <w:szCs w:val="24"/>
                <w:lang w:val="en-US"/>
              </w:rPr>
            </w:pPr>
            <w:r>
              <w:rPr>
                <w:rFonts w:ascii="Arial" w:hAnsi="Arial" w:cs="Arial"/>
                <w:sz w:val="24"/>
                <w:szCs w:val="24"/>
                <w:lang w:val="en-US"/>
              </w:rPr>
              <w:t>CMPC representatives</w:t>
            </w:r>
          </w:p>
        </w:tc>
      </w:tr>
    </w:tbl>
    <w:p w14:paraId="709D4C15" w14:textId="77777777" w:rsidR="00F25042" w:rsidRDefault="00F25042" w:rsidP="00F25042">
      <w:pPr>
        <w:spacing w:after="120" w:line="240" w:lineRule="auto"/>
        <w:rPr>
          <w:rFonts w:ascii="Arial" w:hAnsi="Arial" w:cs="Arial"/>
          <w:sz w:val="24"/>
          <w:szCs w:val="24"/>
        </w:rPr>
      </w:pPr>
    </w:p>
    <w:p w14:paraId="5D7CA6B5" w14:textId="77777777" w:rsidR="00F25042" w:rsidRPr="00761CC1" w:rsidRDefault="00F25042" w:rsidP="00F25042">
      <w:pPr>
        <w:autoSpaceDE w:val="0"/>
        <w:autoSpaceDN w:val="0"/>
        <w:adjustRightInd w:val="0"/>
        <w:spacing w:after="0" w:line="240" w:lineRule="auto"/>
        <w:jc w:val="both"/>
        <w:rPr>
          <w:rFonts w:ascii="Arial" w:hAnsi="Arial" w:cs="Arial"/>
          <w:sz w:val="24"/>
          <w:szCs w:val="24"/>
          <w:lang w:val="en-US"/>
        </w:rPr>
      </w:pPr>
      <w:r w:rsidRPr="00761CC1">
        <w:rPr>
          <w:rFonts w:ascii="Arial" w:hAnsi="Arial" w:cs="Arial"/>
          <w:sz w:val="24"/>
          <w:szCs w:val="24"/>
          <w:lang w:val="en-US"/>
        </w:rPr>
        <w:t>The CMPC assessment will put an emphasis on the functionality of these formal Child Protection Actors. Plan International supports an effective child protection system comprised not only the institutions of government, but also the children themselves, their families, communities and the wider civil society. Each have their</w:t>
      </w:r>
      <w:r w:rsidRPr="00761CC1">
        <w:rPr>
          <w:rFonts w:ascii="Arial" w:hAnsi="Arial" w:cs="Arial"/>
          <w:lang w:val="en-US"/>
        </w:rPr>
        <w:t xml:space="preserve"> </w:t>
      </w:r>
      <w:r w:rsidRPr="00761CC1">
        <w:rPr>
          <w:rFonts w:ascii="Arial" w:hAnsi="Arial" w:cs="Arial"/>
          <w:sz w:val="24"/>
          <w:szCs w:val="24"/>
          <w:lang w:val="en-US"/>
        </w:rPr>
        <w:t xml:space="preserve">responsibilities and play their role in protecting children. </w:t>
      </w:r>
    </w:p>
    <w:p w14:paraId="121448F2" w14:textId="77777777" w:rsidR="00F25042" w:rsidRPr="00761CC1" w:rsidRDefault="00F25042" w:rsidP="00F25042">
      <w:pPr>
        <w:autoSpaceDE w:val="0"/>
        <w:autoSpaceDN w:val="0"/>
        <w:adjustRightInd w:val="0"/>
        <w:spacing w:after="0" w:line="240" w:lineRule="auto"/>
        <w:jc w:val="both"/>
        <w:rPr>
          <w:rFonts w:ascii="Arial" w:hAnsi="Arial" w:cs="Arial"/>
          <w:sz w:val="24"/>
          <w:szCs w:val="24"/>
          <w:lang w:val="en-US"/>
        </w:rPr>
      </w:pPr>
    </w:p>
    <w:p w14:paraId="2F3F2190" w14:textId="77777777" w:rsidR="00F25042" w:rsidRPr="00761CC1" w:rsidRDefault="00F25042" w:rsidP="00F25042">
      <w:pPr>
        <w:spacing w:after="0" w:line="240" w:lineRule="auto"/>
        <w:jc w:val="both"/>
        <w:rPr>
          <w:rFonts w:ascii="Arial" w:hAnsi="Arial" w:cs="Arial"/>
          <w:b/>
          <w:bCs/>
          <w:i/>
          <w:sz w:val="24"/>
          <w:szCs w:val="24"/>
          <w:lang w:val="en-US"/>
        </w:rPr>
      </w:pPr>
      <w:r w:rsidRPr="00761CC1">
        <w:rPr>
          <w:rFonts w:ascii="Arial" w:hAnsi="Arial" w:cs="Arial"/>
          <w:b/>
          <w:bCs/>
          <w:i/>
          <w:sz w:val="24"/>
          <w:szCs w:val="24"/>
          <w:lang w:val="en-US"/>
        </w:rPr>
        <w:t>Functionality of CMPCs:</w:t>
      </w:r>
    </w:p>
    <w:p w14:paraId="23F76D40" w14:textId="77777777" w:rsidR="00F25042" w:rsidRPr="00761CC1" w:rsidRDefault="00F25042" w:rsidP="00EC2C20">
      <w:pPr>
        <w:pStyle w:val="ListParagraph"/>
        <w:numPr>
          <w:ilvl w:val="0"/>
          <w:numId w:val="12"/>
        </w:numPr>
        <w:spacing w:line="240" w:lineRule="auto"/>
        <w:jc w:val="both"/>
        <w:rPr>
          <w:rFonts w:ascii="Arial" w:hAnsi="Arial" w:cs="Arial"/>
          <w:sz w:val="24"/>
          <w:szCs w:val="24"/>
          <w:lang w:val="en-US"/>
        </w:rPr>
      </w:pPr>
      <w:r w:rsidRPr="00761CC1">
        <w:rPr>
          <w:rFonts w:ascii="Arial" w:hAnsi="Arial" w:cs="Arial"/>
          <w:sz w:val="24"/>
          <w:szCs w:val="24"/>
          <w:lang w:val="en-US"/>
        </w:rPr>
        <w:t xml:space="preserve">Legal and policy framework (including customary by-laws) of CMPCs that support their mandate.  </w:t>
      </w:r>
    </w:p>
    <w:p w14:paraId="66270537" w14:textId="77777777" w:rsidR="00F25042" w:rsidRPr="00761CC1" w:rsidRDefault="00F25042" w:rsidP="00EC2C20">
      <w:pPr>
        <w:pStyle w:val="ListParagraph"/>
        <w:numPr>
          <w:ilvl w:val="0"/>
          <w:numId w:val="12"/>
        </w:numPr>
        <w:spacing w:line="240" w:lineRule="auto"/>
        <w:jc w:val="both"/>
        <w:rPr>
          <w:rFonts w:ascii="Arial" w:hAnsi="Arial" w:cs="Arial"/>
          <w:sz w:val="24"/>
          <w:szCs w:val="24"/>
          <w:lang w:val="en-US"/>
        </w:rPr>
      </w:pPr>
      <w:r w:rsidRPr="00761CC1">
        <w:rPr>
          <w:rFonts w:ascii="Arial" w:hAnsi="Arial" w:cs="Arial"/>
          <w:sz w:val="24"/>
          <w:szCs w:val="24"/>
          <w:lang w:val="en-US"/>
        </w:rPr>
        <w:t xml:space="preserve">Existence of CMPC actors and their mandate on providing protective responses, reporting incidents &amp; seeking/referring CP services. </w:t>
      </w:r>
    </w:p>
    <w:p w14:paraId="02000E70" w14:textId="77777777" w:rsidR="00F25042" w:rsidRPr="00761CC1" w:rsidRDefault="00F25042" w:rsidP="00EC2C20">
      <w:pPr>
        <w:pStyle w:val="ListParagraph"/>
        <w:numPr>
          <w:ilvl w:val="0"/>
          <w:numId w:val="12"/>
        </w:numPr>
        <w:spacing w:after="0" w:line="240" w:lineRule="auto"/>
        <w:jc w:val="both"/>
        <w:rPr>
          <w:rFonts w:ascii="Arial" w:hAnsi="Arial" w:cs="Arial"/>
          <w:b/>
          <w:bCs/>
          <w:sz w:val="24"/>
          <w:szCs w:val="24"/>
          <w:lang w:val="en-US"/>
        </w:rPr>
      </w:pPr>
      <w:r w:rsidRPr="00761CC1">
        <w:rPr>
          <w:rFonts w:ascii="Arial" w:hAnsi="Arial" w:cs="Arial"/>
          <w:sz w:val="24"/>
          <w:szCs w:val="24"/>
          <w:lang w:val="en-US"/>
        </w:rPr>
        <w:t>Structure: type and number of members, frequency of meetings, formal organizational structure</w:t>
      </w:r>
    </w:p>
    <w:p w14:paraId="5736910A" w14:textId="77777777" w:rsidR="00F25042" w:rsidRPr="00761CC1" w:rsidRDefault="00F25042" w:rsidP="00EC2C20">
      <w:pPr>
        <w:pStyle w:val="ListParagraph"/>
        <w:numPr>
          <w:ilvl w:val="0"/>
          <w:numId w:val="12"/>
        </w:numPr>
        <w:spacing w:after="0" w:line="240" w:lineRule="auto"/>
        <w:jc w:val="both"/>
        <w:rPr>
          <w:rFonts w:ascii="Arial" w:hAnsi="Arial" w:cs="Arial"/>
          <w:sz w:val="24"/>
          <w:szCs w:val="24"/>
          <w:lang w:val="en-US"/>
        </w:rPr>
      </w:pPr>
      <w:r w:rsidRPr="00761CC1">
        <w:rPr>
          <w:rFonts w:ascii="Arial" w:hAnsi="Arial" w:cs="Arial"/>
          <w:sz w:val="24"/>
          <w:szCs w:val="24"/>
          <w:lang w:val="en-US"/>
        </w:rPr>
        <w:lastRenderedPageBreak/>
        <w:t xml:space="preserve">Knowledge of other CP actors, prioritizing documented or ad-hoc knowledge of CP front line workers on their roles and responsibilities addressing CP issues. </w:t>
      </w:r>
    </w:p>
    <w:p w14:paraId="636708DF" w14:textId="77777777" w:rsidR="00F25042" w:rsidRPr="00761CC1" w:rsidRDefault="00F25042" w:rsidP="00EC2C20">
      <w:pPr>
        <w:pStyle w:val="ListParagraph"/>
        <w:numPr>
          <w:ilvl w:val="0"/>
          <w:numId w:val="12"/>
        </w:numPr>
        <w:spacing w:after="0" w:line="240" w:lineRule="auto"/>
        <w:jc w:val="both"/>
        <w:rPr>
          <w:rFonts w:ascii="Arial" w:hAnsi="Arial" w:cs="Arial"/>
          <w:sz w:val="24"/>
          <w:szCs w:val="24"/>
          <w:lang w:val="en-US"/>
        </w:rPr>
      </w:pPr>
      <w:r w:rsidRPr="00761CC1">
        <w:rPr>
          <w:rFonts w:ascii="Arial" w:hAnsi="Arial" w:cs="Arial"/>
          <w:sz w:val="24"/>
          <w:szCs w:val="24"/>
          <w:lang w:val="en-US"/>
        </w:rPr>
        <w:t>Existence, knowledge and functionality of CP referral pathways and protocols between CP formal actors – based on case management protocols.</w:t>
      </w:r>
    </w:p>
    <w:p w14:paraId="02CC347F" w14:textId="77777777" w:rsidR="00F25042" w:rsidRPr="00761CC1" w:rsidRDefault="00F25042" w:rsidP="00EC2C20">
      <w:pPr>
        <w:pStyle w:val="ListParagraph"/>
        <w:numPr>
          <w:ilvl w:val="0"/>
          <w:numId w:val="12"/>
        </w:numPr>
        <w:spacing w:after="0" w:line="240" w:lineRule="auto"/>
        <w:jc w:val="both"/>
        <w:rPr>
          <w:rFonts w:ascii="Arial" w:hAnsi="Arial" w:cs="Arial"/>
          <w:sz w:val="24"/>
          <w:szCs w:val="24"/>
          <w:lang w:val="en-US"/>
        </w:rPr>
      </w:pPr>
      <w:r w:rsidRPr="00761CC1">
        <w:rPr>
          <w:rFonts w:ascii="Arial" w:hAnsi="Arial" w:cs="Arial"/>
          <w:sz w:val="24"/>
          <w:szCs w:val="24"/>
          <w:lang w:val="en-US"/>
        </w:rPr>
        <w:t>Communication and linkages (protocols, guidelines, or informal/ad hoc) within and between formal and informal CP actors (including linkages between CP actors and other systems such health, social welfare and justice)</w:t>
      </w:r>
    </w:p>
    <w:p w14:paraId="6F06ABAC" w14:textId="77777777" w:rsidR="00F25042" w:rsidRPr="00761CC1" w:rsidRDefault="00F25042" w:rsidP="00F25042">
      <w:pPr>
        <w:pStyle w:val="ListParagraph"/>
        <w:spacing w:after="0" w:line="240" w:lineRule="auto"/>
        <w:ind w:left="644"/>
        <w:jc w:val="both"/>
        <w:rPr>
          <w:rFonts w:ascii="Arial" w:hAnsi="Arial" w:cs="Arial"/>
          <w:sz w:val="24"/>
          <w:szCs w:val="24"/>
          <w:lang w:val="en-US"/>
        </w:rPr>
      </w:pPr>
    </w:p>
    <w:p w14:paraId="6DF4E6E3" w14:textId="01F31845" w:rsidR="00F25042" w:rsidRDefault="00F25042" w:rsidP="00F25042">
      <w:pPr>
        <w:spacing w:line="240" w:lineRule="auto"/>
        <w:jc w:val="both"/>
        <w:rPr>
          <w:rFonts w:ascii="Arial" w:hAnsi="Arial" w:cs="Arial"/>
          <w:sz w:val="24"/>
          <w:szCs w:val="24"/>
          <w:lang w:val="en-US"/>
        </w:rPr>
      </w:pPr>
      <w:r w:rsidRPr="00761CC1">
        <w:rPr>
          <w:rFonts w:ascii="Arial" w:hAnsi="Arial" w:cs="Arial"/>
          <w:sz w:val="24"/>
          <w:szCs w:val="24"/>
          <w:lang w:val="en-US"/>
        </w:rPr>
        <w:t>Additionally, the CMPC assessment will assess the overall state and functionality of CMPCs supported by the project.</w:t>
      </w:r>
    </w:p>
    <w:p w14:paraId="4752B781" w14:textId="77777777" w:rsidR="002F3ED2" w:rsidRPr="00905DD8" w:rsidRDefault="002F3ED2" w:rsidP="00EC2C20">
      <w:pPr>
        <w:pStyle w:val="ListParagraph"/>
        <w:numPr>
          <w:ilvl w:val="0"/>
          <w:numId w:val="3"/>
        </w:numPr>
        <w:spacing w:after="120" w:line="240" w:lineRule="auto"/>
        <w:contextualSpacing w:val="0"/>
        <w:rPr>
          <w:rFonts w:ascii="Arial" w:hAnsi="Arial" w:cs="Arial"/>
          <w:b/>
          <w:sz w:val="24"/>
          <w:szCs w:val="24"/>
        </w:rPr>
      </w:pPr>
      <w:r>
        <w:rPr>
          <w:rFonts w:ascii="Arial" w:hAnsi="Arial" w:cs="Arial"/>
          <w:b/>
          <w:sz w:val="24"/>
          <w:szCs w:val="24"/>
        </w:rPr>
        <w:t>Scope of Work for Consultancy</w:t>
      </w:r>
    </w:p>
    <w:p w14:paraId="4B56B8B0" w14:textId="6D7EEBA9" w:rsidR="002F3ED2" w:rsidRPr="000F0007" w:rsidRDefault="002F3ED2" w:rsidP="00EC2C20">
      <w:pPr>
        <w:pStyle w:val="ListParagraph"/>
        <w:numPr>
          <w:ilvl w:val="1"/>
          <w:numId w:val="15"/>
        </w:numPr>
        <w:spacing w:after="120" w:line="240" w:lineRule="auto"/>
        <w:jc w:val="both"/>
        <w:rPr>
          <w:rFonts w:ascii="Arial" w:hAnsi="Arial" w:cs="Arial"/>
          <w:b/>
          <w:bCs/>
          <w:color w:val="000000" w:themeColor="text1"/>
          <w:sz w:val="24"/>
          <w:szCs w:val="24"/>
        </w:rPr>
      </w:pPr>
      <w:r w:rsidRPr="000F0007">
        <w:rPr>
          <w:rFonts w:ascii="Arial" w:hAnsi="Arial" w:cs="Arial"/>
          <w:b/>
          <w:bCs/>
          <w:color w:val="000000" w:themeColor="text1"/>
          <w:sz w:val="24"/>
          <w:szCs w:val="24"/>
        </w:rPr>
        <w:t>Data Collection Scope</w:t>
      </w:r>
    </w:p>
    <w:p w14:paraId="58F81632" w14:textId="77777777" w:rsidR="002F3ED2" w:rsidRPr="00FD6FA0" w:rsidRDefault="002F3ED2" w:rsidP="002F3ED2">
      <w:pPr>
        <w:spacing w:after="120" w:line="240" w:lineRule="auto"/>
        <w:jc w:val="both"/>
        <w:rPr>
          <w:rFonts w:ascii="Arial" w:hAnsi="Arial" w:cs="Arial"/>
          <w:sz w:val="24"/>
          <w:szCs w:val="24"/>
          <w:lang w:val="en-US"/>
        </w:rPr>
      </w:pPr>
      <w:r w:rsidRPr="00413543">
        <w:rPr>
          <w:rFonts w:ascii="Arial" w:hAnsi="Arial" w:cs="Arial"/>
          <w:sz w:val="24"/>
          <w:szCs w:val="24"/>
          <w:lang w:val="en-US"/>
        </w:rPr>
        <w:t>The scope of work will preferably include, but not limited to</w:t>
      </w:r>
      <w:r>
        <w:rPr>
          <w:rFonts w:ascii="Arial" w:hAnsi="Arial" w:cs="Arial"/>
          <w:sz w:val="24"/>
          <w:szCs w:val="24"/>
          <w:lang w:val="en-US"/>
        </w:rPr>
        <w:t xml:space="preserve"> a</w:t>
      </w:r>
      <w:r w:rsidRPr="00FD6FA0">
        <w:rPr>
          <w:rFonts w:ascii="Arial" w:hAnsi="Arial" w:cs="Arial"/>
          <w:color w:val="000000" w:themeColor="text1"/>
          <w:sz w:val="24"/>
          <w:szCs w:val="24"/>
        </w:rPr>
        <w:t xml:space="preserve"> total of five </w:t>
      </w:r>
      <w:r w:rsidRPr="00FD6FA0">
        <w:rPr>
          <w:rFonts w:ascii="Arial" w:hAnsi="Arial" w:cs="Arial"/>
          <w:color w:val="000000" w:themeColor="text1"/>
          <w:sz w:val="24"/>
          <w:szCs w:val="24"/>
          <w:lang w:val="en-US"/>
        </w:rPr>
        <w:t>data collection instruments have been designed to respond to key project indicators which will be administered at midline:</w:t>
      </w:r>
    </w:p>
    <w:p w14:paraId="40786956" w14:textId="77777777" w:rsidR="002F3ED2" w:rsidRPr="005A2783" w:rsidRDefault="002F3ED2" w:rsidP="00EC2C20">
      <w:pPr>
        <w:pStyle w:val="ListParagraph"/>
        <w:numPr>
          <w:ilvl w:val="1"/>
          <w:numId w:val="5"/>
        </w:numPr>
        <w:spacing w:after="0" w:line="240" w:lineRule="auto"/>
        <w:ind w:left="994"/>
        <w:contextualSpacing w:val="0"/>
        <w:rPr>
          <w:rFonts w:ascii="Arial" w:hAnsi="Arial" w:cs="Arial"/>
          <w:color w:val="000000" w:themeColor="text1"/>
          <w:sz w:val="24"/>
          <w:szCs w:val="24"/>
        </w:rPr>
      </w:pPr>
      <w:r>
        <w:rPr>
          <w:rFonts w:ascii="Arial" w:hAnsi="Arial" w:cs="Arial"/>
          <w:color w:val="000000" w:themeColor="text1"/>
          <w:sz w:val="24"/>
          <w:szCs w:val="24"/>
          <w:lang w:val="en-US"/>
        </w:rPr>
        <w:t>Adolescent Girls Survey</w:t>
      </w:r>
    </w:p>
    <w:p w14:paraId="666DD4AB" w14:textId="77777777" w:rsidR="002F3ED2" w:rsidRDefault="002F3ED2" w:rsidP="00EC2C20">
      <w:pPr>
        <w:pStyle w:val="ListParagraph"/>
        <w:numPr>
          <w:ilvl w:val="1"/>
          <w:numId w:val="5"/>
        </w:numPr>
        <w:spacing w:after="0" w:line="240" w:lineRule="auto"/>
        <w:ind w:left="994"/>
        <w:contextualSpacing w:val="0"/>
        <w:rPr>
          <w:rFonts w:ascii="Arial" w:hAnsi="Arial" w:cs="Arial"/>
          <w:color w:val="000000" w:themeColor="text1"/>
          <w:sz w:val="24"/>
          <w:szCs w:val="24"/>
        </w:rPr>
      </w:pPr>
      <w:r>
        <w:rPr>
          <w:rFonts w:ascii="Arial" w:hAnsi="Arial" w:cs="Arial"/>
          <w:color w:val="000000" w:themeColor="text1"/>
          <w:sz w:val="24"/>
          <w:szCs w:val="24"/>
        </w:rPr>
        <w:t>Adolescent Boys Survey</w:t>
      </w:r>
    </w:p>
    <w:p w14:paraId="1E848874" w14:textId="77777777" w:rsidR="002F3ED2" w:rsidRDefault="002F3ED2" w:rsidP="00EC2C20">
      <w:pPr>
        <w:pStyle w:val="ListParagraph"/>
        <w:numPr>
          <w:ilvl w:val="1"/>
          <w:numId w:val="5"/>
        </w:numPr>
        <w:spacing w:after="0" w:line="240" w:lineRule="auto"/>
        <w:ind w:left="994"/>
        <w:contextualSpacing w:val="0"/>
        <w:rPr>
          <w:rFonts w:ascii="Arial" w:hAnsi="Arial" w:cs="Arial"/>
          <w:color w:val="000000" w:themeColor="text1"/>
          <w:sz w:val="24"/>
          <w:szCs w:val="24"/>
        </w:rPr>
      </w:pPr>
      <w:r>
        <w:rPr>
          <w:rFonts w:ascii="Arial" w:hAnsi="Arial" w:cs="Arial"/>
          <w:color w:val="000000" w:themeColor="text1"/>
          <w:sz w:val="24"/>
          <w:szCs w:val="24"/>
        </w:rPr>
        <w:t>Parent Survey</w:t>
      </w:r>
    </w:p>
    <w:p w14:paraId="5D7385EF" w14:textId="77777777" w:rsidR="002F3ED2" w:rsidRDefault="002F3ED2" w:rsidP="00EC2C20">
      <w:pPr>
        <w:pStyle w:val="ListParagraph"/>
        <w:numPr>
          <w:ilvl w:val="1"/>
          <w:numId w:val="5"/>
        </w:numPr>
        <w:spacing w:after="0" w:line="240" w:lineRule="auto"/>
        <w:ind w:left="994"/>
        <w:contextualSpacing w:val="0"/>
        <w:rPr>
          <w:rFonts w:ascii="Arial" w:hAnsi="Arial" w:cs="Arial"/>
          <w:color w:val="000000" w:themeColor="text1"/>
          <w:sz w:val="24"/>
          <w:szCs w:val="24"/>
        </w:rPr>
      </w:pPr>
      <w:r>
        <w:rPr>
          <w:rFonts w:ascii="Arial" w:hAnsi="Arial" w:cs="Arial"/>
          <w:color w:val="000000" w:themeColor="text1"/>
          <w:sz w:val="24"/>
          <w:szCs w:val="24"/>
        </w:rPr>
        <w:t>Teacher/SMC/MMC Survey</w:t>
      </w:r>
    </w:p>
    <w:p w14:paraId="33E5F9B7" w14:textId="77777777" w:rsidR="002F3ED2" w:rsidRDefault="002F3ED2" w:rsidP="00EC2C20">
      <w:pPr>
        <w:pStyle w:val="ListParagraph"/>
        <w:numPr>
          <w:ilvl w:val="1"/>
          <w:numId w:val="5"/>
        </w:numPr>
        <w:spacing w:after="12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CMPC Committee Assessment </w:t>
      </w:r>
    </w:p>
    <w:p w14:paraId="18A9BDCB" w14:textId="77777777" w:rsidR="002F3ED2" w:rsidRDefault="002F3ED2" w:rsidP="002F3ED2">
      <w:pPr>
        <w:spacing w:after="120" w:line="240" w:lineRule="auto"/>
        <w:rPr>
          <w:rFonts w:ascii="Arial" w:hAnsi="Arial" w:cs="Arial"/>
          <w:color w:val="000000" w:themeColor="text1"/>
          <w:sz w:val="24"/>
          <w:szCs w:val="24"/>
        </w:rPr>
      </w:pPr>
      <w:r>
        <w:rPr>
          <w:rFonts w:ascii="Arial" w:hAnsi="Arial" w:cs="Arial"/>
          <w:color w:val="000000" w:themeColor="text1"/>
          <w:sz w:val="24"/>
          <w:szCs w:val="24"/>
        </w:rPr>
        <w:t>The following activities should also be ensured by the consultant for the survey:</w:t>
      </w:r>
    </w:p>
    <w:p w14:paraId="42E2E631" w14:textId="77777777" w:rsidR="002F3ED2" w:rsidRPr="00286A9D"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286A9D">
        <w:rPr>
          <w:rFonts w:ascii="Arial" w:hAnsi="Arial" w:cs="Arial"/>
          <w:color w:val="000000" w:themeColor="text1"/>
          <w:sz w:val="24"/>
          <w:szCs w:val="24"/>
        </w:rPr>
        <w:t>Validation and revision of data collection tools and methodology, including sample sizes</w:t>
      </w:r>
    </w:p>
    <w:p w14:paraId="15A5D0A7" w14:textId="77777777" w:rsidR="002F3ED2" w:rsidRPr="00286A9D"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286A9D">
        <w:rPr>
          <w:rFonts w:ascii="Arial" w:hAnsi="Arial" w:cs="Arial"/>
          <w:color w:val="000000" w:themeColor="text1"/>
          <w:sz w:val="24"/>
          <w:szCs w:val="24"/>
        </w:rPr>
        <w:t xml:space="preserve">Training of enumerators on data collection </w:t>
      </w:r>
    </w:p>
    <w:p w14:paraId="15424AE5" w14:textId="77777777" w:rsidR="002F3ED2" w:rsidRPr="00286A9D"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286A9D">
        <w:rPr>
          <w:rFonts w:ascii="Arial" w:hAnsi="Arial" w:cs="Arial"/>
          <w:color w:val="000000" w:themeColor="text1"/>
          <w:sz w:val="24"/>
          <w:szCs w:val="24"/>
        </w:rPr>
        <w:t>Carry out field data collection ensuring data integrity through adequate supervision</w:t>
      </w:r>
    </w:p>
    <w:p w14:paraId="2B3FFDD2" w14:textId="77777777" w:rsidR="002F3ED2" w:rsidRPr="00286A9D"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286A9D">
        <w:rPr>
          <w:rFonts w:ascii="Arial" w:hAnsi="Arial" w:cs="Arial"/>
          <w:color w:val="000000" w:themeColor="text1"/>
          <w:sz w:val="24"/>
          <w:szCs w:val="24"/>
        </w:rPr>
        <w:t>Entering data into dataset and carry out comprehensive cleaning</w:t>
      </w:r>
    </w:p>
    <w:p w14:paraId="50F937D5" w14:textId="77777777" w:rsidR="002F3ED2"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286A9D">
        <w:rPr>
          <w:rFonts w:ascii="Arial" w:hAnsi="Arial" w:cs="Arial"/>
          <w:color w:val="000000" w:themeColor="text1"/>
          <w:sz w:val="24"/>
          <w:szCs w:val="24"/>
        </w:rPr>
        <w:t>Process indicator calculations</w:t>
      </w:r>
    </w:p>
    <w:p w14:paraId="65F6C78F" w14:textId="1B1E821D" w:rsidR="002F3ED2" w:rsidRDefault="002F3ED2" w:rsidP="00EC2C20">
      <w:pPr>
        <w:pStyle w:val="ListParagraph"/>
        <w:numPr>
          <w:ilvl w:val="0"/>
          <w:numId w:val="14"/>
        </w:numPr>
        <w:spacing w:after="120" w:line="240" w:lineRule="auto"/>
        <w:jc w:val="both"/>
        <w:rPr>
          <w:rFonts w:ascii="Arial" w:hAnsi="Arial" w:cs="Arial"/>
          <w:color w:val="000000" w:themeColor="text1"/>
          <w:sz w:val="24"/>
          <w:szCs w:val="24"/>
        </w:rPr>
      </w:pPr>
      <w:r w:rsidRPr="00082B59">
        <w:rPr>
          <w:rFonts w:ascii="Arial" w:hAnsi="Arial" w:cs="Arial"/>
          <w:color w:val="000000" w:themeColor="text1"/>
          <w:sz w:val="24"/>
          <w:szCs w:val="24"/>
        </w:rPr>
        <w:t>Prepare report comparing midline to baseline findings</w:t>
      </w:r>
    </w:p>
    <w:p w14:paraId="7C724063" w14:textId="77777777" w:rsidR="002F3ED2" w:rsidRPr="002F3ED2" w:rsidRDefault="002F3ED2" w:rsidP="002F3ED2">
      <w:pPr>
        <w:pStyle w:val="ListParagraph"/>
        <w:spacing w:after="120" w:line="240" w:lineRule="auto"/>
        <w:jc w:val="both"/>
        <w:rPr>
          <w:rFonts w:ascii="Arial" w:hAnsi="Arial" w:cs="Arial"/>
          <w:color w:val="000000" w:themeColor="text1"/>
          <w:sz w:val="24"/>
          <w:szCs w:val="24"/>
        </w:rPr>
      </w:pPr>
    </w:p>
    <w:p w14:paraId="674A778B" w14:textId="77777777" w:rsidR="00F25042" w:rsidRPr="00047F1C" w:rsidRDefault="00F25042" w:rsidP="00EC2C20">
      <w:pPr>
        <w:numPr>
          <w:ilvl w:val="0"/>
          <w:numId w:val="3"/>
        </w:numPr>
        <w:spacing w:after="120" w:line="240" w:lineRule="auto"/>
        <w:rPr>
          <w:rFonts w:ascii="Arial" w:hAnsi="Arial" w:cs="Arial"/>
          <w:b/>
          <w:bCs/>
          <w:sz w:val="24"/>
          <w:szCs w:val="24"/>
          <w:lang w:val="en-US"/>
        </w:rPr>
      </w:pPr>
      <w:r w:rsidRPr="00047F1C">
        <w:rPr>
          <w:rFonts w:ascii="Arial" w:hAnsi="Arial" w:cs="Arial"/>
          <w:b/>
          <w:bCs/>
          <w:sz w:val="24"/>
          <w:szCs w:val="24"/>
          <w:lang w:val="en-US"/>
        </w:rPr>
        <w:t>CHILD &amp; YOUNG PEOPLE SAFEGUARDING</w:t>
      </w:r>
    </w:p>
    <w:p w14:paraId="2ED8EAAF"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Plan International is committed to actively safeguarding children and young people from harm that could result from participating in this midline study. Plan takes seriously the commitment to promote child safe practices and protect children from harm, abuse, neglect and any form of exploitation as they come into contact with Plan International supported interventions, such as the midline study. In addition, we will take positive action to prevent child abusers from becoming involved with Plan International in any way and take stringent measures against any Plan International Staff and/or Associate who abuses a child. Decisions and actions in response to child protection and safeguarding concerns will be guided by the principle of ‘the best interests of the child.’</w:t>
      </w:r>
    </w:p>
    <w:p w14:paraId="3C6C15E3" w14:textId="77777777" w:rsidR="008F156A" w:rsidRDefault="008F156A" w:rsidP="00F25042">
      <w:pPr>
        <w:spacing w:after="120" w:line="240" w:lineRule="auto"/>
        <w:jc w:val="both"/>
        <w:rPr>
          <w:rFonts w:ascii="Arial" w:hAnsi="Arial" w:cs="Arial"/>
          <w:sz w:val="24"/>
          <w:szCs w:val="24"/>
          <w:lang w:val="en-US"/>
        </w:rPr>
      </w:pPr>
    </w:p>
    <w:p w14:paraId="52B01796" w14:textId="4BBD68D8"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lastRenderedPageBreak/>
        <w:t xml:space="preserve">The midline study will involve conducting interviews with diverse children and adolescents exploring sensitive topics, such as sexual activity and gender-based violence. The study must, therefore, ensure </w:t>
      </w:r>
      <w:r w:rsidRPr="00047F1C">
        <w:rPr>
          <w:rFonts w:ascii="Arial" w:hAnsi="Arial" w:cs="Arial"/>
          <w:b/>
          <w:bCs/>
          <w:sz w:val="24"/>
          <w:szCs w:val="24"/>
          <w:lang w:val="en-US"/>
        </w:rPr>
        <w:t>ethical,</w:t>
      </w:r>
      <w:r w:rsidRPr="00047F1C">
        <w:rPr>
          <w:rFonts w:ascii="Arial" w:hAnsi="Arial" w:cs="Arial"/>
          <w:sz w:val="24"/>
          <w:szCs w:val="24"/>
          <w:lang w:val="en-US"/>
        </w:rPr>
        <w:t xml:space="preserve"> </w:t>
      </w:r>
      <w:r w:rsidRPr="00047F1C">
        <w:rPr>
          <w:rFonts w:ascii="Arial" w:hAnsi="Arial" w:cs="Arial"/>
          <w:b/>
          <w:sz w:val="24"/>
          <w:szCs w:val="24"/>
          <w:lang w:val="en-US"/>
        </w:rPr>
        <w:t>appropriate, safe (including trauma-informed), non-discriminatory participation; stressing young people’s views from diverse backgrounds with diverse identities are collected; a process of free and un-coerced consent and withdrawal; confidentiality and anonymity of participants</w:t>
      </w:r>
      <w:r w:rsidRPr="00047F1C">
        <w:rPr>
          <w:rFonts w:ascii="Arial" w:hAnsi="Arial" w:cs="Arial"/>
          <w:sz w:val="24"/>
          <w:szCs w:val="24"/>
          <w:lang w:val="en-US"/>
        </w:rPr>
        <w:t>. Environments and working methods should be adapted to the capacities and experiences of diverse groups of adolescents; time and resources should be made available to ensure that adolescents in all their diversity are adequately prepared and have the confidence and opportunity to contribute their views.</w:t>
      </w:r>
    </w:p>
    <w:p w14:paraId="4885B16E"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Consultants are required to provide a statement within their proposal on how they will ensure ethics and safeguarding of adolescents in all their diversity in the different stages of the study — including design of study and tools, recruitment and training of enumerators</w:t>
      </w:r>
      <w:r w:rsidRPr="00047F1C">
        <w:rPr>
          <w:rFonts w:ascii="Arial" w:hAnsi="Arial" w:cs="Arial"/>
          <w:sz w:val="24"/>
          <w:szCs w:val="24"/>
          <w:vertAlign w:val="superscript"/>
          <w:lang w:val="en-US"/>
        </w:rPr>
        <w:footnoteReference w:id="6"/>
      </w:r>
      <w:r w:rsidRPr="00047F1C">
        <w:rPr>
          <w:rFonts w:ascii="Arial" w:hAnsi="Arial" w:cs="Arial"/>
          <w:sz w:val="24"/>
          <w:szCs w:val="24"/>
          <w:lang w:val="en-US"/>
        </w:rPr>
        <w:t>, data collection and analysis, visits and report writing, dissemination of results — in line with Plan International’s Child and Young People Safeguarding Policy. This must also consider any risks related to the study and how these will be mitigated. Consideration must be given to:</w:t>
      </w:r>
    </w:p>
    <w:p w14:paraId="4BF49DEE"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Safeguards to protect the confidentiality of those participating in the study</w:t>
      </w:r>
    </w:p>
    <w:p w14:paraId="025B8C8E"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Data protection and secure maintenance procedures for personal information</w:t>
      </w:r>
    </w:p>
    <w:p w14:paraId="0D2BD5F1"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Caregivers’ consent concerning data collection from adolescents and collation of data about adolescents</w:t>
      </w:r>
    </w:p>
    <w:p w14:paraId="65BB346D"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Age-appropriate assent processes for those below the age of 18</w:t>
      </w:r>
    </w:p>
    <w:p w14:paraId="59D71B12"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Prevention and mitigation of risks young participants may face as a result of participating in this study</w:t>
      </w:r>
    </w:p>
    <w:p w14:paraId="2C365828" w14:textId="77777777" w:rsidR="00F25042" w:rsidRPr="008F156A" w:rsidRDefault="00F25042" w:rsidP="00F25042">
      <w:pPr>
        <w:spacing w:after="120" w:line="240" w:lineRule="auto"/>
        <w:rPr>
          <w:rFonts w:ascii="Arial" w:hAnsi="Arial" w:cs="Arial"/>
          <w:sz w:val="6"/>
          <w:szCs w:val="24"/>
          <w:lang w:val="en-US"/>
        </w:rPr>
      </w:pPr>
    </w:p>
    <w:p w14:paraId="3BE0CF79" w14:textId="77777777" w:rsidR="00F25042" w:rsidRPr="00047F1C" w:rsidRDefault="00F25042" w:rsidP="00EC2C20">
      <w:pPr>
        <w:numPr>
          <w:ilvl w:val="0"/>
          <w:numId w:val="3"/>
        </w:numPr>
        <w:spacing w:after="120" w:line="240" w:lineRule="auto"/>
        <w:rPr>
          <w:rFonts w:ascii="Arial" w:hAnsi="Arial" w:cs="Arial"/>
          <w:b/>
          <w:bCs/>
          <w:sz w:val="24"/>
          <w:szCs w:val="24"/>
          <w:lang w:val="en-US"/>
        </w:rPr>
      </w:pPr>
      <w:r w:rsidRPr="00047F1C">
        <w:rPr>
          <w:rFonts w:ascii="Arial" w:hAnsi="Arial" w:cs="Arial"/>
          <w:b/>
          <w:bCs/>
          <w:sz w:val="24"/>
          <w:szCs w:val="24"/>
          <w:lang w:val="en-US"/>
        </w:rPr>
        <w:t xml:space="preserve">RISK MANAGEMENT </w:t>
      </w:r>
    </w:p>
    <w:p w14:paraId="3A841FBC" w14:textId="77777777" w:rsidR="00F25042" w:rsidRPr="00047F1C" w:rsidRDefault="00F25042" w:rsidP="00F25042">
      <w:pPr>
        <w:spacing w:after="120" w:line="240" w:lineRule="auto"/>
        <w:rPr>
          <w:rFonts w:ascii="Arial" w:hAnsi="Arial" w:cs="Arial"/>
          <w:sz w:val="24"/>
          <w:szCs w:val="24"/>
          <w:lang w:val="en-US"/>
        </w:rPr>
      </w:pPr>
      <w:r w:rsidRPr="00047F1C">
        <w:rPr>
          <w:rFonts w:ascii="Arial" w:hAnsi="Arial" w:cs="Arial"/>
          <w:sz w:val="24"/>
          <w:szCs w:val="24"/>
          <w:lang w:val="en-US"/>
        </w:rPr>
        <w:t>The Consultant must take all reasonable measures to mitigate any potential risk to the delivery of the required outputs of this consultancy on time and meeting the expected quality. As such, bidders should submit a risk management plan that covers (at minimum):</w:t>
      </w:r>
    </w:p>
    <w:p w14:paraId="79C253C6"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Key assumptions underpinning the successful completion of the Midline study, anticipated challenges and estimates of the level of risk for each risk identified</w:t>
      </w:r>
    </w:p>
    <w:p w14:paraId="2F14C306"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Contingency plans that will be put in place to mitigate against any occurrence of each of the identified risks</w:t>
      </w:r>
    </w:p>
    <w:p w14:paraId="4A8A8CD4"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Specific child safeguarding risks and mitigating strategies</w:t>
      </w:r>
    </w:p>
    <w:p w14:paraId="40497E14" w14:textId="77777777" w:rsidR="00F25042" w:rsidRPr="008F156A" w:rsidRDefault="00F25042" w:rsidP="00F25042">
      <w:pPr>
        <w:spacing w:after="120" w:line="240" w:lineRule="auto"/>
        <w:rPr>
          <w:rFonts w:ascii="Arial" w:hAnsi="Arial" w:cs="Arial"/>
          <w:sz w:val="10"/>
          <w:szCs w:val="24"/>
          <w:lang w:val="en-US"/>
        </w:rPr>
      </w:pPr>
    </w:p>
    <w:p w14:paraId="5E768FAB" w14:textId="77777777" w:rsidR="00F25042" w:rsidRPr="00047F1C" w:rsidRDefault="00F25042" w:rsidP="00EC2C20">
      <w:pPr>
        <w:numPr>
          <w:ilvl w:val="0"/>
          <w:numId w:val="3"/>
        </w:numPr>
        <w:spacing w:after="120" w:line="240" w:lineRule="auto"/>
        <w:rPr>
          <w:rFonts w:ascii="Arial" w:hAnsi="Arial" w:cs="Arial"/>
          <w:b/>
          <w:sz w:val="24"/>
          <w:szCs w:val="24"/>
          <w:lang w:val="en-US"/>
        </w:rPr>
      </w:pPr>
      <w:r w:rsidRPr="00047F1C">
        <w:rPr>
          <w:rFonts w:ascii="Arial" w:hAnsi="Arial" w:cs="Arial"/>
          <w:b/>
          <w:sz w:val="24"/>
          <w:szCs w:val="24"/>
          <w:lang w:val="en-US"/>
        </w:rPr>
        <w:t>DATA QUALITY ASSURANCE</w:t>
      </w:r>
    </w:p>
    <w:p w14:paraId="05727B20" w14:textId="77777777" w:rsidR="00F25042" w:rsidRPr="00047F1C" w:rsidRDefault="00F25042" w:rsidP="00F25042">
      <w:pPr>
        <w:spacing w:after="120" w:line="240" w:lineRule="auto"/>
        <w:rPr>
          <w:rFonts w:ascii="Arial" w:hAnsi="Arial" w:cs="Arial"/>
          <w:sz w:val="24"/>
          <w:szCs w:val="24"/>
          <w:lang w:val="en-US"/>
        </w:rPr>
      </w:pPr>
      <w:r w:rsidRPr="00047F1C">
        <w:rPr>
          <w:rFonts w:ascii="Arial" w:hAnsi="Arial" w:cs="Arial"/>
          <w:sz w:val="24"/>
          <w:szCs w:val="24"/>
          <w:lang w:val="en-US"/>
        </w:rPr>
        <w:t>The Consultant is required to submit a quality assurance plan that sets out the systems and processes for ensuring the quality of all key deliverables from the start to end of this consultancy. This should include the proposed approaches to:</w:t>
      </w:r>
    </w:p>
    <w:p w14:paraId="13EA3299"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Piloting of all tools</w:t>
      </w:r>
    </w:p>
    <w:p w14:paraId="1AA3E55C"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Training of enumerators, field supervisors, facilitators, interviewers, and note-takers including in child protection and research ethics</w:t>
      </w:r>
    </w:p>
    <w:p w14:paraId="1CA2C2BB"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lastRenderedPageBreak/>
        <w:t>Logistical and management planning</w:t>
      </w:r>
    </w:p>
    <w:p w14:paraId="2B153E47"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Field work protocols and data verification, including back-checking and quality control by supervisors</w:t>
      </w:r>
    </w:p>
    <w:p w14:paraId="6902E210"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Data cleaning and editing.</w:t>
      </w:r>
    </w:p>
    <w:p w14:paraId="2EA76976" w14:textId="77777777" w:rsidR="00F25042" w:rsidRPr="00047F1C" w:rsidRDefault="00F25042" w:rsidP="00F25042">
      <w:pPr>
        <w:spacing w:after="120" w:line="240" w:lineRule="auto"/>
        <w:rPr>
          <w:rFonts w:ascii="Arial" w:hAnsi="Arial" w:cs="Arial"/>
          <w:b/>
          <w:bCs/>
          <w:sz w:val="24"/>
          <w:szCs w:val="24"/>
          <w:lang w:val="en-US"/>
        </w:rPr>
      </w:pPr>
    </w:p>
    <w:p w14:paraId="6785B20D" w14:textId="77777777" w:rsidR="00F25042" w:rsidRPr="00047F1C" w:rsidRDefault="00F25042" w:rsidP="00EC2C20">
      <w:pPr>
        <w:numPr>
          <w:ilvl w:val="0"/>
          <w:numId w:val="3"/>
        </w:numPr>
        <w:spacing w:after="120" w:line="240" w:lineRule="auto"/>
        <w:rPr>
          <w:rFonts w:ascii="Arial" w:hAnsi="Arial" w:cs="Arial"/>
          <w:b/>
          <w:bCs/>
          <w:sz w:val="24"/>
          <w:szCs w:val="24"/>
          <w:lang w:val="en-US"/>
        </w:rPr>
      </w:pPr>
      <w:r w:rsidRPr="00047F1C">
        <w:rPr>
          <w:rFonts w:ascii="Arial" w:hAnsi="Arial" w:cs="Arial"/>
          <w:b/>
          <w:bCs/>
          <w:sz w:val="24"/>
          <w:szCs w:val="24"/>
          <w:lang w:val="en-US"/>
        </w:rPr>
        <w:t>ETHICS APPROVAL</w:t>
      </w:r>
    </w:p>
    <w:p w14:paraId="0F0C82EE"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 xml:space="preserve">If applicable, the Consultant must coordinate with Plan International </w:t>
      </w:r>
      <w:r>
        <w:rPr>
          <w:rFonts w:ascii="Arial" w:hAnsi="Arial" w:cs="Arial"/>
          <w:sz w:val="24"/>
          <w:szCs w:val="24"/>
          <w:lang w:val="en-US"/>
        </w:rPr>
        <w:t xml:space="preserve">Bangladesh </w:t>
      </w:r>
      <w:r w:rsidRPr="00047F1C">
        <w:rPr>
          <w:rFonts w:ascii="Arial" w:hAnsi="Arial" w:cs="Arial"/>
          <w:sz w:val="24"/>
          <w:szCs w:val="24"/>
          <w:lang w:val="en-US"/>
        </w:rPr>
        <w:t>to obtain and adhere to research ethics approval processes of any other relevant bodies before commencement of data collection. Full ethics approval will be obtained before the midline activities commence, as required.</w:t>
      </w:r>
    </w:p>
    <w:p w14:paraId="6E078EA5" w14:textId="77777777" w:rsidR="00F25042" w:rsidRPr="00047F1C" w:rsidRDefault="00F25042" w:rsidP="00EC2C20">
      <w:pPr>
        <w:numPr>
          <w:ilvl w:val="0"/>
          <w:numId w:val="3"/>
        </w:numPr>
        <w:spacing w:after="120" w:line="240" w:lineRule="auto"/>
        <w:rPr>
          <w:rFonts w:ascii="Arial" w:hAnsi="Arial" w:cs="Arial"/>
          <w:b/>
          <w:bCs/>
          <w:sz w:val="24"/>
          <w:szCs w:val="24"/>
          <w:lang w:val="en-US"/>
        </w:rPr>
      </w:pPr>
      <w:r w:rsidRPr="00047F1C">
        <w:rPr>
          <w:rFonts w:ascii="Arial" w:hAnsi="Arial" w:cs="Arial"/>
          <w:b/>
          <w:bCs/>
          <w:sz w:val="24"/>
          <w:szCs w:val="24"/>
          <w:lang w:val="en-US"/>
        </w:rPr>
        <w:t>DISCLOSURE AND OWNDERSHIP OF INFORMATION</w:t>
      </w:r>
    </w:p>
    <w:p w14:paraId="32F833E6"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 xml:space="preserve">It is understood and agreed that the Consultant shall, during and after the effective period of the contract, treat as confidential and not divulge, unless authorized in writing by Plan International </w:t>
      </w:r>
      <w:r>
        <w:rPr>
          <w:rFonts w:ascii="Arial" w:hAnsi="Arial" w:cs="Arial"/>
          <w:sz w:val="24"/>
          <w:szCs w:val="24"/>
          <w:lang w:val="en-US"/>
        </w:rPr>
        <w:t>Bangladesh</w:t>
      </w:r>
      <w:r w:rsidRPr="00047F1C">
        <w:rPr>
          <w:rFonts w:ascii="Arial" w:hAnsi="Arial" w:cs="Arial"/>
          <w:sz w:val="24"/>
          <w:szCs w:val="24"/>
          <w:lang w:val="en-US"/>
        </w:rPr>
        <w:t xml:space="preserve">, any information obtained in the course of the performance of the Contract. Information will be made available for the consultants on a need-to-know basis. All required field visits will be facilitated by Plan International </w:t>
      </w:r>
      <w:r>
        <w:rPr>
          <w:rFonts w:ascii="Arial" w:hAnsi="Arial" w:cs="Arial"/>
          <w:sz w:val="24"/>
          <w:szCs w:val="24"/>
          <w:lang w:val="en-US"/>
        </w:rPr>
        <w:t>Bangladesh s</w:t>
      </w:r>
      <w:r w:rsidRPr="00047F1C">
        <w:rPr>
          <w:rFonts w:ascii="Arial" w:hAnsi="Arial" w:cs="Arial"/>
          <w:sz w:val="24"/>
          <w:szCs w:val="24"/>
          <w:lang w:val="en-US"/>
        </w:rPr>
        <w:t>taff.</w:t>
      </w:r>
    </w:p>
    <w:p w14:paraId="76EBBE04"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All ownership and copyright for final data collected during the Midline study is held by Plan International.</w:t>
      </w:r>
    </w:p>
    <w:p w14:paraId="4CE599E3"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Obligations regarding non-disclosure of information and intellectual property rights will be specified in the contract for this consulting mandate.</w:t>
      </w:r>
    </w:p>
    <w:p w14:paraId="1F4D6BD0" w14:textId="77777777" w:rsidR="00F25042" w:rsidRPr="00047F1C" w:rsidRDefault="00F25042" w:rsidP="00EC2C20">
      <w:pPr>
        <w:numPr>
          <w:ilvl w:val="0"/>
          <w:numId w:val="3"/>
        </w:numPr>
        <w:spacing w:after="120" w:line="240" w:lineRule="auto"/>
        <w:rPr>
          <w:rFonts w:ascii="Arial" w:hAnsi="Arial" w:cs="Arial"/>
          <w:b/>
          <w:bCs/>
          <w:sz w:val="24"/>
          <w:szCs w:val="24"/>
          <w:lang w:val="en-US"/>
        </w:rPr>
      </w:pPr>
      <w:r w:rsidRPr="00047F1C">
        <w:rPr>
          <w:rFonts w:ascii="Arial" w:hAnsi="Arial" w:cs="Arial"/>
          <w:b/>
          <w:bCs/>
          <w:sz w:val="24"/>
          <w:szCs w:val="24"/>
          <w:lang w:val="en-US"/>
        </w:rPr>
        <w:t>ROLES, RESPONSIBILITIES AND MANAGEMENT</w:t>
      </w:r>
    </w:p>
    <w:p w14:paraId="782DD5F0" w14:textId="77777777" w:rsidR="00F25042" w:rsidRPr="00047F1C" w:rsidRDefault="00F25042" w:rsidP="00F25042">
      <w:pPr>
        <w:spacing w:after="120" w:line="240" w:lineRule="auto"/>
        <w:jc w:val="both"/>
        <w:rPr>
          <w:rFonts w:ascii="Arial" w:hAnsi="Arial" w:cs="Arial"/>
          <w:sz w:val="24"/>
          <w:szCs w:val="24"/>
          <w:lang w:val="en-US"/>
        </w:rPr>
      </w:pPr>
      <w:r w:rsidRPr="00047F1C">
        <w:rPr>
          <w:rFonts w:ascii="Arial" w:hAnsi="Arial" w:cs="Arial"/>
          <w:sz w:val="24"/>
          <w:szCs w:val="24"/>
          <w:lang w:val="en-US"/>
        </w:rPr>
        <w:t xml:space="preserve">The Consultant will report to the Monitoring &amp; Evaluation (M&amp;E) Technical Advisor in Plan International </w:t>
      </w:r>
      <w:r>
        <w:rPr>
          <w:rFonts w:ascii="Arial" w:hAnsi="Arial" w:cs="Arial"/>
          <w:sz w:val="24"/>
          <w:szCs w:val="24"/>
          <w:lang w:val="en-US"/>
        </w:rPr>
        <w:t>Bangladesh</w:t>
      </w:r>
      <w:r w:rsidRPr="00047F1C">
        <w:rPr>
          <w:rFonts w:ascii="Arial" w:hAnsi="Arial" w:cs="Arial"/>
          <w:sz w:val="24"/>
          <w:szCs w:val="24"/>
          <w:lang w:val="en-US"/>
        </w:rPr>
        <w:t>, who will be responsible for overseeing the overall Midline study process.</w:t>
      </w:r>
      <w:r w:rsidRPr="00047F1C">
        <w:rPr>
          <w:rFonts w:ascii="Arial" w:hAnsi="Arial" w:cs="Arial"/>
          <w:sz w:val="24"/>
          <w:szCs w:val="24"/>
          <w:vertAlign w:val="superscript"/>
          <w:lang w:val="en-US"/>
        </w:rPr>
        <w:footnoteReference w:id="7"/>
      </w:r>
      <w:r w:rsidRPr="00047F1C">
        <w:rPr>
          <w:rFonts w:ascii="Arial" w:hAnsi="Arial" w:cs="Arial"/>
          <w:sz w:val="24"/>
          <w:szCs w:val="24"/>
          <w:lang w:val="en-US"/>
        </w:rPr>
        <w:t xml:space="preserve"> The Consultant will keep the M&amp;E Technical Advisor continually informed on the progress of the assignment through updates via in-person meetings, email and Skype conferences. The Consultant will also collaborate closely with the Plan International Canada program and technical support staff, who will support with the design of the midline study and the development of data collection tools, data quality protocols and procedures to guide data collection</w:t>
      </w:r>
      <w:r w:rsidRPr="00047F1C">
        <w:rPr>
          <w:rFonts w:ascii="Arial" w:hAnsi="Arial" w:cs="Arial"/>
          <w:sz w:val="24"/>
          <w:szCs w:val="24"/>
          <w:vertAlign w:val="superscript"/>
          <w:lang w:val="en-US"/>
        </w:rPr>
        <w:footnoteReference w:id="8"/>
      </w:r>
      <w:r w:rsidRPr="00047F1C">
        <w:rPr>
          <w:rFonts w:ascii="Arial" w:hAnsi="Arial" w:cs="Arial"/>
          <w:sz w:val="24"/>
          <w:szCs w:val="24"/>
          <w:lang w:val="en-US"/>
        </w:rPr>
        <w:t xml:space="preserve"> and entry. </w:t>
      </w:r>
    </w:p>
    <w:p w14:paraId="11754E0E" w14:textId="77777777" w:rsidR="00F25042" w:rsidRPr="00047F1C" w:rsidRDefault="00F25042" w:rsidP="00F25042">
      <w:pPr>
        <w:spacing w:after="120" w:line="240" w:lineRule="auto"/>
        <w:rPr>
          <w:rFonts w:ascii="Arial" w:hAnsi="Arial" w:cs="Arial"/>
          <w:sz w:val="24"/>
          <w:szCs w:val="24"/>
          <w:lang w:val="en-US"/>
        </w:rPr>
      </w:pPr>
      <w:r w:rsidRPr="00047F1C">
        <w:rPr>
          <w:rFonts w:ascii="Arial" w:hAnsi="Arial" w:cs="Arial"/>
          <w:sz w:val="24"/>
          <w:szCs w:val="24"/>
          <w:lang w:val="en-US"/>
        </w:rPr>
        <w:t>The specific roles and responsibilities of the Consultant are as follows:</w:t>
      </w:r>
    </w:p>
    <w:p w14:paraId="5C4017EC"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Review relevant project documents, including the PMF and baseline report</w:t>
      </w:r>
    </w:p>
    <w:p w14:paraId="21E2925A"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Validate sample size for the different data collection efforts and present an overall sampling strategy </w:t>
      </w:r>
    </w:p>
    <w:p w14:paraId="0C154377"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Review and revise data collection tools in coordination with Plan International </w:t>
      </w:r>
      <w:r>
        <w:rPr>
          <w:rFonts w:ascii="Arial" w:hAnsi="Arial" w:cs="Arial"/>
          <w:sz w:val="24"/>
          <w:szCs w:val="24"/>
          <w:lang w:val="en-US"/>
        </w:rPr>
        <w:t>Bangladesh</w:t>
      </w:r>
      <w:r w:rsidRPr="00047F1C">
        <w:rPr>
          <w:rFonts w:ascii="Arial" w:hAnsi="Arial" w:cs="Arial"/>
          <w:sz w:val="24"/>
          <w:szCs w:val="24"/>
          <w:lang w:val="en-US"/>
        </w:rPr>
        <w:t>, ensure that all necessary research ethics approvals are obtained on time, if applicable.</w:t>
      </w:r>
    </w:p>
    <w:p w14:paraId="26C9EB9F"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lastRenderedPageBreak/>
        <w:t>Recruit translators, enumerators/data collectors and field supervisors (as necessary), as well as data entry operators, ensuring gender balance as appropriate</w:t>
      </w:r>
    </w:p>
    <w:p w14:paraId="2B60FFDD"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Prepare and conduct enumerator training, with support from Plan International </w:t>
      </w:r>
      <w:r>
        <w:rPr>
          <w:rFonts w:ascii="Arial" w:hAnsi="Arial" w:cs="Arial"/>
          <w:sz w:val="24"/>
          <w:szCs w:val="24"/>
          <w:lang w:val="en-US"/>
        </w:rPr>
        <w:t>Bangladesh</w:t>
      </w:r>
      <w:r w:rsidRPr="00047F1C">
        <w:rPr>
          <w:rFonts w:ascii="Arial" w:hAnsi="Arial" w:cs="Arial"/>
          <w:sz w:val="24"/>
          <w:szCs w:val="24"/>
          <w:lang w:val="en-US"/>
        </w:rPr>
        <w:t xml:space="preserve"> and the project team, including co-facilitation of a gender equality and child protection component</w:t>
      </w:r>
      <w:r w:rsidRPr="006C10C6">
        <w:rPr>
          <w:rFonts w:ascii="Arial" w:hAnsi="Arial" w:cs="Arial"/>
          <w:sz w:val="24"/>
          <w:szCs w:val="24"/>
          <w:lang w:val="en-US"/>
        </w:rPr>
        <w:footnoteReference w:id="9"/>
      </w:r>
    </w:p>
    <w:p w14:paraId="4344979A"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Ensure all tools are translated into </w:t>
      </w:r>
      <w:r>
        <w:rPr>
          <w:rFonts w:ascii="Arial" w:hAnsi="Arial" w:cs="Arial"/>
          <w:sz w:val="24"/>
          <w:szCs w:val="24"/>
          <w:lang w:val="en-US"/>
        </w:rPr>
        <w:t xml:space="preserve">appropriate </w:t>
      </w:r>
      <w:r w:rsidRPr="00047F1C">
        <w:rPr>
          <w:rFonts w:ascii="Arial" w:hAnsi="Arial" w:cs="Arial"/>
          <w:sz w:val="24"/>
          <w:szCs w:val="24"/>
          <w:lang w:val="en-US"/>
        </w:rPr>
        <w:t>languages and piloted with women, men and adolescent girls and boys prior to enumerator training</w:t>
      </w:r>
    </w:p>
    <w:p w14:paraId="3978D260"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Suggest any changes required to the tools, post-piloting, to Plan </w:t>
      </w:r>
      <w:r>
        <w:rPr>
          <w:rFonts w:ascii="Arial" w:hAnsi="Arial" w:cs="Arial"/>
          <w:sz w:val="24"/>
          <w:szCs w:val="24"/>
          <w:lang w:val="en-US"/>
        </w:rPr>
        <w:t>Bangladesh</w:t>
      </w:r>
      <w:r w:rsidRPr="00047F1C">
        <w:rPr>
          <w:rFonts w:ascii="Arial" w:hAnsi="Arial" w:cs="Arial"/>
          <w:sz w:val="24"/>
          <w:szCs w:val="24"/>
          <w:lang w:val="en-US"/>
        </w:rPr>
        <w:t xml:space="preserve"> and Plan Canada, with final revisions subject to approval</w:t>
      </w:r>
    </w:p>
    <w:p w14:paraId="6B2B8823"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Oversee data collection including piloting, supervision and spot checking</w:t>
      </w:r>
    </w:p>
    <w:p w14:paraId="001289B3"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Ensure that all data collection activities are gender responsive, adolescent friendly and respect child safeguarding principles</w:t>
      </w:r>
    </w:p>
    <w:p w14:paraId="6239498E"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Establish data entry protocols and oversee data entry as per agreed upon software</w:t>
      </w:r>
    </w:p>
    <w:p w14:paraId="4AC7A8E6"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Submit final cleaned data and provided regular updates on progress in data collection</w:t>
      </w:r>
    </w:p>
    <w:p w14:paraId="68A75EA3"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Review data entry to ensure data quality and consistency, and take corrective actions, where necessary</w:t>
      </w:r>
    </w:p>
    <w:p w14:paraId="77E6804F"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Liaise with the Plan </w:t>
      </w:r>
      <w:r>
        <w:rPr>
          <w:rFonts w:ascii="Arial" w:hAnsi="Arial" w:cs="Arial"/>
          <w:sz w:val="24"/>
          <w:szCs w:val="24"/>
          <w:lang w:val="en-US"/>
        </w:rPr>
        <w:t xml:space="preserve">Bangladesh </w:t>
      </w:r>
      <w:r w:rsidRPr="00047F1C">
        <w:rPr>
          <w:rFonts w:ascii="Arial" w:hAnsi="Arial" w:cs="Arial"/>
          <w:sz w:val="24"/>
          <w:szCs w:val="24"/>
          <w:lang w:val="en-US"/>
        </w:rPr>
        <w:t>and Plan International Canada offices for technical support throughout the process, and integrate feedback provided</w:t>
      </w:r>
    </w:p>
    <w:p w14:paraId="60D54285" w14:textId="77777777" w:rsidR="00F25042" w:rsidRPr="00047F1C" w:rsidRDefault="00F25042" w:rsidP="00EC2C20">
      <w:pPr>
        <w:numPr>
          <w:ilvl w:val="0"/>
          <w:numId w:val="13"/>
        </w:numPr>
        <w:spacing w:after="0" w:line="240" w:lineRule="auto"/>
        <w:rPr>
          <w:rFonts w:ascii="Arial" w:hAnsi="Arial" w:cs="Arial"/>
          <w:sz w:val="24"/>
          <w:szCs w:val="24"/>
          <w:lang w:val="en-US"/>
        </w:rPr>
      </w:pPr>
      <w:r w:rsidRPr="00047F1C">
        <w:rPr>
          <w:rFonts w:ascii="Arial" w:hAnsi="Arial" w:cs="Arial"/>
          <w:sz w:val="24"/>
          <w:szCs w:val="24"/>
          <w:lang w:val="en-US"/>
        </w:rPr>
        <w:t xml:space="preserve">Ensure all training materials and hard copies of raw data are maintained and submitted to Plan </w:t>
      </w:r>
      <w:r>
        <w:rPr>
          <w:rFonts w:ascii="Arial" w:hAnsi="Arial" w:cs="Arial"/>
          <w:sz w:val="24"/>
          <w:szCs w:val="24"/>
          <w:lang w:val="en-US"/>
        </w:rPr>
        <w:t>Bangladesh</w:t>
      </w:r>
      <w:r w:rsidRPr="00047F1C">
        <w:rPr>
          <w:rFonts w:ascii="Arial" w:hAnsi="Arial" w:cs="Arial"/>
          <w:sz w:val="24"/>
          <w:szCs w:val="24"/>
          <w:lang w:val="en-US"/>
        </w:rPr>
        <w:t>, along with a softcopy of the final dataset</w:t>
      </w:r>
      <w:r>
        <w:rPr>
          <w:rFonts w:ascii="Arial" w:hAnsi="Arial" w:cs="Arial"/>
          <w:sz w:val="24"/>
          <w:szCs w:val="24"/>
          <w:lang w:val="en-US"/>
        </w:rPr>
        <w:t>.</w:t>
      </w:r>
    </w:p>
    <w:p w14:paraId="7065D0D7" w14:textId="77777777" w:rsidR="00F25042" w:rsidRPr="00672BF8" w:rsidRDefault="00F25042" w:rsidP="00F25042">
      <w:pPr>
        <w:spacing w:after="120" w:line="240" w:lineRule="auto"/>
        <w:rPr>
          <w:rFonts w:ascii="Arial" w:hAnsi="Arial" w:cs="Arial"/>
          <w:sz w:val="24"/>
          <w:szCs w:val="24"/>
          <w:lang w:val="en-US"/>
        </w:rPr>
      </w:pPr>
    </w:p>
    <w:p w14:paraId="0D09B0DC" w14:textId="77777777" w:rsidR="00F25042" w:rsidRPr="00F545B5" w:rsidRDefault="00F25042" w:rsidP="00EC2C20">
      <w:pPr>
        <w:pStyle w:val="ListParagraph"/>
        <w:numPr>
          <w:ilvl w:val="0"/>
          <w:numId w:val="3"/>
        </w:numPr>
        <w:spacing w:after="120" w:line="240" w:lineRule="auto"/>
        <w:contextualSpacing w:val="0"/>
        <w:rPr>
          <w:rFonts w:ascii="Arial" w:hAnsi="Arial" w:cs="Arial"/>
          <w:b/>
          <w:sz w:val="24"/>
          <w:szCs w:val="24"/>
        </w:rPr>
      </w:pPr>
      <w:r w:rsidRPr="00F545B5">
        <w:rPr>
          <w:rFonts w:ascii="Arial" w:hAnsi="Arial" w:cs="Arial"/>
          <w:b/>
          <w:sz w:val="24"/>
          <w:szCs w:val="24"/>
        </w:rPr>
        <w:t xml:space="preserve">Expected Competencies </w:t>
      </w:r>
    </w:p>
    <w:p w14:paraId="47D29900"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Demonstrated experience in c</w:t>
      </w:r>
      <w:r>
        <w:rPr>
          <w:rFonts w:ascii="Arial" w:hAnsi="Arial" w:cs="Arial"/>
          <w:sz w:val="24"/>
          <w:szCs w:val="24"/>
        </w:rPr>
        <w:t xml:space="preserve">onducting large scale </w:t>
      </w:r>
      <w:r w:rsidRPr="0019166A">
        <w:rPr>
          <w:rFonts w:ascii="Arial" w:hAnsi="Arial" w:cs="Arial"/>
          <w:sz w:val="24"/>
          <w:szCs w:val="24"/>
        </w:rPr>
        <w:t>baseline/</w:t>
      </w:r>
      <w:r>
        <w:rPr>
          <w:rFonts w:ascii="Arial" w:hAnsi="Arial" w:cs="Arial"/>
          <w:sz w:val="24"/>
          <w:szCs w:val="24"/>
        </w:rPr>
        <w:t xml:space="preserve">midline, </w:t>
      </w:r>
      <w:r w:rsidRPr="0019166A">
        <w:rPr>
          <w:rFonts w:ascii="Arial" w:hAnsi="Arial" w:cs="Arial"/>
          <w:sz w:val="24"/>
          <w:szCs w:val="24"/>
        </w:rPr>
        <w:t>end</w:t>
      </w:r>
      <w:r>
        <w:rPr>
          <w:rFonts w:ascii="Arial" w:hAnsi="Arial" w:cs="Arial"/>
          <w:sz w:val="24"/>
          <w:szCs w:val="24"/>
        </w:rPr>
        <w:t xml:space="preserve"> </w:t>
      </w:r>
      <w:r w:rsidRPr="0019166A">
        <w:rPr>
          <w:rFonts w:ascii="Arial" w:hAnsi="Arial" w:cs="Arial"/>
          <w:sz w:val="24"/>
          <w:szCs w:val="24"/>
        </w:rPr>
        <w:t>line studies, including gender-sensitive data collection and entry, data management and storage, preferably for studies involving adolescents</w:t>
      </w:r>
      <w:r>
        <w:rPr>
          <w:rFonts w:ascii="Arial" w:hAnsi="Arial" w:cs="Arial"/>
          <w:sz w:val="24"/>
          <w:szCs w:val="24"/>
        </w:rPr>
        <w:t xml:space="preserve">. </w:t>
      </w:r>
    </w:p>
    <w:p w14:paraId="75446DDD" w14:textId="77777777" w:rsidR="00F25042" w:rsidRPr="004D4265" w:rsidRDefault="00F25042" w:rsidP="00EC2C20">
      <w:pPr>
        <w:pStyle w:val="ListParagraph"/>
        <w:numPr>
          <w:ilvl w:val="0"/>
          <w:numId w:val="6"/>
        </w:numPr>
        <w:spacing w:after="0" w:line="240" w:lineRule="auto"/>
        <w:contextualSpacing w:val="0"/>
        <w:rPr>
          <w:rFonts w:ascii="Arial" w:hAnsi="Arial" w:cs="Arial"/>
          <w:sz w:val="24"/>
          <w:szCs w:val="24"/>
        </w:rPr>
      </w:pPr>
      <w:r w:rsidRPr="004D4265">
        <w:rPr>
          <w:rFonts w:ascii="Arial" w:hAnsi="Arial" w:cs="Arial"/>
          <w:sz w:val="24"/>
          <w:szCs w:val="24"/>
        </w:rPr>
        <w:t>Experie</w:t>
      </w:r>
      <w:r>
        <w:rPr>
          <w:rFonts w:ascii="Arial" w:hAnsi="Arial" w:cs="Arial"/>
          <w:sz w:val="24"/>
          <w:szCs w:val="24"/>
        </w:rPr>
        <w:t>n</w:t>
      </w:r>
      <w:r w:rsidRPr="004D4265">
        <w:rPr>
          <w:rFonts w:ascii="Arial" w:hAnsi="Arial" w:cs="Arial"/>
          <w:sz w:val="24"/>
          <w:szCs w:val="24"/>
        </w:rPr>
        <w:t>ce conducting research with or about children (below age 18) or young people (18-24 years of age), especially about sensitive subjects, such as ASRHR, CEFM or VAC (violence against children)</w:t>
      </w:r>
      <w:r>
        <w:rPr>
          <w:rFonts w:ascii="Arial" w:hAnsi="Arial" w:cs="Arial"/>
          <w:sz w:val="24"/>
          <w:szCs w:val="24"/>
        </w:rPr>
        <w:t>.</w:t>
      </w:r>
    </w:p>
    <w:p w14:paraId="5D37A175"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 xml:space="preserve">Demonstrated expertise in developing quantitative </w:t>
      </w:r>
      <w:r>
        <w:rPr>
          <w:rFonts w:ascii="Arial" w:hAnsi="Arial" w:cs="Arial"/>
          <w:sz w:val="24"/>
          <w:szCs w:val="24"/>
        </w:rPr>
        <w:t xml:space="preserve">methods and </w:t>
      </w:r>
      <w:r w:rsidRPr="0019166A">
        <w:rPr>
          <w:rFonts w:ascii="Arial" w:hAnsi="Arial" w:cs="Arial"/>
          <w:sz w:val="24"/>
          <w:szCs w:val="24"/>
        </w:rPr>
        <w:t>data collection tools</w:t>
      </w:r>
    </w:p>
    <w:p w14:paraId="3A39EE2E"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Demonstrated experience in training, facilitation and supervising survey enumerators and data entry operators to collect and enter data as per high quality standards</w:t>
      </w:r>
    </w:p>
    <w:p w14:paraId="5B732B08"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Experience with mobile data collection is preferred</w:t>
      </w:r>
    </w:p>
    <w:p w14:paraId="6C46C751"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Demonstrated experience in quantitative data analysis</w:t>
      </w:r>
    </w:p>
    <w:p w14:paraId="72596077" w14:textId="77777777" w:rsidR="00F25042" w:rsidRPr="0019166A"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Knowledge and experience with Gender Equality, Child Protection, CEFM and ASRHR issues and policies in Bangladesh</w:t>
      </w:r>
    </w:p>
    <w:p w14:paraId="69D6A0C0" w14:textId="77777777" w:rsidR="00F25042" w:rsidRDefault="00F25042" w:rsidP="00EC2C20">
      <w:pPr>
        <w:pStyle w:val="ListParagraph"/>
        <w:numPr>
          <w:ilvl w:val="0"/>
          <w:numId w:val="6"/>
        </w:numPr>
        <w:spacing w:after="0" w:line="240" w:lineRule="auto"/>
        <w:contextualSpacing w:val="0"/>
        <w:rPr>
          <w:rFonts w:ascii="Arial" w:hAnsi="Arial" w:cs="Arial"/>
          <w:sz w:val="24"/>
          <w:szCs w:val="24"/>
        </w:rPr>
      </w:pPr>
      <w:r w:rsidRPr="0019166A">
        <w:rPr>
          <w:rFonts w:ascii="Arial" w:hAnsi="Arial" w:cs="Arial"/>
          <w:sz w:val="24"/>
          <w:szCs w:val="24"/>
        </w:rPr>
        <w:t>Ability to work collaboratively with Plan International Bangladesh and Plan International Canada, and integrate feedback as required</w:t>
      </w:r>
    </w:p>
    <w:p w14:paraId="69E1D8C3" w14:textId="77777777" w:rsidR="00F25042" w:rsidRDefault="00F25042" w:rsidP="00EC2C20">
      <w:pPr>
        <w:pStyle w:val="ListParagraph"/>
        <w:numPr>
          <w:ilvl w:val="0"/>
          <w:numId w:val="6"/>
        </w:numPr>
        <w:spacing w:after="0" w:line="240" w:lineRule="auto"/>
        <w:contextualSpacing w:val="0"/>
        <w:rPr>
          <w:rFonts w:ascii="Arial" w:hAnsi="Arial" w:cs="Arial"/>
          <w:sz w:val="24"/>
          <w:szCs w:val="24"/>
        </w:rPr>
      </w:pPr>
      <w:r w:rsidRPr="00AF5DB7">
        <w:rPr>
          <w:rFonts w:ascii="Arial" w:hAnsi="Arial" w:cs="Arial"/>
          <w:sz w:val="24"/>
          <w:szCs w:val="24"/>
        </w:rPr>
        <w:t>No history of violation of child</w:t>
      </w:r>
      <w:r>
        <w:rPr>
          <w:rFonts w:ascii="Arial" w:hAnsi="Arial" w:cs="Arial"/>
          <w:sz w:val="24"/>
          <w:szCs w:val="24"/>
        </w:rPr>
        <w:t xml:space="preserve"> and girls’</w:t>
      </w:r>
      <w:r w:rsidRPr="00AF5DB7">
        <w:rPr>
          <w:rFonts w:ascii="Arial" w:hAnsi="Arial" w:cs="Arial"/>
          <w:sz w:val="24"/>
          <w:szCs w:val="24"/>
        </w:rPr>
        <w:t xml:space="preserve"> rights. </w:t>
      </w:r>
    </w:p>
    <w:p w14:paraId="1845AA14" w14:textId="77777777" w:rsidR="00F25042" w:rsidRDefault="00F25042" w:rsidP="00F25042">
      <w:pPr>
        <w:pStyle w:val="ListParagraph"/>
        <w:spacing w:after="0" w:line="240" w:lineRule="auto"/>
        <w:ind w:left="360"/>
        <w:contextualSpacing w:val="0"/>
        <w:rPr>
          <w:rFonts w:ascii="Arial" w:hAnsi="Arial" w:cs="Arial"/>
          <w:sz w:val="24"/>
          <w:szCs w:val="24"/>
        </w:rPr>
      </w:pPr>
    </w:p>
    <w:p w14:paraId="439A70B2" w14:textId="77777777" w:rsidR="00F25042" w:rsidRPr="00310166" w:rsidRDefault="00F25042" w:rsidP="00EC2C20">
      <w:pPr>
        <w:pStyle w:val="ListParagraph"/>
        <w:numPr>
          <w:ilvl w:val="0"/>
          <w:numId w:val="3"/>
        </w:numPr>
        <w:spacing w:after="120" w:line="240" w:lineRule="auto"/>
        <w:contextualSpacing w:val="0"/>
        <w:rPr>
          <w:rFonts w:ascii="Arial" w:hAnsi="Arial" w:cs="Arial"/>
          <w:sz w:val="24"/>
          <w:szCs w:val="24"/>
        </w:rPr>
      </w:pPr>
      <w:r w:rsidRPr="00310166">
        <w:rPr>
          <w:rFonts w:ascii="Arial" w:hAnsi="Arial" w:cs="Arial"/>
          <w:b/>
          <w:sz w:val="24"/>
          <w:szCs w:val="24"/>
        </w:rPr>
        <w:lastRenderedPageBreak/>
        <w:t>Deliverables and Timeframe</w:t>
      </w:r>
    </w:p>
    <w:p w14:paraId="16E235AF" w14:textId="77777777" w:rsidR="00F25042" w:rsidRPr="00D71BE2" w:rsidRDefault="00F25042" w:rsidP="00F25042">
      <w:pPr>
        <w:pStyle w:val="ListParagraph"/>
        <w:spacing w:after="120" w:line="240" w:lineRule="auto"/>
        <w:ind w:left="0"/>
        <w:contextualSpacing w:val="0"/>
        <w:jc w:val="both"/>
        <w:rPr>
          <w:rFonts w:ascii="Arial" w:hAnsi="Arial" w:cs="Arial"/>
          <w:color w:val="000000" w:themeColor="text1"/>
          <w:sz w:val="24"/>
          <w:szCs w:val="24"/>
        </w:rPr>
      </w:pPr>
      <w:r w:rsidRPr="00D71BE2">
        <w:rPr>
          <w:rFonts w:ascii="Arial" w:hAnsi="Arial" w:cs="Arial"/>
          <w:color w:val="000000" w:themeColor="text1"/>
          <w:sz w:val="24"/>
          <w:szCs w:val="24"/>
        </w:rPr>
        <w:t xml:space="preserve">Total duration of the </w:t>
      </w:r>
      <w:r w:rsidRPr="009B5A58">
        <w:rPr>
          <w:rFonts w:ascii="Arial" w:hAnsi="Arial" w:cs="Arial"/>
          <w:color w:val="000000" w:themeColor="text1"/>
          <w:sz w:val="24"/>
          <w:szCs w:val="24"/>
        </w:rPr>
        <w:t>assignment is 90 calendar days after signing of the agreement. It is anticipated that the first draft report will be produced within 70 calendar days of signing of the agreement.</w:t>
      </w:r>
      <w:r w:rsidRPr="009B5A58">
        <w:rPr>
          <w:rFonts w:ascii="Arial" w:hAnsi="Arial" w:cs="Arial"/>
          <w:sz w:val="24"/>
          <w:szCs w:val="24"/>
        </w:rPr>
        <w:t xml:space="preserve"> </w:t>
      </w:r>
      <w:r w:rsidRPr="009B5A58">
        <w:rPr>
          <w:rFonts w:ascii="Arial" w:hAnsi="Arial" w:cs="Arial"/>
          <w:color w:val="000000" w:themeColor="text1"/>
          <w:sz w:val="24"/>
          <w:szCs w:val="24"/>
        </w:rPr>
        <w:t>The final report should be submitted after 10 days of receiving</w:t>
      </w:r>
      <w:r w:rsidRPr="00D71BE2">
        <w:rPr>
          <w:rFonts w:ascii="Arial" w:hAnsi="Arial" w:cs="Arial"/>
          <w:color w:val="000000" w:themeColor="text1"/>
          <w:sz w:val="24"/>
          <w:szCs w:val="24"/>
        </w:rPr>
        <w:t xml:space="preserve"> feedback. Follow up meetings will be held time-to-time between the contracted consultant/consulting firm and </w:t>
      </w:r>
      <w:r w:rsidRPr="00D71BE2">
        <w:rPr>
          <w:rFonts w:ascii="Arial" w:hAnsi="Arial" w:cs="Arial"/>
          <w:sz w:val="24"/>
          <w:szCs w:val="24"/>
        </w:rPr>
        <w:t>Plan International Bangladesh</w:t>
      </w:r>
      <w:r w:rsidRPr="00D71BE2">
        <w:rPr>
          <w:rFonts w:ascii="Arial" w:hAnsi="Arial" w:cs="Arial"/>
          <w:color w:val="000000" w:themeColor="text1"/>
          <w:sz w:val="24"/>
          <w:szCs w:val="24"/>
        </w:rPr>
        <w:t xml:space="preserve">.   </w:t>
      </w:r>
    </w:p>
    <w:p w14:paraId="7F3225F4" w14:textId="77777777" w:rsidR="00F25042" w:rsidRPr="00D71BE2" w:rsidRDefault="00F25042" w:rsidP="00F25042">
      <w:pPr>
        <w:pStyle w:val="ListParagraph"/>
        <w:spacing w:after="120" w:line="240" w:lineRule="auto"/>
        <w:ind w:left="0"/>
        <w:contextualSpacing w:val="0"/>
        <w:rPr>
          <w:rFonts w:ascii="Arial" w:hAnsi="Arial" w:cs="Arial"/>
          <w:color w:val="000000" w:themeColor="text1"/>
          <w:sz w:val="24"/>
          <w:szCs w:val="24"/>
        </w:rPr>
      </w:pPr>
      <w:r w:rsidRPr="00D71BE2">
        <w:rPr>
          <w:rFonts w:ascii="Arial" w:hAnsi="Arial" w:cs="Arial"/>
          <w:color w:val="000000" w:themeColor="text1"/>
          <w:sz w:val="24"/>
          <w:szCs w:val="24"/>
        </w:rPr>
        <w:t>The deliverables are in the following:</w:t>
      </w:r>
    </w:p>
    <w:p w14:paraId="41E7085D" w14:textId="77777777" w:rsidR="00F25042" w:rsidRPr="00D71BE2" w:rsidRDefault="00F25042" w:rsidP="00F25042">
      <w:pPr>
        <w:pStyle w:val="ListParagraph"/>
        <w:spacing w:after="120" w:line="240" w:lineRule="auto"/>
        <w:ind w:left="0"/>
        <w:contextualSpacing w:val="0"/>
        <w:jc w:val="both"/>
        <w:rPr>
          <w:rFonts w:ascii="Arial" w:hAnsi="Arial" w:cs="Arial"/>
          <w:color w:val="000000" w:themeColor="text1"/>
          <w:sz w:val="24"/>
          <w:szCs w:val="24"/>
        </w:rPr>
      </w:pPr>
      <w:r w:rsidRPr="0023167A">
        <w:rPr>
          <w:rFonts w:ascii="Arial" w:hAnsi="Arial" w:cs="Arial"/>
          <w:color w:val="000000" w:themeColor="text1"/>
          <w:sz w:val="24"/>
          <w:szCs w:val="24"/>
          <w:u w:val="single"/>
        </w:rPr>
        <w:t>Inception report</w:t>
      </w:r>
      <w:r w:rsidRPr="00D71BE2">
        <w:rPr>
          <w:rFonts w:ascii="Arial" w:hAnsi="Arial" w:cs="Arial"/>
          <w:color w:val="000000" w:themeColor="text1"/>
          <w:sz w:val="24"/>
          <w:szCs w:val="24"/>
        </w:rPr>
        <w:t xml:space="preserve">: </w:t>
      </w:r>
      <w:r w:rsidRPr="00D71BE2">
        <w:rPr>
          <w:rFonts w:ascii="Arial" w:hAnsi="Arial" w:cs="Arial"/>
          <w:bCs/>
          <w:sz w:val="24"/>
          <w:szCs w:val="24"/>
        </w:rPr>
        <w:t xml:space="preserve">The inception report </w:t>
      </w:r>
      <w:r>
        <w:rPr>
          <w:rFonts w:ascii="Arial" w:hAnsi="Arial" w:cs="Arial"/>
          <w:bCs/>
          <w:sz w:val="24"/>
          <w:szCs w:val="24"/>
        </w:rPr>
        <w:t xml:space="preserve">should </w:t>
      </w:r>
      <w:r w:rsidRPr="00D71BE2">
        <w:rPr>
          <w:rFonts w:ascii="Arial" w:hAnsi="Arial" w:cs="Arial"/>
          <w:bCs/>
          <w:sz w:val="24"/>
          <w:szCs w:val="24"/>
        </w:rPr>
        <w:t xml:space="preserve">contain the </w:t>
      </w:r>
      <w:r>
        <w:rPr>
          <w:rFonts w:ascii="Arial" w:hAnsi="Arial" w:cs="Arial"/>
          <w:bCs/>
          <w:sz w:val="24"/>
          <w:szCs w:val="24"/>
        </w:rPr>
        <w:t xml:space="preserve">study </w:t>
      </w:r>
      <w:r w:rsidRPr="00D71BE2">
        <w:rPr>
          <w:rFonts w:ascii="Arial" w:hAnsi="Arial" w:cs="Arial"/>
          <w:bCs/>
          <w:sz w:val="24"/>
          <w:szCs w:val="24"/>
        </w:rPr>
        <w:t xml:space="preserve">objectives, finally determined study </w:t>
      </w:r>
      <w:r w:rsidRPr="00D71BE2">
        <w:rPr>
          <w:rFonts w:ascii="Arial" w:hAnsi="Arial" w:cs="Arial"/>
          <w:color w:val="000000" w:themeColor="text1"/>
          <w:sz w:val="24"/>
          <w:szCs w:val="24"/>
        </w:rPr>
        <w:t>methodology</w:t>
      </w:r>
      <w:r>
        <w:rPr>
          <w:rFonts w:ascii="Arial" w:hAnsi="Arial" w:cs="Arial"/>
          <w:color w:val="000000" w:themeColor="text1"/>
          <w:sz w:val="24"/>
          <w:szCs w:val="24"/>
        </w:rPr>
        <w:t xml:space="preserve">, data quality assurance plan, risk identification and mitigation strategy, and final </w:t>
      </w:r>
      <w:r w:rsidRPr="00D71BE2">
        <w:rPr>
          <w:rFonts w:ascii="Arial" w:hAnsi="Arial" w:cs="Arial"/>
          <w:color w:val="000000" w:themeColor="text1"/>
          <w:sz w:val="24"/>
          <w:szCs w:val="24"/>
        </w:rPr>
        <w:t>work plan</w:t>
      </w:r>
      <w:r>
        <w:rPr>
          <w:rFonts w:ascii="Arial" w:hAnsi="Arial" w:cs="Arial"/>
          <w:color w:val="000000" w:themeColor="text1"/>
          <w:sz w:val="24"/>
          <w:szCs w:val="24"/>
        </w:rPr>
        <w:t xml:space="preserve">. The inception report will also include </w:t>
      </w:r>
      <w:r w:rsidRPr="006F48E9">
        <w:rPr>
          <w:rFonts w:ascii="Arial" w:hAnsi="Arial" w:cs="Arial"/>
          <w:sz w:val="24"/>
          <w:szCs w:val="24"/>
        </w:rPr>
        <w:t xml:space="preserve">a </w:t>
      </w:r>
      <w:r>
        <w:rPr>
          <w:rFonts w:ascii="Arial" w:hAnsi="Arial" w:cs="Arial"/>
          <w:sz w:val="24"/>
          <w:szCs w:val="24"/>
        </w:rPr>
        <w:t xml:space="preserve">description </w:t>
      </w:r>
      <w:r w:rsidRPr="006F48E9">
        <w:rPr>
          <w:rFonts w:ascii="Arial" w:hAnsi="Arial" w:cs="Arial"/>
          <w:sz w:val="24"/>
          <w:szCs w:val="24"/>
        </w:rPr>
        <w:t>on how the</w:t>
      </w:r>
      <w:r>
        <w:rPr>
          <w:rFonts w:ascii="Arial" w:hAnsi="Arial" w:cs="Arial"/>
          <w:sz w:val="24"/>
          <w:szCs w:val="24"/>
        </w:rPr>
        <w:t xml:space="preserve"> consultant/consultancy firm </w:t>
      </w:r>
      <w:r w:rsidRPr="006F48E9">
        <w:rPr>
          <w:rFonts w:ascii="Arial" w:hAnsi="Arial" w:cs="Arial"/>
          <w:sz w:val="24"/>
          <w:szCs w:val="24"/>
        </w:rPr>
        <w:t xml:space="preserve">will ensure ethics and protection of </w:t>
      </w:r>
      <w:r>
        <w:rPr>
          <w:rFonts w:ascii="Arial" w:hAnsi="Arial" w:cs="Arial"/>
          <w:sz w:val="24"/>
          <w:szCs w:val="24"/>
        </w:rPr>
        <w:t xml:space="preserve">children and </w:t>
      </w:r>
      <w:r w:rsidRPr="006F48E9">
        <w:rPr>
          <w:rFonts w:ascii="Arial" w:hAnsi="Arial" w:cs="Arial"/>
          <w:sz w:val="24"/>
          <w:szCs w:val="24"/>
        </w:rPr>
        <w:t>adolescents in the different stages of the study</w:t>
      </w:r>
      <w:r>
        <w:rPr>
          <w:rFonts w:ascii="Arial" w:hAnsi="Arial" w:cs="Arial"/>
          <w:sz w:val="24"/>
          <w:szCs w:val="24"/>
        </w:rPr>
        <w:t xml:space="preserve">. </w:t>
      </w:r>
      <w:r w:rsidRPr="00D71BE2">
        <w:rPr>
          <w:rFonts w:ascii="Arial" w:hAnsi="Arial" w:cs="Arial"/>
          <w:color w:val="000000" w:themeColor="text1"/>
          <w:sz w:val="24"/>
          <w:szCs w:val="24"/>
        </w:rPr>
        <w:t xml:space="preserve">The </w:t>
      </w:r>
      <w:r>
        <w:rPr>
          <w:rFonts w:ascii="Arial" w:hAnsi="Arial" w:cs="Arial"/>
          <w:color w:val="000000" w:themeColor="text1"/>
          <w:sz w:val="24"/>
          <w:szCs w:val="24"/>
        </w:rPr>
        <w:t xml:space="preserve">inception report </w:t>
      </w:r>
      <w:r w:rsidRPr="00D71BE2">
        <w:rPr>
          <w:rFonts w:ascii="Arial" w:hAnsi="Arial" w:cs="Arial"/>
          <w:color w:val="000000" w:themeColor="text1"/>
          <w:sz w:val="24"/>
          <w:szCs w:val="24"/>
        </w:rPr>
        <w:t xml:space="preserve">will be reviewed and approved by </w:t>
      </w:r>
      <w:r w:rsidRPr="00D71BE2">
        <w:rPr>
          <w:rFonts w:ascii="Arial" w:hAnsi="Arial" w:cs="Arial"/>
          <w:sz w:val="24"/>
          <w:szCs w:val="24"/>
        </w:rPr>
        <w:t>Plan International Bangladesh and Plan International Canada</w:t>
      </w:r>
      <w:r w:rsidRPr="00D71BE2">
        <w:rPr>
          <w:rFonts w:ascii="Arial" w:hAnsi="Arial" w:cs="Arial"/>
          <w:color w:val="000000" w:themeColor="text1"/>
          <w:sz w:val="24"/>
          <w:szCs w:val="24"/>
        </w:rPr>
        <w:t>.</w:t>
      </w:r>
      <w:r>
        <w:rPr>
          <w:rFonts w:ascii="Arial" w:hAnsi="Arial" w:cs="Arial"/>
          <w:color w:val="000000" w:themeColor="text1"/>
          <w:sz w:val="24"/>
          <w:szCs w:val="24"/>
        </w:rPr>
        <w:t xml:space="preserve"> </w:t>
      </w:r>
      <w:r w:rsidRPr="00D71BE2">
        <w:rPr>
          <w:rFonts w:ascii="Arial" w:hAnsi="Arial" w:cs="Arial"/>
          <w:color w:val="000000" w:themeColor="text1"/>
          <w:sz w:val="24"/>
          <w:szCs w:val="24"/>
        </w:rPr>
        <w:t xml:space="preserve">The </w:t>
      </w:r>
      <w:r>
        <w:rPr>
          <w:rFonts w:ascii="Arial" w:hAnsi="Arial" w:cs="Arial"/>
          <w:color w:val="000000" w:themeColor="text1"/>
          <w:sz w:val="24"/>
          <w:szCs w:val="24"/>
        </w:rPr>
        <w:t xml:space="preserve">agreement will be done </w:t>
      </w:r>
      <w:r w:rsidRPr="00D71BE2">
        <w:rPr>
          <w:rFonts w:ascii="Arial" w:hAnsi="Arial" w:cs="Arial"/>
          <w:color w:val="000000" w:themeColor="text1"/>
          <w:sz w:val="24"/>
          <w:szCs w:val="24"/>
        </w:rPr>
        <w:t xml:space="preserve">after approval of </w:t>
      </w:r>
      <w:r>
        <w:rPr>
          <w:rFonts w:ascii="Arial" w:hAnsi="Arial" w:cs="Arial"/>
          <w:color w:val="000000" w:themeColor="text1"/>
          <w:sz w:val="24"/>
          <w:szCs w:val="24"/>
        </w:rPr>
        <w:t xml:space="preserve">the </w:t>
      </w:r>
      <w:r w:rsidRPr="00D71BE2">
        <w:rPr>
          <w:rFonts w:ascii="Arial" w:hAnsi="Arial" w:cs="Arial"/>
          <w:color w:val="000000" w:themeColor="text1"/>
          <w:sz w:val="24"/>
          <w:szCs w:val="24"/>
        </w:rPr>
        <w:t>inception report.</w:t>
      </w:r>
    </w:p>
    <w:p w14:paraId="5738A20A" w14:textId="77777777" w:rsidR="00F25042" w:rsidRPr="00413543" w:rsidRDefault="00F25042" w:rsidP="00F25042">
      <w:pPr>
        <w:spacing w:after="120" w:line="240" w:lineRule="auto"/>
        <w:jc w:val="both"/>
        <w:rPr>
          <w:rFonts w:ascii="Arial" w:hAnsi="Arial" w:cs="Arial"/>
          <w:sz w:val="24"/>
          <w:szCs w:val="24"/>
        </w:rPr>
      </w:pPr>
      <w:r>
        <w:rPr>
          <w:rFonts w:ascii="Arial" w:hAnsi="Arial" w:cs="Arial"/>
          <w:sz w:val="24"/>
          <w:szCs w:val="24"/>
          <w:u w:val="single"/>
        </w:rPr>
        <w:t xml:space="preserve">Data collection </w:t>
      </w:r>
      <w:r w:rsidRPr="0023167A">
        <w:rPr>
          <w:rFonts w:ascii="Arial" w:hAnsi="Arial" w:cs="Arial"/>
          <w:sz w:val="24"/>
          <w:szCs w:val="24"/>
          <w:u w:val="single"/>
        </w:rPr>
        <w:t>tools</w:t>
      </w:r>
      <w:r>
        <w:rPr>
          <w:rFonts w:ascii="Arial" w:hAnsi="Arial" w:cs="Arial"/>
          <w:sz w:val="24"/>
          <w:szCs w:val="24"/>
        </w:rPr>
        <w:t xml:space="preserve">: All the tools for data collection will be adapted, pretested and finalised based on tool that </w:t>
      </w:r>
      <w:r w:rsidRPr="00413543">
        <w:rPr>
          <w:rFonts w:ascii="Arial" w:hAnsi="Arial" w:cs="Arial"/>
          <w:sz w:val="24"/>
          <w:szCs w:val="24"/>
        </w:rPr>
        <w:t xml:space="preserve">was applied during the baseline survey. The tools should be translated in Bangla and printed. </w:t>
      </w:r>
    </w:p>
    <w:p w14:paraId="32AD33B3" w14:textId="77777777" w:rsidR="00F25042" w:rsidRPr="00310166" w:rsidRDefault="00F25042" w:rsidP="00F25042">
      <w:pPr>
        <w:spacing w:after="120" w:line="240" w:lineRule="auto"/>
        <w:jc w:val="both"/>
        <w:rPr>
          <w:rFonts w:ascii="Arial" w:hAnsi="Arial" w:cs="Arial"/>
          <w:color w:val="000000" w:themeColor="text1"/>
          <w:sz w:val="24"/>
          <w:szCs w:val="24"/>
        </w:rPr>
      </w:pPr>
      <w:r w:rsidRPr="00413543">
        <w:rPr>
          <w:rFonts w:ascii="Arial" w:hAnsi="Arial" w:cs="Arial"/>
          <w:sz w:val="24"/>
          <w:szCs w:val="24"/>
          <w:u w:val="single"/>
        </w:rPr>
        <w:t>Report:</w:t>
      </w:r>
      <w:r w:rsidRPr="00413543">
        <w:rPr>
          <w:rFonts w:ascii="Arial" w:hAnsi="Arial" w:cs="Arial"/>
          <w:sz w:val="24"/>
          <w:szCs w:val="24"/>
        </w:rPr>
        <w:t xml:space="preserve"> The report should contain </w:t>
      </w:r>
      <w:r w:rsidRPr="00413543">
        <w:rPr>
          <w:rFonts w:ascii="Arial" w:hAnsi="Arial" w:cs="Arial"/>
          <w:color w:val="000000" w:themeColor="text1"/>
          <w:sz w:val="24"/>
          <w:szCs w:val="24"/>
        </w:rPr>
        <w:t>findings in details and with in-depth analysis and comparison with baseline findings. Expected structure of the report will be shared once consultant is hired. The findings should be organised as per themes in the objectives. The report should reflect the learning and take a strong gender sensitive approach in analysis. Calculation of results from the data must be done following the Performance Management Framework Indicators and Indicator framework calculations to be shared by Plan International. After preparation of draft report, the findings should be presented to Plan International. Based on their feedback the report should be finalised. Final report should be submitted in two copies with spiral binding along with soft copy in MS Word (in a CD). The report should be delivered in acceptable English. The consultant/consultancy firm will arrange for proof reading, if</w:t>
      </w:r>
      <w:r w:rsidRPr="00310166">
        <w:rPr>
          <w:rFonts w:ascii="Arial" w:hAnsi="Arial" w:cs="Arial"/>
          <w:color w:val="000000" w:themeColor="text1"/>
          <w:sz w:val="24"/>
          <w:szCs w:val="24"/>
        </w:rPr>
        <w:t xml:space="preserve"> required to maintain the quality. </w:t>
      </w:r>
    </w:p>
    <w:p w14:paraId="39A51A3E" w14:textId="0D1F55B4" w:rsidR="00F25042" w:rsidRDefault="00F25042" w:rsidP="00F25042">
      <w:pPr>
        <w:spacing w:after="120" w:line="240" w:lineRule="auto"/>
        <w:jc w:val="both"/>
        <w:rPr>
          <w:rFonts w:ascii="Arial" w:hAnsi="Arial" w:cs="Arial"/>
          <w:color w:val="000000" w:themeColor="text1"/>
          <w:sz w:val="24"/>
          <w:szCs w:val="24"/>
        </w:rPr>
      </w:pPr>
      <w:r w:rsidRPr="0003189D">
        <w:rPr>
          <w:rFonts w:ascii="Arial" w:hAnsi="Arial" w:cs="Arial"/>
          <w:color w:val="000000" w:themeColor="text1"/>
          <w:sz w:val="24"/>
          <w:szCs w:val="24"/>
          <w:u w:val="single"/>
        </w:rPr>
        <w:t>Submission of dataset</w:t>
      </w:r>
      <w:r>
        <w:rPr>
          <w:rFonts w:ascii="Arial" w:hAnsi="Arial" w:cs="Arial"/>
          <w:color w:val="000000" w:themeColor="text1"/>
          <w:sz w:val="24"/>
          <w:szCs w:val="24"/>
        </w:rPr>
        <w:t xml:space="preserve">: Raw and clean dataset should be submitted in SPSS. </w:t>
      </w:r>
    </w:p>
    <w:p w14:paraId="0627A2DA" w14:textId="77777777" w:rsidR="004B795F" w:rsidRPr="00310166" w:rsidRDefault="004B795F" w:rsidP="00F25042">
      <w:pPr>
        <w:spacing w:after="120" w:line="240" w:lineRule="auto"/>
        <w:jc w:val="both"/>
        <w:rPr>
          <w:rFonts w:ascii="Arial" w:hAnsi="Arial" w:cs="Arial"/>
          <w:color w:val="000000" w:themeColor="text1"/>
          <w:sz w:val="24"/>
          <w:szCs w:val="24"/>
        </w:rPr>
      </w:pPr>
    </w:p>
    <w:p w14:paraId="46F38997" w14:textId="77777777" w:rsidR="00F25042" w:rsidRPr="005C4DB3" w:rsidRDefault="00F25042" w:rsidP="00EC2C20">
      <w:pPr>
        <w:pStyle w:val="ListParagraph"/>
        <w:numPr>
          <w:ilvl w:val="0"/>
          <w:numId w:val="3"/>
        </w:numPr>
        <w:spacing w:after="120" w:line="240" w:lineRule="auto"/>
        <w:contextualSpacing w:val="0"/>
        <w:rPr>
          <w:rFonts w:ascii="Arial" w:hAnsi="Arial" w:cs="Arial"/>
          <w:sz w:val="24"/>
          <w:szCs w:val="24"/>
        </w:rPr>
      </w:pPr>
      <w:r w:rsidRPr="005C4DB3">
        <w:rPr>
          <w:rFonts w:ascii="Arial" w:hAnsi="Arial" w:cs="Arial"/>
          <w:b/>
          <w:sz w:val="24"/>
          <w:szCs w:val="24"/>
        </w:rPr>
        <w:t>Mode of payment</w:t>
      </w:r>
    </w:p>
    <w:p w14:paraId="07F240BF" w14:textId="77777777" w:rsidR="00F25042" w:rsidRPr="0075216C" w:rsidRDefault="00F25042" w:rsidP="00F25042">
      <w:pPr>
        <w:spacing w:after="120" w:line="240" w:lineRule="auto"/>
        <w:jc w:val="both"/>
        <w:rPr>
          <w:rFonts w:ascii="Arial" w:hAnsi="Arial" w:cs="Arial"/>
          <w:color w:val="000000" w:themeColor="text1"/>
          <w:sz w:val="24"/>
          <w:szCs w:val="24"/>
        </w:rPr>
      </w:pPr>
      <w:r w:rsidRPr="0075216C">
        <w:rPr>
          <w:rFonts w:ascii="Arial" w:hAnsi="Arial" w:cs="Arial"/>
          <w:color w:val="000000" w:themeColor="text1"/>
          <w:sz w:val="24"/>
          <w:szCs w:val="24"/>
        </w:rPr>
        <w:t>The payment will be made in three instalments:</w:t>
      </w:r>
    </w:p>
    <w:tbl>
      <w:tblPr>
        <w:tblW w:w="53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2475"/>
        <w:gridCol w:w="5604"/>
      </w:tblGrid>
      <w:tr w:rsidR="00F25042" w:rsidRPr="00BC614F" w14:paraId="70C99421" w14:textId="77777777" w:rsidTr="00F25042">
        <w:trPr>
          <w:jc w:val="center"/>
        </w:trPr>
        <w:tc>
          <w:tcPr>
            <w:tcW w:w="1230" w:type="pct"/>
            <w:shd w:val="clear" w:color="auto" w:fill="auto"/>
            <w:vAlign w:val="center"/>
          </w:tcPr>
          <w:p w14:paraId="73AA9F86" w14:textId="77777777" w:rsidR="00F25042" w:rsidRPr="00BC614F" w:rsidRDefault="00F25042" w:rsidP="00F25042">
            <w:pPr>
              <w:spacing w:after="120" w:line="240" w:lineRule="auto"/>
              <w:jc w:val="both"/>
              <w:rPr>
                <w:rFonts w:ascii="Arial" w:hAnsi="Arial" w:cs="Arial"/>
                <w:b/>
                <w:color w:val="000000" w:themeColor="text1"/>
                <w:sz w:val="24"/>
                <w:szCs w:val="24"/>
              </w:rPr>
            </w:pPr>
            <w:r w:rsidRPr="00BC614F">
              <w:rPr>
                <w:rFonts w:ascii="Arial" w:hAnsi="Arial" w:cs="Arial"/>
                <w:b/>
                <w:color w:val="000000" w:themeColor="text1"/>
                <w:sz w:val="24"/>
                <w:szCs w:val="24"/>
              </w:rPr>
              <w:t>Instalments</w:t>
            </w:r>
          </w:p>
        </w:tc>
        <w:tc>
          <w:tcPr>
            <w:tcW w:w="1155" w:type="pct"/>
            <w:shd w:val="clear" w:color="auto" w:fill="auto"/>
            <w:vAlign w:val="center"/>
          </w:tcPr>
          <w:p w14:paraId="73B6C419" w14:textId="77777777" w:rsidR="00F25042" w:rsidRPr="00BC614F" w:rsidRDefault="00F25042" w:rsidP="00F25042">
            <w:pPr>
              <w:spacing w:after="120" w:line="240" w:lineRule="auto"/>
              <w:jc w:val="both"/>
              <w:rPr>
                <w:rFonts w:ascii="Arial" w:hAnsi="Arial" w:cs="Arial"/>
                <w:b/>
                <w:color w:val="000000" w:themeColor="text1"/>
                <w:sz w:val="24"/>
                <w:szCs w:val="24"/>
              </w:rPr>
            </w:pPr>
            <w:r w:rsidRPr="00BC614F">
              <w:rPr>
                <w:rFonts w:ascii="Arial" w:hAnsi="Arial" w:cs="Arial"/>
                <w:b/>
                <w:color w:val="000000" w:themeColor="text1"/>
                <w:sz w:val="24"/>
                <w:szCs w:val="24"/>
              </w:rPr>
              <w:t>Percentage</w:t>
            </w:r>
          </w:p>
        </w:tc>
        <w:tc>
          <w:tcPr>
            <w:tcW w:w="2614" w:type="pct"/>
            <w:shd w:val="clear" w:color="auto" w:fill="auto"/>
            <w:vAlign w:val="center"/>
          </w:tcPr>
          <w:p w14:paraId="458DECFE" w14:textId="77777777" w:rsidR="00F25042" w:rsidRPr="00BC614F" w:rsidRDefault="00F25042" w:rsidP="00F25042">
            <w:pPr>
              <w:spacing w:after="120" w:line="240" w:lineRule="auto"/>
              <w:jc w:val="both"/>
              <w:rPr>
                <w:rFonts w:ascii="Arial" w:hAnsi="Arial" w:cs="Arial"/>
                <w:b/>
                <w:color w:val="000000" w:themeColor="text1"/>
                <w:sz w:val="24"/>
                <w:szCs w:val="24"/>
              </w:rPr>
            </w:pPr>
            <w:r w:rsidRPr="00BC614F">
              <w:rPr>
                <w:rFonts w:ascii="Arial" w:hAnsi="Arial" w:cs="Arial"/>
                <w:b/>
                <w:color w:val="000000" w:themeColor="text1"/>
                <w:sz w:val="24"/>
                <w:szCs w:val="24"/>
              </w:rPr>
              <w:t>Timeline</w:t>
            </w:r>
          </w:p>
        </w:tc>
      </w:tr>
      <w:tr w:rsidR="00F25042" w:rsidRPr="006131D2" w14:paraId="06AD90FC" w14:textId="77777777" w:rsidTr="00F25042">
        <w:trPr>
          <w:jc w:val="center"/>
        </w:trPr>
        <w:tc>
          <w:tcPr>
            <w:tcW w:w="1230" w:type="pct"/>
            <w:vAlign w:val="center"/>
          </w:tcPr>
          <w:p w14:paraId="00449740" w14:textId="77777777" w:rsidR="00F25042" w:rsidRPr="00BC614F" w:rsidRDefault="00F25042" w:rsidP="00F25042">
            <w:pPr>
              <w:spacing w:after="120" w:line="240" w:lineRule="auto"/>
              <w:jc w:val="both"/>
              <w:rPr>
                <w:rFonts w:ascii="Arial" w:hAnsi="Arial" w:cs="Arial"/>
                <w:color w:val="000000" w:themeColor="text1"/>
                <w:sz w:val="24"/>
                <w:szCs w:val="24"/>
              </w:rPr>
            </w:pPr>
            <w:r w:rsidRPr="00BC614F">
              <w:rPr>
                <w:rFonts w:ascii="Arial" w:hAnsi="Arial" w:cs="Arial"/>
                <w:color w:val="000000" w:themeColor="text1"/>
                <w:sz w:val="24"/>
                <w:szCs w:val="24"/>
              </w:rPr>
              <w:t>First instalment</w:t>
            </w:r>
          </w:p>
        </w:tc>
        <w:tc>
          <w:tcPr>
            <w:tcW w:w="1155" w:type="pct"/>
            <w:vAlign w:val="center"/>
          </w:tcPr>
          <w:p w14:paraId="626B1D08" w14:textId="77777777" w:rsidR="00F25042" w:rsidRPr="00BC614F" w:rsidRDefault="00F25042" w:rsidP="00F25042">
            <w:pPr>
              <w:pStyle w:val="ListParagraph"/>
              <w:spacing w:after="120" w:line="240" w:lineRule="auto"/>
              <w:contextualSpacing w:val="0"/>
              <w:jc w:val="both"/>
              <w:rPr>
                <w:rFonts w:ascii="Arial" w:hAnsi="Arial" w:cs="Arial"/>
                <w:color w:val="000000" w:themeColor="text1"/>
                <w:sz w:val="24"/>
                <w:szCs w:val="24"/>
              </w:rPr>
            </w:pPr>
            <w:r w:rsidRPr="00BC614F">
              <w:rPr>
                <w:rFonts w:ascii="Arial" w:hAnsi="Arial" w:cs="Arial"/>
                <w:color w:val="000000" w:themeColor="text1"/>
                <w:sz w:val="24"/>
                <w:szCs w:val="24"/>
              </w:rPr>
              <w:t>30</w:t>
            </w:r>
          </w:p>
        </w:tc>
        <w:tc>
          <w:tcPr>
            <w:tcW w:w="2614" w:type="pct"/>
            <w:vAlign w:val="center"/>
          </w:tcPr>
          <w:p w14:paraId="4245B13F" w14:textId="77777777" w:rsidR="00F25042" w:rsidRPr="00BC614F" w:rsidRDefault="00F25042" w:rsidP="00F25042">
            <w:pPr>
              <w:pStyle w:val="ListParagraph"/>
              <w:spacing w:after="120" w:line="240" w:lineRule="auto"/>
              <w:ind w:left="0"/>
              <w:contextualSpacing w:val="0"/>
              <w:jc w:val="both"/>
              <w:rPr>
                <w:rFonts w:ascii="Arial" w:hAnsi="Arial" w:cs="Arial"/>
                <w:color w:val="000000" w:themeColor="text1"/>
                <w:sz w:val="24"/>
                <w:szCs w:val="24"/>
              </w:rPr>
            </w:pPr>
            <w:r w:rsidRPr="00BC614F">
              <w:rPr>
                <w:rFonts w:ascii="Arial" w:hAnsi="Arial" w:cs="Arial"/>
                <w:color w:val="000000"/>
                <w:sz w:val="24"/>
                <w:szCs w:val="24"/>
              </w:rPr>
              <w:t>Acceptance of inception report and agreement signed</w:t>
            </w:r>
          </w:p>
        </w:tc>
      </w:tr>
      <w:tr w:rsidR="00F25042" w:rsidRPr="006131D2" w14:paraId="5BCD4C57" w14:textId="77777777" w:rsidTr="00F25042">
        <w:trPr>
          <w:jc w:val="center"/>
        </w:trPr>
        <w:tc>
          <w:tcPr>
            <w:tcW w:w="1230" w:type="pct"/>
            <w:vAlign w:val="center"/>
          </w:tcPr>
          <w:p w14:paraId="4B9FD7E2" w14:textId="77777777" w:rsidR="00F25042" w:rsidRPr="00BC614F" w:rsidRDefault="00F25042" w:rsidP="00F25042">
            <w:pPr>
              <w:spacing w:after="120" w:line="240" w:lineRule="auto"/>
              <w:jc w:val="both"/>
              <w:rPr>
                <w:rFonts w:ascii="Arial" w:hAnsi="Arial" w:cs="Arial"/>
                <w:color w:val="000000" w:themeColor="text1"/>
                <w:sz w:val="24"/>
                <w:szCs w:val="24"/>
              </w:rPr>
            </w:pPr>
            <w:r w:rsidRPr="00BC614F">
              <w:rPr>
                <w:rFonts w:ascii="Arial" w:hAnsi="Arial" w:cs="Arial"/>
                <w:color w:val="000000" w:themeColor="text1"/>
                <w:sz w:val="24"/>
                <w:szCs w:val="24"/>
              </w:rPr>
              <w:t>Second instalment</w:t>
            </w:r>
          </w:p>
        </w:tc>
        <w:tc>
          <w:tcPr>
            <w:tcW w:w="1155" w:type="pct"/>
            <w:vAlign w:val="center"/>
          </w:tcPr>
          <w:p w14:paraId="4E29C5C1" w14:textId="77777777" w:rsidR="00F25042" w:rsidRPr="00BC614F" w:rsidRDefault="00F25042" w:rsidP="00F25042">
            <w:pPr>
              <w:pStyle w:val="ListParagraph"/>
              <w:spacing w:after="120" w:line="240" w:lineRule="auto"/>
              <w:contextualSpacing w:val="0"/>
              <w:jc w:val="both"/>
              <w:rPr>
                <w:rFonts w:ascii="Arial" w:hAnsi="Arial" w:cs="Arial"/>
                <w:color w:val="000000" w:themeColor="text1"/>
                <w:sz w:val="24"/>
                <w:szCs w:val="24"/>
              </w:rPr>
            </w:pPr>
            <w:r w:rsidRPr="00BC614F">
              <w:rPr>
                <w:rFonts w:ascii="Arial" w:hAnsi="Arial" w:cs="Arial"/>
                <w:color w:val="000000" w:themeColor="text1"/>
                <w:sz w:val="24"/>
                <w:szCs w:val="24"/>
              </w:rPr>
              <w:t>30</w:t>
            </w:r>
          </w:p>
        </w:tc>
        <w:tc>
          <w:tcPr>
            <w:tcW w:w="2614" w:type="pct"/>
            <w:vAlign w:val="center"/>
          </w:tcPr>
          <w:p w14:paraId="33944FFC" w14:textId="77777777" w:rsidR="00F25042" w:rsidRPr="00BC614F" w:rsidRDefault="00F25042" w:rsidP="00F25042">
            <w:pPr>
              <w:pStyle w:val="ListParagraph"/>
              <w:spacing w:after="120" w:line="240" w:lineRule="auto"/>
              <w:ind w:left="0"/>
              <w:contextualSpacing w:val="0"/>
              <w:jc w:val="both"/>
              <w:rPr>
                <w:rFonts w:ascii="Arial" w:hAnsi="Arial" w:cs="Arial"/>
                <w:color w:val="000000" w:themeColor="text1"/>
                <w:sz w:val="24"/>
                <w:szCs w:val="24"/>
              </w:rPr>
            </w:pPr>
            <w:r w:rsidRPr="00BC614F">
              <w:rPr>
                <w:rFonts w:ascii="Arial" w:hAnsi="Arial" w:cs="Arial"/>
                <w:color w:val="000000" w:themeColor="text1"/>
                <w:sz w:val="24"/>
                <w:szCs w:val="24"/>
              </w:rPr>
              <w:t xml:space="preserve">After receiving the first draft report </w:t>
            </w:r>
          </w:p>
        </w:tc>
      </w:tr>
      <w:tr w:rsidR="00F25042" w:rsidRPr="006131D2" w14:paraId="4E403677" w14:textId="77777777" w:rsidTr="00F25042">
        <w:trPr>
          <w:jc w:val="center"/>
        </w:trPr>
        <w:tc>
          <w:tcPr>
            <w:tcW w:w="1230" w:type="pct"/>
            <w:vAlign w:val="center"/>
          </w:tcPr>
          <w:p w14:paraId="6DF67E9E" w14:textId="77777777" w:rsidR="00F25042" w:rsidRPr="00BC614F" w:rsidRDefault="00F25042" w:rsidP="00F25042">
            <w:pPr>
              <w:spacing w:after="120" w:line="240" w:lineRule="auto"/>
              <w:jc w:val="both"/>
              <w:rPr>
                <w:rFonts w:ascii="Arial" w:hAnsi="Arial" w:cs="Arial"/>
                <w:color w:val="000000" w:themeColor="text1"/>
                <w:sz w:val="24"/>
                <w:szCs w:val="24"/>
              </w:rPr>
            </w:pPr>
            <w:r w:rsidRPr="00BC614F">
              <w:rPr>
                <w:rFonts w:ascii="Arial" w:hAnsi="Arial" w:cs="Arial"/>
                <w:color w:val="000000" w:themeColor="text1"/>
                <w:sz w:val="24"/>
                <w:szCs w:val="24"/>
              </w:rPr>
              <w:t>Final instalment</w:t>
            </w:r>
          </w:p>
        </w:tc>
        <w:tc>
          <w:tcPr>
            <w:tcW w:w="1155" w:type="pct"/>
            <w:vAlign w:val="center"/>
          </w:tcPr>
          <w:p w14:paraId="24646B83" w14:textId="77777777" w:rsidR="00F25042" w:rsidRPr="00BC614F" w:rsidRDefault="00F25042" w:rsidP="00F25042">
            <w:pPr>
              <w:pStyle w:val="ListParagraph"/>
              <w:spacing w:after="120" w:line="240" w:lineRule="auto"/>
              <w:contextualSpacing w:val="0"/>
              <w:jc w:val="both"/>
              <w:rPr>
                <w:rFonts w:ascii="Arial" w:hAnsi="Arial" w:cs="Arial"/>
                <w:color w:val="000000" w:themeColor="text1"/>
                <w:sz w:val="24"/>
                <w:szCs w:val="24"/>
              </w:rPr>
            </w:pPr>
            <w:r w:rsidRPr="00BC614F">
              <w:rPr>
                <w:rFonts w:ascii="Arial" w:hAnsi="Arial" w:cs="Arial"/>
                <w:color w:val="000000" w:themeColor="text1"/>
                <w:sz w:val="24"/>
                <w:szCs w:val="24"/>
              </w:rPr>
              <w:t>40</w:t>
            </w:r>
          </w:p>
        </w:tc>
        <w:tc>
          <w:tcPr>
            <w:tcW w:w="2614" w:type="pct"/>
            <w:vAlign w:val="center"/>
          </w:tcPr>
          <w:p w14:paraId="3B7D3AA9" w14:textId="77777777" w:rsidR="00F25042" w:rsidRPr="00BC614F" w:rsidRDefault="00F25042" w:rsidP="00F25042">
            <w:pPr>
              <w:pStyle w:val="ListParagraph"/>
              <w:spacing w:after="120" w:line="240" w:lineRule="auto"/>
              <w:ind w:left="0"/>
              <w:contextualSpacing w:val="0"/>
              <w:jc w:val="both"/>
              <w:rPr>
                <w:rFonts w:ascii="Arial" w:hAnsi="Arial" w:cs="Arial"/>
                <w:color w:val="000000" w:themeColor="text1"/>
                <w:sz w:val="24"/>
                <w:szCs w:val="24"/>
              </w:rPr>
            </w:pPr>
            <w:r w:rsidRPr="00BC614F">
              <w:rPr>
                <w:rFonts w:ascii="Arial" w:hAnsi="Arial" w:cs="Arial"/>
                <w:color w:val="000000" w:themeColor="text1"/>
                <w:sz w:val="24"/>
                <w:szCs w:val="24"/>
              </w:rPr>
              <w:t xml:space="preserve">Upon submission of the final report </w:t>
            </w:r>
          </w:p>
        </w:tc>
      </w:tr>
    </w:tbl>
    <w:p w14:paraId="2A45A791" w14:textId="4D3A29B6" w:rsidR="004B795F" w:rsidRDefault="004B795F" w:rsidP="004B795F">
      <w:pPr>
        <w:pStyle w:val="ListParagraph"/>
        <w:spacing w:after="120" w:line="240" w:lineRule="auto"/>
        <w:ind w:left="360"/>
        <w:contextualSpacing w:val="0"/>
        <w:rPr>
          <w:rFonts w:ascii="Arial" w:hAnsi="Arial" w:cs="Arial"/>
          <w:b/>
          <w:sz w:val="24"/>
          <w:szCs w:val="24"/>
        </w:rPr>
      </w:pPr>
    </w:p>
    <w:p w14:paraId="4B5F0242" w14:textId="77777777" w:rsidR="004B795F" w:rsidRDefault="004B795F" w:rsidP="004B795F">
      <w:pPr>
        <w:pStyle w:val="ListParagraph"/>
        <w:spacing w:after="120" w:line="240" w:lineRule="auto"/>
        <w:ind w:left="360"/>
        <w:contextualSpacing w:val="0"/>
        <w:rPr>
          <w:rFonts w:ascii="Arial" w:hAnsi="Arial" w:cs="Arial"/>
          <w:b/>
          <w:sz w:val="24"/>
          <w:szCs w:val="24"/>
        </w:rPr>
      </w:pPr>
    </w:p>
    <w:p w14:paraId="288B19C7" w14:textId="399F2B1C" w:rsidR="00F25042" w:rsidRPr="00C807C2" w:rsidRDefault="00F25042" w:rsidP="00EC2C20">
      <w:pPr>
        <w:pStyle w:val="ListParagraph"/>
        <w:numPr>
          <w:ilvl w:val="0"/>
          <w:numId w:val="3"/>
        </w:numPr>
        <w:spacing w:after="120" w:line="240" w:lineRule="auto"/>
        <w:contextualSpacing w:val="0"/>
        <w:rPr>
          <w:rFonts w:ascii="Arial" w:hAnsi="Arial" w:cs="Arial"/>
          <w:b/>
          <w:sz w:val="24"/>
          <w:szCs w:val="24"/>
        </w:rPr>
      </w:pPr>
      <w:r w:rsidRPr="00C807C2">
        <w:rPr>
          <w:rFonts w:ascii="Arial" w:hAnsi="Arial" w:cs="Arial"/>
          <w:b/>
          <w:sz w:val="24"/>
          <w:szCs w:val="24"/>
        </w:rPr>
        <w:lastRenderedPageBreak/>
        <w:t>Evaluation Criteria</w:t>
      </w:r>
    </w:p>
    <w:p w14:paraId="7B68B00C" w14:textId="77777777" w:rsidR="00F25042" w:rsidRPr="009322C7" w:rsidRDefault="00F25042" w:rsidP="009322C7">
      <w:pPr>
        <w:spacing w:after="120" w:line="240" w:lineRule="auto"/>
        <w:rPr>
          <w:rFonts w:ascii="Arial" w:hAnsi="Arial" w:cs="Arial"/>
          <w:sz w:val="24"/>
          <w:szCs w:val="24"/>
        </w:rPr>
      </w:pPr>
      <w:r w:rsidRPr="009322C7">
        <w:rPr>
          <w:rFonts w:ascii="Arial" w:hAnsi="Arial" w:cs="Arial"/>
          <w:sz w:val="24"/>
          <w:szCs w:val="24"/>
        </w:rPr>
        <w:t>The proposals will be assessed based on following criteria:</w:t>
      </w:r>
    </w:p>
    <w:tbl>
      <w:tblPr>
        <w:tblW w:w="0" w:type="auto"/>
        <w:tblLook w:val="04A0" w:firstRow="1" w:lastRow="0" w:firstColumn="1" w:lastColumn="0" w:noHBand="0" w:noVBand="1"/>
      </w:tblPr>
      <w:tblGrid>
        <w:gridCol w:w="6297"/>
        <w:gridCol w:w="3053"/>
      </w:tblGrid>
      <w:tr w:rsidR="00F25042" w:rsidRPr="001C5CF3" w14:paraId="6D2FE2D9" w14:textId="77777777" w:rsidTr="00F25042">
        <w:tc>
          <w:tcPr>
            <w:tcW w:w="6297" w:type="dxa"/>
          </w:tcPr>
          <w:p w14:paraId="7A36A482" w14:textId="77777777" w:rsidR="00F25042" w:rsidRPr="001C5CF3" w:rsidRDefault="00F25042" w:rsidP="00F25042">
            <w:pPr>
              <w:spacing w:after="120"/>
              <w:jc w:val="both"/>
              <w:rPr>
                <w:rFonts w:ascii="Arial" w:eastAsia="Times New Roman" w:hAnsi="Arial" w:cs="Arial"/>
                <w:b/>
                <w:sz w:val="24"/>
                <w:szCs w:val="24"/>
              </w:rPr>
            </w:pPr>
            <w:r w:rsidRPr="001C5CF3">
              <w:rPr>
                <w:rFonts w:ascii="Arial" w:eastAsia="Times New Roman" w:hAnsi="Arial" w:cs="Arial"/>
                <w:b/>
                <w:sz w:val="24"/>
                <w:szCs w:val="24"/>
              </w:rPr>
              <w:t>Criteria</w:t>
            </w:r>
          </w:p>
        </w:tc>
        <w:tc>
          <w:tcPr>
            <w:tcW w:w="3053" w:type="dxa"/>
          </w:tcPr>
          <w:p w14:paraId="1D51FBA6" w14:textId="77777777" w:rsidR="00F25042" w:rsidRPr="001C5CF3" w:rsidRDefault="00F25042" w:rsidP="00F25042">
            <w:pPr>
              <w:spacing w:after="120"/>
              <w:jc w:val="both"/>
              <w:rPr>
                <w:rFonts w:ascii="Arial" w:eastAsia="Times New Roman" w:hAnsi="Arial" w:cs="Arial"/>
                <w:b/>
                <w:sz w:val="24"/>
                <w:szCs w:val="24"/>
              </w:rPr>
            </w:pPr>
            <w:r w:rsidRPr="001C5CF3">
              <w:rPr>
                <w:rFonts w:ascii="Arial" w:eastAsia="Times New Roman" w:hAnsi="Arial" w:cs="Arial"/>
                <w:b/>
                <w:sz w:val="24"/>
                <w:szCs w:val="24"/>
              </w:rPr>
              <w:t xml:space="preserve">Score </w:t>
            </w:r>
          </w:p>
        </w:tc>
      </w:tr>
      <w:tr w:rsidR="00F25042" w:rsidRPr="001C5CF3" w14:paraId="36BC2008" w14:textId="77777777" w:rsidTr="00F25042">
        <w:tc>
          <w:tcPr>
            <w:tcW w:w="6297" w:type="dxa"/>
          </w:tcPr>
          <w:p w14:paraId="611E8CFA" w14:textId="77777777" w:rsidR="00F25042" w:rsidRPr="001C5CF3" w:rsidRDefault="00F25042" w:rsidP="00F25042">
            <w:pPr>
              <w:spacing w:after="120"/>
              <w:rPr>
                <w:rFonts w:ascii="Arial" w:eastAsia="Times New Roman" w:hAnsi="Arial" w:cs="Arial"/>
                <w:sz w:val="24"/>
                <w:szCs w:val="24"/>
              </w:rPr>
            </w:pPr>
            <w:r w:rsidRPr="001C5CF3">
              <w:rPr>
                <w:rFonts w:ascii="Arial" w:eastAsia="Times New Roman" w:hAnsi="Arial" w:cs="Arial"/>
                <w:sz w:val="24"/>
                <w:szCs w:val="24"/>
              </w:rPr>
              <w:t>Appropriate methodology to address the study objectives</w:t>
            </w:r>
            <w:r>
              <w:rPr>
                <w:rFonts w:ascii="Arial" w:eastAsia="Times New Roman" w:hAnsi="Arial" w:cs="Arial"/>
                <w:sz w:val="24"/>
                <w:szCs w:val="24"/>
              </w:rPr>
              <w:t xml:space="preserve"> and realistic detailed work plan</w:t>
            </w:r>
            <w:r w:rsidRPr="001C5CF3">
              <w:rPr>
                <w:rFonts w:ascii="Arial" w:eastAsia="Times New Roman" w:hAnsi="Arial" w:cs="Arial"/>
                <w:sz w:val="24"/>
                <w:szCs w:val="24"/>
              </w:rPr>
              <w:t xml:space="preserve">  </w:t>
            </w:r>
          </w:p>
        </w:tc>
        <w:tc>
          <w:tcPr>
            <w:tcW w:w="3053" w:type="dxa"/>
          </w:tcPr>
          <w:p w14:paraId="6C132D42" w14:textId="77777777" w:rsidR="00F25042" w:rsidRPr="001C5CF3" w:rsidRDefault="00F25042" w:rsidP="00F25042">
            <w:pPr>
              <w:spacing w:after="120"/>
              <w:rPr>
                <w:rFonts w:ascii="Arial" w:eastAsia="Times New Roman" w:hAnsi="Arial" w:cs="Arial"/>
                <w:sz w:val="24"/>
                <w:szCs w:val="24"/>
              </w:rPr>
            </w:pPr>
            <w:r w:rsidRPr="001C5CF3">
              <w:rPr>
                <w:rFonts w:ascii="Arial" w:eastAsia="Times New Roman" w:hAnsi="Arial" w:cs="Arial"/>
                <w:sz w:val="24"/>
                <w:szCs w:val="24"/>
              </w:rPr>
              <w:t>40</w:t>
            </w:r>
          </w:p>
        </w:tc>
      </w:tr>
      <w:tr w:rsidR="00F25042" w:rsidRPr="001C5CF3" w14:paraId="66275267" w14:textId="77777777" w:rsidTr="00F25042">
        <w:tc>
          <w:tcPr>
            <w:tcW w:w="6297" w:type="dxa"/>
          </w:tcPr>
          <w:p w14:paraId="6A25B1D7" w14:textId="77777777" w:rsidR="00F25042" w:rsidRPr="001C5CF3" w:rsidRDefault="00F25042" w:rsidP="00F25042">
            <w:pPr>
              <w:spacing w:after="120"/>
              <w:rPr>
                <w:rFonts w:ascii="Arial" w:eastAsia="Times New Roman" w:hAnsi="Arial" w:cs="Arial"/>
                <w:sz w:val="24"/>
                <w:szCs w:val="24"/>
              </w:rPr>
            </w:pPr>
            <w:r w:rsidRPr="001C5CF3">
              <w:rPr>
                <w:rFonts w:ascii="Arial" w:hAnsi="Arial" w:cs="Arial"/>
                <w:sz w:val="24"/>
                <w:szCs w:val="24"/>
              </w:rPr>
              <w:t xml:space="preserve">Relevant competency </w:t>
            </w:r>
            <w:r>
              <w:rPr>
                <w:rFonts w:ascii="Arial" w:hAnsi="Arial" w:cs="Arial"/>
                <w:sz w:val="24"/>
                <w:szCs w:val="24"/>
              </w:rPr>
              <w:t xml:space="preserve">and experience </w:t>
            </w:r>
            <w:r w:rsidRPr="001C5CF3">
              <w:rPr>
                <w:rFonts w:ascii="Arial" w:hAnsi="Arial" w:cs="Arial"/>
                <w:sz w:val="24"/>
                <w:szCs w:val="24"/>
              </w:rPr>
              <w:t xml:space="preserve">of </w:t>
            </w:r>
            <w:r>
              <w:rPr>
                <w:rFonts w:ascii="Arial" w:hAnsi="Arial" w:cs="Arial"/>
                <w:sz w:val="24"/>
                <w:szCs w:val="24"/>
              </w:rPr>
              <w:t xml:space="preserve">the </w:t>
            </w:r>
            <w:r w:rsidRPr="001C5CF3">
              <w:rPr>
                <w:rFonts w:ascii="Arial" w:hAnsi="Arial" w:cs="Arial"/>
                <w:sz w:val="24"/>
                <w:szCs w:val="24"/>
              </w:rPr>
              <w:t xml:space="preserve">team leader and </w:t>
            </w:r>
            <w:r>
              <w:rPr>
                <w:rFonts w:ascii="Arial" w:hAnsi="Arial" w:cs="Arial"/>
                <w:sz w:val="24"/>
                <w:szCs w:val="24"/>
              </w:rPr>
              <w:t xml:space="preserve">appropriate </w:t>
            </w:r>
            <w:r w:rsidRPr="001C5CF3">
              <w:rPr>
                <w:rFonts w:ascii="Arial" w:hAnsi="Arial" w:cs="Arial"/>
                <w:sz w:val="24"/>
                <w:szCs w:val="24"/>
              </w:rPr>
              <w:t>team composition</w:t>
            </w:r>
          </w:p>
        </w:tc>
        <w:tc>
          <w:tcPr>
            <w:tcW w:w="3053" w:type="dxa"/>
          </w:tcPr>
          <w:p w14:paraId="43246444" w14:textId="77777777" w:rsidR="00F25042" w:rsidRPr="001C5CF3" w:rsidRDefault="00F25042" w:rsidP="00F25042">
            <w:pPr>
              <w:spacing w:after="120"/>
              <w:rPr>
                <w:rFonts w:ascii="Arial" w:eastAsia="Times New Roman" w:hAnsi="Arial" w:cs="Arial"/>
                <w:sz w:val="24"/>
                <w:szCs w:val="24"/>
              </w:rPr>
            </w:pPr>
            <w:r>
              <w:rPr>
                <w:rFonts w:ascii="Arial" w:eastAsia="Times New Roman" w:hAnsi="Arial" w:cs="Arial"/>
                <w:sz w:val="24"/>
                <w:szCs w:val="24"/>
              </w:rPr>
              <w:t>40</w:t>
            </w:r>
          </w:p>
        </w:tc>
      </w:tr>
      <w:tr w:rsidR="00F25042" w:rsidRPr="001C5CF3" w14:paraId="7114EB77" w14:textId="77777777" w:rsidTr="00F25042">
        <w:tc>
          <w:tcPr>
            <w:tcW w:w="6297" w:type="dxa"/>
          </w:tcPr>
          <w:p w14:paraId="0D91211F" w14:textId="77777777" w:rsidR="00F25042" w:rsidRPr="001C5CF3" w:rsidRDefault="00F25042" w:rsidP="00F25042">
            <w:pPr>
              <w:spacing w:after="120"/>
              <w:rPr>
                <w:rFonts w:ascii="Arial" w:eastAsia="Times New Roman" w:hAnsi="Arial" w:cs="Arial"/>
                <w:sz w:val="24"/>
                <w:szCs w:val="24"/>
              </w:rPr>
            </w:pPr>
            <w:r w:rsidRPr="001C5CF3">
              <w:rPr>
                <w:rFonts w:ascii="Arial" w:hAnsi="Arial" w:cs="Arial"/>
                <w:sz w:val="24"/>
                <w:szCs w:val="24"/>
              </w:rPr>
              <w:t xml:space="preserve">Amount of budget and justification </w:t>
            </w:r>
            <w:r w:rsidRPr="001C5CF3">
              <w:rPr>
                <w:rFonts w:ascii="Arial" w:eastAsia="Times New Roman" w:hAnsi="Arial" w:cs="Arial"/>
                <w:sz w:val="24"/>
                <w:szCs w:val="24"/>
              </w:rPr>
              <w:t xml:space="preserve"> </w:t>
            </w:r>
          </w:p>
        </w:tc>
        <w:tc>
          <w:tcPr>
            <w:tcW w:w="3053" w:type="dxa"/>
          </w:tcPr>
          <w:p w14:paraId="13B064BA" w14:textId="77777777" w:rsidR="00F25042" w:rsidRPr="001C5CF3" w:rsidRDefault="00F25042" w:rsidP="00F25042">
            <w:pPr>
              <w:spacing w:after="120"/>
              <w:rPr>
                <w:rFonts w:ascii="Arial" w:eastAsia="Times New Roman" w:hAnsi="Arial" w:cs="Arial"/>
                <w:sz w:val="24"/>
                <w:szCs w:val="24"/>
              </w:rPr>
            </w:pPr>
            <w:r>
              <w:rPr>
                <w:rFonts w:ascii="Arial" w:eastAsia="Times New Roman" w:hAnsi="Arial" w:cs="Arial"/>
                <w:sz w:val="24"/>
                <w:szCs w:val="24"/>
              </w:rPr>
              <w:t>20</w:t>
            </w:r>
          </w:p>
        </w:tc>
      </w:tr>
    </w:tbl>
    <w:p w14:paraId="4A9A2167" w14:textId="77777777" w:rsidR="00F25042" w:rsidRDefault="00F25042" w:rsidP="00F25042">
      <w:pPr>
        <w:spacing w:after="120" w:line="240" w:lineRule="auto"/>
        <w:rPr>
          <w:rFonts w:ascii="Arial" w:hAnsi="Arial" w:cs="Arial"/>
          <w:sz w:val="24"/>
          <w:szCs w:val="24"/>
        </w:rPr>
      </w:pPr>
    </w:p>
    <w:p w14:paraId="160038EC" w14:textId="77777777" w:rsidR="00F25042" w:rsidRPr="008B4508" w:rsidRDefault="00F25042" w:rsidP="00EC2C20">
      <w:pPr>
        <w:pStyle w:val="ListParagraph"/>
        <w:numPr>
          <w:ilvl w:val="0"/>
          <w:numId w:val="3"/>
        </w:numPr>
        <w:spacing w:after="120" w:line="240" w:lineRule="auto"/>
        <w:rPr>
          <w:rFonts w:ascii="Arial" w:hAnsi="Arial" w:cs="Arial"/>
          <w:b/>
          <w:sz w:val="24"/>
          <w:szCs w:val="24"/>
        </w:rPr>
      </w:pPr>
      <w:r w:rsidRPr="008B4508">
        <w:rPr>
          <w:rFonts w:ascii="Arial" w:hAnsi="Arial" w:cs="Arial"/>
          <w:b/>
          <w:sz w:val="24"/>
          <w:szCs w:val="24"/>
        </w:rPr>
        <w:t xml:space="preserve">Preparation of Proposal </w:t>
      </w:r>
    </w:p>
    <w:p w14:paraId="21947AAC" w14:textId="77777777" w:rsidR="00F25042" w:rsidRPr="00A6604E" w:rsidRDefault="00F25042" w:rsidP="00F25042">
      <w:pPr>
        <w:autoSpaceDE w:val="0"/>
        <w:autoSpaceDN w:val="0"/>
        <w:adjustRightInd w:val="0"/>
        <w:spacing w:after="120" w:line="240" w:lineRule="auto"/>
        <w:rPr>
          <w:rFonts w:ascii="Arial" w:hAnsi="Arial" w:cs="Arial"/>
          <w:sz w:val="24"/>
          <w:szCs w:val="24"/>
        </w:rPr>
      </w:pPr>
      <w:r w:rsidRPr="00A6604E">
        <w:rPr>
          <w:rFonts w:ascii="Arial" w:hAnsi="Arial" w:cs="Arial"/>
          <w:sz w:val="24"/>
          <w:szCs w:val="24"/>
        </w:rPr>
        <w:t>The proposal will be divided into two parts and should be submitted in two separate folders i.e. technical and financial. The technical part of the proposal should not exceed 1</w:t>
      </w:r>
      <w:r>
        <w:rPr>
          <w:rFonts w:ascii="Arial" w:hAnsi="Arial" w:cs="Arial"/>
          <w:sz w:val="24"/>
          <w:szCs w:val="24"/>
        </w:rPr>
        <w:t>0</w:t>
      </w:r>
      <w:r w:rsidRPr="00A6604E">
        <w:rPr>
          <w:rFonts w:ascii="Arial" w:hAnsi="Arial" w:cs="Arial"/>
          <w:sz w:val="24"/>
          <w:szCs w:val="24"/>
        </w:rPr>
        <w:t xml:space="preserve"> pages and will contain the following:</w:t>
      </w:r>
    </w:p>
    <w:p w14:paraId="5832D028" w14:textId="77777777" w:rsidR="00F25042" w:rsidRPr="00A6604E"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A6604E">
        <w:rPr>
          <w:rFonts w:ascii="Arial" w:hAnsi="Arial" w:cs="Arial"/>
          <w:color w:val="000000" w:themeColor="text1"/>
          <w:sz w:val="24"/>
          <w:szCs w:val="24"/>
        </w:rPr>
        <w:t>Detailed timeframe (including dates for submission of first draft, dissemination of findings and final report).</w:t>
      </w:r>
    </w:p>
    <w:p w14:paraId="306866CC" w14:textId="77777777" w:rsidR="00F25042" w:rsidRPr="00035189" w:rsidRDefault="00F25042" w:rsidP="00EC2C20">
      <w:pPr>
        <w:pStyle w:val="ListParagraph"/>
        <w:numPr>
          <w:ilvl w:val="0"/>
          <w:numId w:val="7"/>
        </w:numPr>
        <w:spacing w:line="240" w:lineRule="auto"/>
        <w:jc w:val="both"/>
        <w:rPr>
          <w:rFonts w:ascii="Arial" w:hAnsi="Arial" w:cs="Arial"/>
          <w:sz w:val="24"/>
          <w:szCs w:val="24"/>
          <w:lang w:val="en-US"/>
        </w:rPr>
      </w:pPr>
      <w:r w:rsidRPr="00035189">
        <w:rPr>
          <w:rFonts w:ascii="Arial" w:hAnsi="Arial" w:cs="Arial"/>
          <w:sz w:val="24"/>
          <w:szCs w:val="24"/>
          <w:lang w:val="en-US"/>
        </w:rPr>
        <w:t>Proposed plan for surveying the projected sample population, with adequate consideration for timing of household/community surveys, travel cost per team of enumerators, supervision of enumeration teams and quality control</w:t>
      </w:r>
    </w:p>
    <w:p w14:paraId="303C78E7" w14:textId="77777777" w:rsidR="00F25042" w:rsidRPr="00035189" w:rsidRDefault="00F25042" w:rsidP="00EC2C20">
      <w:pPr>
        <w:pStyle w:val="ListParagraph"/>
        <w:numPr>
          <w:ilvl w:val="0"/>
          <w:numId w:val="7"/>
        </w:numPr>
        <w:spacing w:line="240" w:lineRule="auto"/>
        <w:jc w:val="both"/>
        <w:rPr>
          <w:rFonts w:ascii="Arial" w:hAnsi="Arial" w:cs="Arial"/>
          <w:sz w:val="24"/>
          <w:szCs w:val="24"/>
          <w:lang w:val="en-US"/>
        </w:rPr>
      </w:pPr>
      <w:r w:rsidRPr="00035189">
        <w:rPr>
          <w:rFonts w:ascii="Arial" w:hAnsi="Arial" w:cs="Arial"/>
          <w:sz w:val="24"/>
          <w:szCs w:val="24"/>
          <w:lang w:val="en-US"/>
        </w:rPr>
        <w:t>Proposed steps to be taken for enumerator training, piloting/translation of tools, data collection, spot checking, data entry and management</w:t>
      </w:r>
    </w:p>
    <w:p w14:paraId="1AF6F2C3" w14:textId="77777777" w:rsidR="00F25042" w:rsidRPr="00732E88"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035189">
        <w:rPr>
          <w:rFonts w:ascii="Arial" w:hAnsi="Arial" w:cs="Arial"/>
          <w:sz w:val="24"/>
          <w:szCs w:val="24"/>
          <w:lang w:val="en-US"/>
        </w:rPr>
        <w:t xml:space="preserve">Outline of approaches and measures to ensure the study will meet international </w:t>
      </w:r>
      <w:r w:rsidRPr="00732E88">
        <w:rPr>
          <w:rFonts w:ascii="Arial" w:hAnsi="Arial" w:cs="Arial"/>
          <w:color w:val="000000" w:themeColor="text1"/>
          <w:sz w:val="24"/>
          <w:szCs w:val="24"/>
        </w:rPr>
        <w:t>ethical standards for doing research with children in a safe and ethical manner</w:t>
      </w:r>
    </w:p>
    <w:p w14:paraId="0ECBE933" w14:textId="77777777" w:rsidR="00F25042" w:rsidRPr="00732E88"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732E88">
        <w:rPr>
          <w:rFonts w:ascii="Arial" w:hAnsi="Arial" w:cs="Arial"/>
          <w:color w:val="000000" w:themeColor="text1"/>
          <w:sz w:val="24"/>
          <w:szCs w:val="24"/>
        </w:rPr>
        <w:t>Details on the informed consent process considering the situation for both male and female adults as well as adolescent girls and boys under the age of 18</w:t>
      </w:r>
    </w:p>
    <w:p w14:paraId="3FBE1282" w14:textId="77777777" w:rsidR="00F25042" w:rsidRPr="00732E88"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732E88">
        <w:rPr>
          <w:rFonts w:ascii="Arial" w:hAnsi="Arial" w:cs="Arial"/>
          <w:color w:val="000000" w:themeColor="text1"/>
          <w:sz w:val="24"/>
          <w:szCs w:val="24"/>
        </w:rPr>
        <w:t>Team composition (including sex-disaggregation) and level of effort of each proposed team member, if applicable</w:t>
      </w:r>
    </w:p>
    <w:p w14:paraId="79D8DBEA" w14:textId="77777777" w:rsidR="00F25042"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A6604E">
        <w:rPr>
          <w:rFonts w:ascii="Arial" w:hAnsi="Arial" w:cs="Arial"/>
          <w:color w:val="000000" w:themeColor="text1"/>
          <w:sz w:val="24"/>
          <w:szCs w:val="24"/>
        </w:rPr>
        <w:t xml:space="preserve">Account of experience of conducting </w:t>
      </w:r>
      <w:r>
        <w:rPr>
          <w:rFonts w:ascii="Arial" w:hAnsi="Arial" w:cs="Arial"/>
          <w:color w:val="000000" w:themeColor="text1"/>
          <w:sz w:val="24"/>
          <w:szCs w:val="24"/>
        </w:rPr>
        <w:t xml:space="preserve">large scale </w:t>
      </w:r>
      <w:r w:rsidRPr="00A6604E">
        <w:rPr>
          <w:rFonts w:ascii="Arial" w:hAnsi="Arial" w:cs="Arial"/>
          <w:color w:val="000000" w:themeColor="text1"/>
          <w:sz w:val="24"/>
          <w:szCs w:val="24"/>
        </w:rPr>
        <w:t xml:space="preserve">survey and </w:t>
      </w:r>
      <w:r>
        <w:rPr>
          <w:rFonts w:ascii="Arial" w:hAnsi="Arial" w:cs="Arial"/>
          <w:color w:val="000000" w:themeColor="text1"/>
          <w:sz w:val="24"/>
          <w:szCs w:val="24"/>
        </w:rPr>
        <w:t>relevant studies.</w:t>
      </w:r>
    </w:p>
    <w:p w14:paraId="0F79A648" w14:textId="77777777" w:rsidR="00F25042" w:rsidRPr="00D452D0"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Pr>
          <w:rFonts w:ascii="Arial" w:hAnsi="Arial" w:cs="Arial"/>
          <w:color w:val="000000" w:themeColor="text1"/>
          <w:sz w:val="24"/>
          <w:szCs w:val="24"/>
        </w:rPr>
        <w:t xml:space="preserve">Name and address of two organisations and name of the contact person to be used as reference.  </w:t>
      </w:r>
    </w:p>
    <w:p w14:paraId="48ECDED0" w14:textId="77777777" w:rsidR="00F25042" w:rsidRPr="00A6604E"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A6604E">
        <w:rPr>
          <w:rFonts w:ascii="Arial" w:hAnsi="Arial" w:cs="Arial"/>
          <w:color w:val="000000" w:themeColor="text1"/>
          <w:sz w:val="24"/>
          <w:szCs w:val="24"/>
        </w:rPr>
        <w:t>CVs of the team leader and key members of the study team which reflect relevant experience to conduct the study.</w:t>
      </w:r>
    </w:p>
    <w:p w14:paraId="422CB66B" w14:textId="77777777" w:rsidR="00F25042" w:rsidRPr="00A6604E"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732E88">
        <w:rPr>
          <w:rFonts w:ascii="Arial" w:hAnsi="Arial" w:cs="Arial"/>
          <w:color w:val="000000" w:themeColor="text1"/>
          <w:sz w:val="24"/>
          <w:szCs w:val="24"/>
        </w:rPr>
        <w:t>Copy of VAT registration certificate (for consulting firm).</w:t>
      </w:r>
    </w:p>
    <w:p w14:paraId="485EED14" w14:textId="77777777" w:rsidR="00F25042" w:rsidRPr="00732E88" w:rsidRDefault="00F25042" w:rsidP="00EC2C20">
      <w:pPr>
        <w:pStyle w:val="ListParagraph"/>
        <w:numPr>
          <w:ilvl w:val="0"/>
          <w:numId w:val="7"/>
        </w:numPr>
        <w:spacing w:after="0" w:line="240" w:lineRule="auto"/>
        <w:ind w:left="634"/>
        <w:contextualSpacing w:val="0"/>
        <w:rPr>
          <w:rFonts w:ascii="Arial" w:hAnsi="Arial" w:cs="Arial"/>
          <w:color w:val="000000" w:themeColor="text1"/>
          <w:sz w:val="24"/>
          <w:szCs w:val="24"/>
        </w:rPr>
      </w:pPr>
      <w:r w:rsidRPr="00732E88">
        <w:rPr>
          <w:rFonts w:ascii="Arial" w:hAnsi="Arial" w:cs="Arial"/>
          <w:color w:val="000000" w:themeColor="text1"/>
          <w:sz w:val="24"/>
          <w:szCs w:val="24"/>
        </w:rPr>
        <w:t>Copy of valid TIN certificate and bank account detail.</w:t>
      </w:r>
    </w:p>
    <w:p w14:paraId="171E9EC7" w14:textId="77777777" w:rsidR="005B7DDC" w:rsidRDefault="005B7DDC" w:rsidP="005B7DDC">
      <w:pPr>
        <w:spacing w:after="0" w:line="240" w:lineRule="auto"/>
        <w:rPr>
          <w:rFonts w:ascii="Arial" w:hAnsi="Arial" w:cs="Arial"/>
          <w:color w:val="000000"/>
          <w:sz w:val="24"/>
          <w:szCs w:val="24"/>
        </w:rPr>
      </w:pPr>
    </w:p>
    <w:p w14:paraId="05AC1A6C" w14:textId="6515F9D7" w:rsidR="00F25042" w:rsidRDefault="00F25042" w:rsidP="00F25042">
      <w:pPr>
        <w:spacing w:after="120" w:line="240" w:lineRule="auto"/>
        <w:rPr>
          <w:rFonts w:ascii="Arial" w:hAnsi="Arial" w:cs="Arial"/>
          <w:color w:val="000000"/>
          <w:sz w:val="24"/>
          <w:szCs w:val="24"/>
        </w:rPr>
      </w:pPr>
      <w:r w:rsidRPr="00A6604E">
        <w:rPr>
          <w:rFonts w:ascii="Arial" w:hAnsi="Arial" w:cs="Arial"/>
          <w:color w:val="000000"/>
          <w:sz w:val="24"/>
          <w:szCs w:val="24"/>
        </w:rPr>
        <w:t>The financial proposal should clearly identify, item wise summary of cost for</w:t>
      </w:r>
      <w:r>
        <w:rPr>
          <w:rFonts w:ascii="Arial" w:hAnsi="Arial" w:cs="Arial"/>
          <w:color w:val="000000"/>
          <w:sz w:val="24"/>
          <w:szCs w:val="24"/>
        </w:rPr>
        <w:t>:</w:t>
      </w:r>
    </w:p>
    <w:p w14:paraId="367E5A1B" w14:textId="77777777" w:rsidR="00F25042" w:rsidRPr="00732E88" w:rsidRDefault="00F25042" w:rsidP="00F25042">
      <w:pPr>
        <w:pStyle w:val="ListParagraph"/>
        <w:spacing w:line="240" w:lineRule="auto"/>
        <w:ind w:left="792"/>
        <w:rPr>
          <w:rFonts w:ascii="Arial" w:hAnsi="Arial" w:cs="Arial"/>
          <w:sz w:val="24"/>
          <w:szCs w:val="24"/>
          <w:lang w:val="en-US"/>
        </w:rPr>
      </w:pPr>
      <w:proofErr w:type="spellStart"/>
      <w:r w:rsidRPr="00732E88">
        <w:rPr>
          <w:rFonts w:ascii="Arial" w:hAnsi="Arial" w:cs="Arial"/>
          <w:sz w:val="24"/>
          <w:szCs w:val="24"/>
          <w:lang w:val="en-US"/>
        </w:rPr>
        <w:t>i</w:t>
      </w:r>
      <w:proofErr w:type="spellEnd"/>
      <w:r w:rsidRPr="00732E88">
        <w:rPr>
          <w:rFonts w:ascii="Arial" w:hAnsi="Arial" w:cs="Arial"/>
          <w:sz w:val="24"/>
          <w:szCs w:val="24"/>
          <w:lang w:val="en-US"/>
        </w:rPr>
        <w:t>. Itemized consultancy fees/costs</w:t>
      </w:r>
    </w:p>
    <w:p w14:paraId="2853927B" w14:textId="77777777" w:rsidR="00F25042" w:rsidRPr="00732E88" w:rsidRDefault="00F25042" w:rsidP="00F25042">
      <w:pPr>
        <w:pStyle w:val="ListParagraph"/>
        <w:spacing w:line="240" w:lineRule="auto"/>
        <w:ind w:left="792"/>
        <w:rPr>
          <w:rFonts w:ascii="Arial" w:hAnsi="Arial" w:cs="Arial"/>
          <w:sz w:val="24"/>
          <w:szCs w:val="24"/>
          <w:lang w:val="en-US"/>
        </w:rPr>
      </w:pPr>
      <w:r w:rsidRPr="00732E88">
        <w:rPr>
          <w:rFonts w:ascii="Arial" w:hAnsi="Arial" w:cs="Arial"/>
          <w:sz w:val="24"/>
          <w:szCs w:val="24"/>
          <w:lang w:val="en-US"/>
        </w:rPr>
        <w:t>ii. Itemized field data collection expenses (including translation costs)</w:t>
      </w:r>
    </w:p>
    <w:p w14:paraId="292735E7" w14:textId="77777777" w:rsidR="00F25042" w:rsidRPr="00732E88" w:rsidRDefault="00F25042" w:rsidP="00F25042">
      <w:pPr>
        <w:pStyle w:val="ListParagraph"/>
        <w:spacing w:line="240" w:lineRule="auto"/>
        <w:ind w:left="792"/>
        <w:rPr>
          <w:rFonts w:ascii="Arial" w:hAnsi="Arial" w:cs="Arial"/>
          <w:sz w:val="24"/>
          <w:szCs w:val="24"/>
          <w:lang w:val="en-US"/>
        </w:rPr>
      </w:pPr>
      <w:r w:rsidRPr="00732E88">
        <w:rPr>
          <w:rFonts w:ascii="Arial" w:hAnsi="Arial" w:cs="Arial"/>
          <w:sz w:val="24"/>
          <w:szCs w:val="24"/>
          <w:lang w:val="en-US"/>
        </w:rPr>
        <w:t>iii. Itemized administrative expenses</w:t>
      </w:r>
    </w:p>
    <w:p w14:paraId="604BA1C1" w14:textId="77777777" w:rsidR="00F25042" w:rsidRPr="00732E88" w:rsidRDefault="00F25042" w:rsidP="00F25042">
      <w:pPr>
        <w:pStyle w:val="ListParagraph"/>
        <w:spacing w:line="240" w:lineRule="auto"/>
        <w:ind w:left="792"/>
        <w:rPr>
          <w:rFonts w:ascii="Arial" w:hAnsi="Arial" w:cs="Arial"/>
          <w:sz w:val="24"/>
          <w:szCs w:val="24"/>
          <w:lang w:val="en-US"/>
        </w:rPr>
      </w:pPr>
      <w:r w:rsidRPr="00732E88">
        <w:rPr>
          <w:rFonts w:ascii="Arial" w:hAnsi="Arial" w:cs="Arial"/>
          <w:sz w:val="24"/>
          <w:szCs w:val="24"/>
          <w:lang w:val="en-US"/>
        </w:rPr>
        <w:t>iv. Validity period of quotations</w:t>
      </w:r>
    </w:p>
    <w:p w14:paraId="508943DA" w14:textId="77777777" w:rsidR="00F25042" w:rsidRDefault="00F25042" w:rsidP="00F25042">
      <w:pPr>
        <w:spacing w:after="120" w:line="240" w:lineRule="auto"/>
        <w:rPr>
          <w:rFonts w:ascii="Arial" w:hAnsi="Arial" w:cs="Arial"/>
          <w:color w:val="000000"/>
          <w:sz w:val="24"/>
          <w:szCs w:val="24"/>
        </w:rPr>
      </w:pPr>
      <w:r w:rsidRPr="00A6604E">
        <w:rPr>
          <w:rFonts w:ascii="Arial" w:hAnsi="Arial" w:cs="Arial"/>
          <w:color w:val="000000" w:themeColor="text1"/>
          <w:sz w:val="24"/>
          <w:szCs w:val="24"/>
        </w:rPr>
        <w:lastRenderedPageBreak/>
        <w:t xml:space="preserve">The budget should not contain income tax as a separate head; it can be blended with the other expenditure, as it will be deducted from the source. However, VAT can be mentioned in the budget as per government regulation. The organisation </w:t>
      </w:r>
      <w:r w:rsidRPr="00A6604E">
        <w:rPr>
          <w:rFonts w:ascii="Arial" w:hAnsi="Arial" w:cs="Arial"/>
          <w:color w:val="000000"/>
          <w:sz w:val="24"/>
          <w:szCs w:val="24"/>
        </w:rPr>
        <w:t xml:space="preserve">will deduct VAT and Tax at source according to the </w:t>
      </w:r>
      <w:proofErr w:type="spellStart"/>
      <w:r w:rsidRPr="00A6604E">
        <w:rPr>
          <w:rFonts w:ascii="Arial" w:hAnsi="Arial" w:cs="Arial"/>
          <w:color w:val="000000"/>
          <w:sz w:val="24"/>
          <w:szCs w:val="24"/>
        </w:rPr>
        <w:t>GoB</w:t>
      </w:r>
      <w:proofErr w:type="spellEnd"/>
      <w:r w:rsidRPr="00A6604E">
        <w:rPr>
          <w:rFonts w:ascii="Arial" w:hAnsi="Arial" w:cs="Arial"/>
          <w:color w:val="000000"/>
          <w:sz w:val="24"/>
          <w:szCs w:val="24"/>
        </w:rPr>
        <w:t xml:space="preserve"> rules and deposit the said amount to government treasury. The consultant/consulting firm is expected to provide justified budget, which is consistent with technical proposal.</w:t>
      </w:r>
    </w:p>
    <w:p w14:paraId="3CFCDAC3" w14:textId="77777777" w:rsidR="00F25042" w:rsidRPr="00767733" w:rsidRDefault="00F25042" w:rsidP="00EC2C20">
      <w:pPr>
        <w:pStyle w:val="ListParagraph"/>
        <w:numPr>
          <w:ilvl w:val="0"/>
          <w:numId w:val="3"/>
        </w:numPr>
        <w:spacing w:after="120" w:line="240" w:lineRule="auto"/>
        <w:rPr>
          <w:rFonts w:ascii="Arial" w:hAnsi="Arial" w:cs="Arial"/>
          <w:b/>
          <w:sz w:val="24"/>
          <w:szCs w:val="24"/>
        </w:rPr>
      </w:pPr>
      <w:r w:rsidRPr="00767733">
        <w:rPr>
          <w:rFonts w:ascii="Arial" w:hAnsi="Arial" w:cs="Arial"/>
          <w:b/>
          <w:sz w:val="24"/>
          <w:szCs w:val="24"/>
        </w:rPr>
        <w:t>Submission of Proposal</w:t>
      </w:r>
    </w:p>
    <w:p w14:paraId="4B613924" w14:textId="698434F8" w:rsidR="00F25042" w:rsidRDefault="00F25042" w:rsidP="00F25042">
      <w:pPr>
        <w:autoSpaceDE w:val="0"/>
        <w:autoSpaceDN w:val="0"/>
        <w:adjustRightInd w:val="0"/>
        <w:spacing w:after="120" w:line="240" w:lineRule="auto"/>
        <w:rPr>
          <w:rFonts w:ascii="Arial" w:hAnsi="Arial" w:cs="Arial"/>
          <w:b/>
          <w:sz w:val="24"/>
          <w:szCs w:val="24"/>
        </w:rPr>
      </w:pPr>
      <w:r w:rsidRPr="00140EFE">
        <w:rPr>
          <w:rFonts w:ascii="Arial" w:hAnsi="Arial" w:cs="Arial"/>
          <w:color w:val="000000" w:themeColor="text1"/>
          <w:sz w:val="24"/>
          <w:szCs w:val="24"/>
        </w:rPr>
        <w:t xml:space="preserve">The technical and financial proposals should be submitted electronically to the email address: </w:t>
      </w:r>
      <w:hyperlink r:id="rId14" w:history="1">
        <w:r w:rsidRPr="00140EFE">
          <w:rPr>
            <w:rStyle w:val="Hyperlink"/>
            <w:rFonts w:ascii="Arial" w:hAnsi="Arial" w:cs="Arial"/>
            <w:sz w:val="24"/>
            <w:szCs w:val="24"/>
          </w:rPr>
          <w:t>Planbd.consultant.hiring@plan-international.org</w:t>
        </w:r>
      </w:hyperlink>
      <w:r w:rsidRPr="00140EFE">
        <w:rPr>
          <w:rFonts w:ascii="Arial" w:hAnsi="Arial" w:cs="Arial"/>
          <w:color w:val="1F497D"/>
          <w:sz w:val="24"/>
          <w:szCs w:val="24"/>
        </w:rPr>
        <w:t xml:space="preserve"> </w:t>
      </w:r>
      <w:r w:rsidRPr="00140EFE">
        <w:rPr>
          <w:rFonts w:ascii="Arial" w:hAnsi="Arial" w:cs="Arial"/>
          <w:color w:val="000000" w:themeColor="text1"/>
          <w:sz w:val="24"/>
          <w:szCs w:val="24"/>
        </w:rPr>
        <w:t xml:space="preserve">with </w:t>
      </w:r>
      <w:r>
        <w:rPr>
          <w:rFonts w:ascii="Arial" w:hAnsi="Arial" w:cs="Arial"/>
          <w:color w:val="000000" w:themeColor="text1"/>
          <w:sz w:val="24"/>
          <w:szCs w:val="24"/>
        </w:rPr>
        <w:t xml:space="preserve">subject line – </w:t>
      </w:r>
      <w:r>
        <w:rPr>
          <w:rFonts w:ascii="Arial" w:hAnsi="Arial" w:cs="Arial"/>
          <w:b/>
          <w:sz w:val="24"/>
          <w:szCs w:val="24"/>
        </w:rPr>
        <w:t>Midline Survey of</w:t>
      </w:r>
      <w:r w:rsidRPr="00140EFE">
        <w:rPr>
          <w:rFonts w:ascii="Arial" w:hAnsi="Arial" w:cs="Arial"/>
          <w:b/>
          <w:caps/>
          <w:sz w:val="24"/>
          <w:szCs w:val="24"/>
        </w:rPr>
        <w:t xml:space="preserve"> C</w:t>
      </w:r>
      <w:r w:rsidRPr="00140EFE">
        <w:rPr>
          <w:rFonts w:ascii="Arial" w:hAnsi="Arial" w:cs="Arial"/>
          <w:b/>
          <w:sz w:val="24"/>
          <w:szCs w:val="24"/>
        </w:rPr>
        <w:t>ombatting</w:t>
      </w:r>
      <w:r w:rsidRPr="00140EFE">
        <w:rPr>
          <w:rFonts w:ascii="Arial" w:hAnsi="Arial" w:cs="Arial"/>
          <w:b/>
          <w:caps/>
          <w:sz w:val="24"/>
          <w:szCs w:val="24"/>
        </w:rPr>
        <w:t xml:space="preserve"> c</w:t>
      </w:r>
      <w:r w:rsidRPr="00140EFE">
        <w:rPr>
          <w:rFonts w:ascii="Arial" w:hAnsi="Arial" w:cs="Arial"/>
          <w:b/>
          <w:sz w:val="24"/>
          <w:szCs w:val="24"/>
        </w:rPr>
        <w:t>hild</w:t>
      </w:r>
      <w:r w:rsidRPr="00140EFE">
        <w:rPr>
          <w:rFonts w:ascii="Arial" w:hAnsi="Arial" w:cs="Arial"/>
          <w:b/>
          <w:caps/>
          <w:sz w:val="24"/>
          <w:szCs w:val="24"/>
        </w:rPr>
        <w:t xml:space="preserve"> M</w:t>
      </w:r>
      <w:r w:rsidRPr="00140EFE">
        <w:rPr>
          <w:rFonts w:ascii="Arial" w:hAnsi="Arial" w:cs="Arial"/>
          <w:b/>
          <w:sz w:val="24"/>
          <w:szCs w:val="24"/>
        </w:rPr>
        <w:t>arriage</w:t>
      </w:r>
      <w:r w:rsidRPr="00140EFE">
        <w:rPr>
          <w:rFonts w:ascii="Arial" w:hAnsi="Arial" w:cs="Arial"/>
          <w:b/>
          <w:caps/>
          <w:sz w:val="24"/>
          <w:szCs w:val="24"/>
        </w:rPr>
        <w:t xml:space="preserve"> </w:t>
      </w:r>
      <w:r w:rsidRPr="00140EFE">
        <w:rPr>
          <w:rFonts w:ascii="Arial" w:hAnsi="Arial" w:cs="Arial"/>
          <w:b/>
          <w:sz w:val="24"/>
          <w:szCs w:val="24"/>
        </w:rPr>
        <w:t>in</w:t>
      </w:r>
      <w:r w:rsidRPr="00140EFE">
        <w:rPr>
          <w:rFonts w:ascii="Arial" w:hAnsi="Arial" w:cs="Arial"/>
          <w:b/>
          <w:caps/>
          <w:sz w:val="24"/>
          <w:szCs w:val="24"/>
        </w:rPr>
        <w:t xml:space="preserve"> B</w:t>
      </w:r>
      <w:r w:rsidRPr="00140EFE">
        <w:rPr>
          <w:rFonts w:ascii="Arial" w:hAnsi="Arial" w:cs="Arial"/>
          <w:b/>
          <w:sz w:val="24"/>
          <w:szCs w:val="24"/>
        </w:rPr>
        <w:t>angladesh</w:t>
      </w:r>
      <w:r>
        <w:rPr>
          <w:rFonts w:ascii="Arial" w:hAnsi="Arial" w:cs="Arial"/>
          <w:b/>
          <w:sz w:val="24"/>
          <w:szCs w:val="24"/>
        </w:rPr>
        <w:t xml:space="preserve"> project. </w:t>
      </w:r>
    </w:p>
    <w:p w14:paraId="23D6F491" w14:textId="77777777" w:rsidR="002A154D" w:rsidRPr="002A154D" w:rsidRDefault="002A154D" w:rsidP="00F25042">
      <w:pPr>
        <w:autoSpaceDE w:val="0"/>
        <w:autoSpaceDN w:val="0"/>
        <w:adjustRightInd w:val="0"/>
        <w:spacing w:after="120" w:line="240" w:lineRule="auto"/>
        <w:jc w:val="both"/>
        <w:rPr>
          <w:rFonts w:ascii="Arial" w:hAnsi="Arial" w:cs="Arial"/>
          <w:iCs/>
          <w:sz w:val="2"/>
          <w:szCs w:val="24"/>
        </w:rPr>
      </w:pPr>
    </w:p>
    <w:p w14:paraId="6BD9ECCC" w14:textId="7167528E" w:rsidR="00F25042" w:rsidRPr="00140EFE" w:rsidRDefault="00F25042" w:rsidP="00F25042">
      <w:pPr>
        <w:autoSpaceDE w:val="0"/>
        <w:autoSpaceDN w:val="0"/>
        <w:adjustRightInd w:val="0"/>
        <w:spacing w:after="120" w:line="240" w:lineRule="auto"/>
        <w:jc w:val="both"/>
        <w:rPr>
          <w:rFonts w:ascii="Arial" w:hAnsi="Arial" w:cs="Arial"/>
          <w:iCs/>
          <w:sz w:val="24"/>
          <w:szCs w:val="24"/>
        </w:rPr>
      </w:pPr>
      <w:r w:rsidRPr="00140EFE">
        <w:rPr>
          <w:rFonts w:ascii="Arial" w:hAnsi="Arial" w:cs="Arial"/>
          <w:iCs/>
          <w:sz w:val="24"/>
          <w:szCs w:val="24"/>
        </w:rPr>
        <w:t xml:space="preserve">Proposal submitted to any other email account except this and in hard copy will be treated as disqualified. Submissions after the deadline </w:t>
      </w:r>
      <w:r w:rsidRPr="007E38D1">
        <w:rPr>
          <w:rFonts w:ascii="Arial" w:hAnsi="Arial" w:cs="Arial"/>
          <w:b/>
          <w:iCs/>
          <w:sz w:val="24"/>
          <w:szCs w:val="24"/>
          <w:highlight w:val="yellow"/>
        </w:rPr>
        <w:t>30</w:t>
      </w:r>
      <w:r w:rsidRPr="007E38D1">
        <w:rPr>
          <w:rFonts w:ascii="Arial" w:hAnsi="Arial" w:cs="Arial"/>
          <w:b/>
          <w:iCs/>
          <w:sz w:val="24"/>
          <w:szCs w:val="24"/>
          <w:highlight w:val="yellow"/>
          <w:vertAlign w:val="superscript"/>
        </w:rPr>
        <w:t>th</w:t>
      </w:r>
      <w:r w:rsidRPr="007E38D1">
        <w:rPr>
          <w:rFonts w:ascii="Arial" w:hAnsi="Arial" w:cs="Arial"/>
          <w:b/>
          <w:iCs/>
          <w:sz w:val="24"/>
          <w:szCs w:val="24"/>
          <w:highlight w:val="yellow"/>
        </w:rPr>
        <w:t xml:space="preserve"> </w:t>
      </w:r>
      <w:r>
        <w:rPr>
          <w:rFonts w:ascii="Arial" w:hAnsi="Arial" w:cs="Arial"/>
          <w:b/>
          <w:iCs/>
          <w:sz w:val="24"/>
          <w:szCs w:val="24"/>
          <w:highlight w:val="yellow"/>
        </w:rPr>
        <w:t>November</w:t>
      </w:r>
      <w:r w:rsidRPr="007E38D1">
        <w:rPr>
          <w:rFonts w:ascii="Arial" w:hAnsi="Arial" w:cs="Arial"/>
          <w:b/>
          <w:iCs/>
          <w:sz w:val="24"/>
          <w:szCs w:val="24"/>
          <w:highlight w:val="yellow"/>
        </w:rPr>
        <w:t xml:space="preserve"> 2021</w:t>
      </w:r>
      <w:r>
        <w:rPr>
          <w:rFonts w:ascii="Arial" w:hAnsi="Arial" w:cs="Arial"/>
          <w:iCs/>
          <w:sz w:val="24"/>
          <w:szCs w:val="24"/>
        </w:rPr>
        <w:t xml:space="preserve"> </w:t>
      </w:r>
      <w:r w:rsidRPr="00140EFE">
        <w:rPr>
          <w:rFonts w:ascii="Arial" w:hAnsi="Arial" w:cs="Arial"/>
          <w:iCs/>
          <w:sz w:val="24"/>
          <w:szCs w:val="24"/>
        </w:rPr>
        <w:t>will be treated as disqualified. Two different folders i.e. technical and financial should be submitted into one zip folder with a covering letter. The proposals</w:t>
      </w:r>
      <w:bookmarkStart w:id="3" w:name="_GoBack"/>
      <w:bookmarkEnd w:id="3"/>
      <w:r w:rsidRPr="00140EFE">
        <w:rPr>
          <w:rFonts w:ascii="Arial" w:hAnsi="Arial" w:cs="Arial"/>
          <w:iCs/>
          <w:sz w:val="24"/>
          <w:szCs w:val="24"/>
        </w:rPr>
        <w:t xml:space="preserve"> should be submitted in pdf format.</w:t>
      </w:r>
    </w:p>
    <w:p w14:paraId="225E3C55" w14:textId="77777777" w:rsidR="00F25042" w:rsidRPr="000A1A58" w:rsidRDefault="00F25042" w:rsidP="00EC2C20">
      <w:pPr>
        <w:pStyle w:val="ListParagraph"/>
        <w:numPr>
          <w:ilvl w:val="0"/>
          <w:numId w:val="3"/>
        </w:numPr>
        <w:spacing w:after="120" w:line="240" w:lineRule="auto"/>
        <w:contextualSpacing w:val="0"/>
        <w:rPr>
          <w:rFonts w:ascii="Arial" w:hAnsi="Arial" w:cs="Arial"/>
          <w:b/>
          <w:sz w:val="24"/>
          <w:szCs w:val="24"/>
        </w:rPr>
      </w:pPr>
      <w:r>
        <w:rPr>
          <w:rFonts w:ascii="Arial" w:hAnsi="Arial" w:cs="Arial"/>
          <w:sz w:val="24"/>
          <w:szCs w:val="24"/>
        </w:rPr>
        <w:t xml:space="preserve"> </w:t>
      </w:r>
      <w:r w:rsidRPr="00F131FA">
        <w:rPr>
          <w:rFonts w:ascii="Arial" w:hAnsi="Arial" w:cs="Arial"/>
          <w:b/>
          <w:sz w:val="24"/>
          <w:szCs w:val="24"/>
        </w:rPr>
        <w:t>Penalty Clause</w:t>
      </w:r>
    </w:p>
    <w:p w14:paraId="143D43DA" w14:textId="77777777" w:rsidR="00F25042" w:rsidRPr="000A1A58" w:rsidRDefault="00F25042" w:rsidP="00F25042">
      <w:pPr>
        <w:spacing w:after="120" w:line="240" w:lineRule="auto"/>
        <w:rPr>
          <w:rFonts w:ascii="Arial" w:hAnsi="Arial" w:cs="Arial"/>
          <w:bCs/>
          <w:color w:val="000000" w:themeColor="text1"/>
          <w:sz w:val="24"/>
          <w:szCs w:val="24"/>
        </w:rPr>
      </w:pPr>
      <w:r w:rsidRPr="000A1A58">
        <w:rPr>
          <w:rFonts w:ascii="Arial" w:hAnsi="Arial" w:cs="Arial"/>
          <w:bCs/>
          <w:color w:val="000000" w:themeColor="text1"/>
          <w:sz w:val="24"/>
          <w:szCs w:val="24"/>
        </w:rPr>
        <w:t xml:space="preserve">The consultant/consulting firm is expected to provide services within stipulated period as well as submit the final report maintaining the quality as </w:t>
      </w:r>
      <w:r w:rsidRPr="00DA795C">
        <w:rPr>
          <w:rFonts w:ascii="Arial" w:hAnsi="Arial" w:cs="Arial"/>
          <w:bCs/>
          <w:color w:val="000000" w:themeColor="text1"/>
          <w:sz w:val="24"/>
          <w:szCs w:val="24"/>
        </w:rPr>
        <w:t>mentioned in section 8. If the</w:t>
      </w:r>
      <w:r w:rsidRPr="000A1A58">
        <w:rPr>
          <w:rFonts w:ascii="Arial" w:hAnsi="Arial" w:cs="Arial"/>
          <w:bCs/>
          <w:color w:val="000000" w:themeColor="text1"/>
          <w:sz w:val="24"/>
          <w:szCs w:val="24"/>
        </w:rPr>
        <w:t xml:space="preserve"> quality is not maintained as mentioned in section 7, </w:t>
      </w:r>
      <w:r w:rsidRPr="000A1A58">
        <w:rPr>
          <w:rFonts w:ascii="Arial" w:hAnsi="Arial" w:cs="Arial"/>
          <w:sz w:val="24"/>
          <w:szCs w:val="24"/>
        </w:rPr>
        <w:t>Plan International Bangladesh</w:t>
      </w:r>
      <w:r w:rsidRPr="000A1A58">
        <w:rPr>
          <w:rFonts w:ascii="Arial" w:hAnsi="Arial" w:cs="Arial"/>
          <w:bCs/>
          <w:color w:val="000000" w:themeColor="text1"/>
          <w:sz w:val="24"/>
          <w:szCs w:val="24"/>
        </w:rPr>
        <w:t xml:space="preserve"> will deduct 5% of the total agreement amount. If for any reason, the consultant/consulting firm fails to deliver services within stipulated time, the consultant/consulting firm needs to inform </w:t>
      </w:r>
      <w:r w:rsidRPr="000A1A58">
        <w:rPr>
          <w:rFonts w:ascii="Arial" w:hAnsi="Arial" w:cs="Arial"/>
          <w:sz w:val="24"/>
          <w:szCs w:val="24"/>
        </w:rPr>
        <w:t>Plan International Bangladesh</w:t>
      </w:r>
      <w:r w:rsidRPr="000A1A58">
        <w:rPr>
          <w:rFonts w:ascii="Arial" w:hAnsi="Arial" w:cs="Arial"/>
          <w:bCs/>
          <w:color w:val="000000" w:themeColor="text1"/>
          <w:sz w:val="24"/>
          <w:szCs w:val="24"/>
        </w:rPr>
        <w:t xml:space="preserve"> in time with valid and acceptable explanation. Failing to this may evoke penalty clause at the rate of 1% for each day of delay.</w:t>
      </w:r>
    </w:p>
    <w:p w14:paraId="0D60B3CD" w14:textId="77777777" w:rsidR="00F25042" w:rsidRPr="00F131FA" w:rsidRDefault="00F25042" w:rsidP="00EC2C20">
      <w:pPr>
        <w:pStyle w:val="ListParagraph"/>
        <w:numPr>
          <w:ilvl w:val="0"/>
          <w:numId w:val="3"/>
        </w:numPr>
        <w:spacing w:after="120" w:line="240" w:lineRule="auto"/>
        <w:contextualSpacing w:val="0"/>
        <w:rPr>
          <w:rFonts w:ascii="Arial" w:hAnsi="Arial" w:cs="Arial"/>
          <w:b/>
          <w:sz w:val="24"/>
          <w:szCs w:val="24"/>
        </w:rPr>
      </w:pPr>
      <w:r>
        <w:rPr>
          <w:rFonts w:ascii="Arial" w:hAnsi="Arial" w:cs="Arial"/>
          <w:sz w:val="24"/>
          <w:szCs w:val="24"/>
        </w:rPr>
        <w:t xml:space="preserve"> </w:t>
      </w:r>
      <w:r w:rsidRPr="00F131FA">
        <w:rPr>
          <w:rFonts w:ascii="Arial" w:hAnsi="Arial" w:cs="Arial"/>
          <w:b/>
          <w:sz w:val="24"/>
          <w:szCs w:val="24"/>
        </w:rPr>
        <w:t xml:space="preserve">Contact Person </w:t>
      </w:r>
    </w:p>
    <w:p w14:paraId="2E95AA8D" w14:textId="13E95205" w:rsidR="008F156A" w:rsidRDefault="00F25042" w:rsidP="00F25042">
      <w:pPr>
        <w:rPr>
          <w:rFonts w:ascii="Arial" w:eastAsia="Times New Roman" w:hAnsi="Arial" w:cs="Arial"/>
          <w:sz w:val="24"/>
          <w:szCs w:val="24"/>
        </w:rPr>
      </w:pPr>
      <w:r w:rsidRPr="00000827">
        <w:rPr>
          <w:rFonts w:ascii="Arial" w:eastAsia="Times New Roman" w:hAnsi="Arial" w:cs="Arial"/>
          <w:sz w:val="24"/>
          <w:szCs w:val="24"/>
        </w:rPr>
        <w:t>For any technical issue related to the project and research, please communicate</w:t>
      </w:r>
      <w:r w:rsidR="008F156A">
        <w:rPr>
          <w:rFonts w:ascii="Arial" w:eastAsia="Times New Roman" w:hAnsi="Arial" w:cs="Arial"/>
          <w:sz w:val="24"/>
          <w:szCs w:val="24"/>
        </w:rPr>
        <w:t xml:space="preserve"> with Mr. Enamul Haque, Supply &amp; Procurement Specialist through the E-mail: </w:t>
      </w:r>
      <w:hyperlink r:id="rId15" w:history="1">
        <w:r w:rsidR="008F156A" w:rsidRPr="004A3677">
          <w:rPr>
            <w:rStyle w:val="Hyperlink"/>
            <w:rFonts w:ascii="Arial" w:eastAsia="Times New Roman" w:hAnsi="Arial" w:cs="Arial"/>
            <w:sz w:val="24"/>
            <w:szCs w:val="24"/>
          </w:rPr>
          <w:t>enamul.haque@plan-international.org</w:t>
        </w:r>
      </w:hyperlink>
    </w:p>
    <w:p w14:paraId="5F56D5A7" w14:textId="77777777" w:rsidR="00F25042" w:rsidRPr="002D5976" w:rsidRDefault="00F25042" w:rsidP="00EC2C20">
      <w:pPr>
        <w:pStyle w:val="ListParagraph"/>
        <w:numPr>
          <w:ilvl w:val="0"/>
          <w:numId w:val="3"/>
        </w:numPr>
        <w:spacing w:after="120" w:line="240" w:lineRule="auto"/>
        <w:contextualSpacing w:val="0"/>
        <w:rPr>
          <w:rFonts w:ascii="Arial" w:hAnsi="Arial" w:cs="Arial"/>
          <w:b/>
          <w:sz w:val="24"/>
          <w:szCs w:val="24"/>
        </w:rPr>
      </w:pPr>
      <w:r w:rsidRPr="002D5976">
        <w:rPr>
          <w:rFonts w:ascii="Arial" w:hAnsi="Arial" w:cs="Arial"/>
          <w:b/>
          <w:sz w:val="24"/>
          <w:szCs w:val="24"/>
        </w:rPr>
        <w:t xml:space="preserve">Negotiation </w:t>
      </w:r>
    </w:p>
    <w:p w14:paraId="214F52E4" w14:textId="14186A5A" w:rsidR="00F25042" w:rsidRDefault="00F25042" w:rsidP="00F25042">
      <w:pPr>
        <w:spacing w:after="120" w:line="240" w:lineRule="auto"/>
        <w:rPr>
          <w:rFonts w:ascii="Arial" w:hAnsi="Arial" w:cs="Arial"/>
          <w:color w:val="000000"/>
          <w:sz w:val="24"/>
          <w:szCs w:val="24"/>
        </w:rPr>
      </w:pPr>
      <w:r w:rsidRPr="009437D3">
        <w:rPr>
          <w:rFonts w:ascii="Arial" w:hAnsi="Arial" w:cs="Arial"/>
          <w:color w:val="000000"/>
          <w:sz w:val="24"/>
          <w:szCs w:val="24"/>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7B2BCBE4" w14:textId="77777777" w:rsidR="00F25042" w:rsidRPr="00626300" w:rsidRDefault="00F25042" w:rsidP="00EC2C20">
      <w:pPr>
        <w:pStyle w:val="ListParagraph"/>
        <w:numPr>
          <w:ilvl w:val="0"/>
          <w:numId w:val="3"/>
        </w:numPr>
        <w:spacing w:after="120" w:line="240" w:lineRule="auto"/>
        <w:contextualSpacing w:val="0"/>
        <w:rPr>
          <w:rFonts w:ascii="Arial" w:hAnsi="Arial" w:cs="Arial"/>
          <w:b/>
          <w:sz w:val="24"/>
          <w:szCs w:val="24"/>
        </w:rPr>
      </w:pPr>
      <w:r w:rsidRPr="00626300">
        <w:rPr>
          <w:rFonts w:ascii="Arial" w:hAnsi="Arial" w:cs="Arial"/>
          <w:b/>
          <w:sz w:val="24"/>
          <w:szCs w:val="24"/>
        </w:rPr>
        <w:t>Disclaimer</w:t>
      </w:r>
    </w:p>
    <w:p w14:paraId="5A39EC94" w14:textId="77777777" w:rsidR="00F25042" w:rsidRPr="005802DF" w:rsidRDefault="00F25042" w:rsidP="00F25042">
      <w:pPr>
        <w:spacing w:after="120" w:line="240" w:lineRule="auto"/>
        <w:rPr>
          <w:rFonts w:ascii="Arial" w:hAnsi="Arial" w:cs="Arial"/>
          <w:sz w:val="24"/>
          <w:szCs w:val="24"/>
        </w:rPr>
      </w:pPr>
      <w:r w:rsidRPr="005802DF">
        <w:rPr>
          <w:rFonts w:ascii="Arial" w:hAnsi="Arial" w:cs="Arial"/>
          <w:sz w:val="24"/>
          <w:szCs w:val="24"/>
        </w:rPr>
        <w:t>Plan International Bangladesh reserves the right to accept or reject any or all proposals / application without assigning any reason whatsoever.</w:t>
      </w:r>
      <w:bookmarkEnd w:id="0"/>
    </w:p>
    <w:p w14:paraId="64AAEDDD" w14:textId="3AD75E4E" w:rsidR="00F25042" w:rsidRDefault="00F25042" w:rsidP="00F25042">
      <w:pPr>
        <w:tabs>
          <w:tab w:val="left" w:pos="1704"/>
          <w:tab w:val="center" w:pos="4320"/>
          <w:tab w:val="right" w:pos="8640"/>
        </w:tabs>
        <w:spacing w:before="120" w:after="0" w:line="240" w:lineRule="auto"/>
        <w:rPr>
          <w:rFonts w:ascii="Arial" w:eastAsia="Times New Roman" w:hAnsi="Arial" w:cs="Arial"/>
          <w:b/>
          <w:sz w:val="28"/>
          <w:szCs w:val="24"/>
        </w:rPr>
      </w:pPr>
    </w:p>
    <w:p w14:paraId="73499B31" w14:textId="77777777" w:rsidR="00401AB7" w:rsidRPr="006A628D" w:rsidRDefault="00401AB7" w:rsidP="00F25042">
      <w:pPr>
        <w:tabs>
          <w:tab w:val="left" w:pos="1704"/>
          <w:tab w:val="center" w:pos="4320"/>
          <w:tab w:val="right" w:pos="8640"/>
        </w:tabs>
        <w:spacing w:before="120" w:after="0" w:line="240" w:lineRule="auto"/>
        <w:rPr>
          <w:rFonts w:ascii="Arial" w:eastAsia="Times New Roman" w:hAnsi="Arial" w:cs="Arial"/>
          <w:b/>
          <w:sz w:val="28"/>
          <w:szCs w:val="24"/>
        </w:rPr>
      </w:pPr>
    </w:p>
    <w:sectPr w:rsidR="00401AB7" w:rsidRPr="006A628D" w:rsidSect="005A6F8A">
      <w:headerReference w:type="default" r:id="rId16"/>
      <w:pgSz w:w="12240" w:h="15840"/>
      <w:pgMar w:top="1296"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67BF" w14:textId="77777777" w:rsidR="00AD5549" w:rsidRDefault="00AD5549" w:rsidP="00B866F1">
      <w:pPr>
        <w:spacing w:after="0" w:line="240" w:lineRule="auto"/>
      </w:pPr>
      <w:r>
        <w:separator/>
      </w:r>
    </w:p>
  </w:endnote>
  <w:endnote w:type="continuationSeparator" w:id="0">
    <w:p w14:paraId="55903460" w14:textId="77777777" w:rsidR="00AD5549" w:rsidRDefault="00AD5549" w:rsidP="00B866F1">
      <w:pPr>
        <w:spacing w:after="0" w:line="240" w:lineRule="auto"/>
      </w:pPr>
      <w:r>
        <w:continuationSeparator/>
      </w:r>
    </w:p>
  </w:endnote>
  <w:endnote w:id="1">
    <w:p w14:paraId="39930F31" w14:textId="37149D83" w:rsidR="009322C7" w:rsidRPr="00D915AC" w:rsidRDefault="009322C7" w:rsidP="00B25B87">
      <w:pPr>
        <w:spacing w:after="120" w:line="240" w:lineRule="auto"/>
        <w:rPr>
          <w:rFonts w:ascii="Arial" w:hAnsi="Arial" w:cs="Arial"/>
          <w:b/>
          <w:sz w:val="24"/>
          <w:szCs w:val="24"/>
          <w:lang w:val="en-US"/>
        </w:rPr>
      </w:pPr>
      <w:r>
        <w:rPr>
          <w:rFonts w:ascii="Arial" w:hAnsi="Arial" w:cs="Arial"/>
          <w:b/>
          <w:sz w:val="24"/>
          <w:szCs w:val="24"/>
          <w:lang w:val="en-US"/>
        </w:rPr>
        <w:t>Annex 1</w:t>
      </w:r>
      <w:r w:rsidRPr="00D915AC">
        <w:rPr>
          <w:rFonts w:ascii="Arial" w:hAnsi="Arial" w:cs="Arial"/>
          <w:b/>
          <w:sz w:val="24"/>
          <w:szCs w:val="24"/>
          <w:lang w:val="en-US"/>
        </w:rPr>
        <w:t xml:space="preserve">: PMF Indicators Covered by the Household Survey </w:t>
      </w:r>
    </w:p>
    <w:tbl>
      <w:tblPr>
        <w:tblW w:w="0" w:type="auto"/>
        <w:tblInd w:w="360"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4387"/>
        <w:gridCol w:w="2176"/>
        <w:gridCol w:w="2391"/>
      </w:tblGrid>
      <w:tr w:rsidR="009322C7" w:rsidRPr="00D915AC" w14:paraId="24A1B184" w14:textId="77777777" w:rsidTr="00F563A6">
        <w:tc>
          <w:tcPr>
            <w:tcW w:w="4387" w:type="dxa"/>
            <w:shd w:val="clear" w:color="auto" w:fill="4F81BD" w:themeFill="accent1"/>
          </w:tcPr>
          <w:p w14:paraId="59BA8C83" w14:textId="77777777" w:rsidR="009322C7" w:rsidRPr="00D915AC" w:rsidRDefault="009322C7" w:rsidP="00B25B87">
            <w:pPr>
              <w:spacing w:after="120"/>
              <w:rPr>
                <w:rFonts w:ascii="Arial" w:hAnsi="Arial" w:cs="Arial"/>
                <w:b/>
                <w:sz w:val="24"/>
                <w:szCs w:val="24"/>
                <w:lang w:val="en-US"/>
              </w:rPr>
            </w:pPr>
            <w:r w:rsidRPr="00D915AC">
              <w:rPr>
                <w:rFonts w:ascii="Arial" w:hAnsi="Arial" w:cs="Arial"/>
                <w:b/>
                <w:sz w:val="24"/>
                <w:szCs w:val="24"/>
                <w:lang w:val="en-US"/>
              </w:rPr>
              <w:t>Indicators</w:t>
            </w:r>
          </w:p>
        </w:tc>
        <w:tc>
          <w:tcPr>
            <w:tcW w:w="2176" w:type="dxa"/>
            <w:shd w:val="clear" w:color="auto" w:fill="4F81BD" w:themeFill="accent1"/>
          </w:tcPr>
          <w:p w14:paraId="64AD62E4" w14:textId="77777777" w:rsidR="009322C7" w:rsidRPr="00D915AC" w:rsidRDefault="009322C7" w:rsidP="00B25B87">
            <w:pPr>
              <w:spacing w:after="120"/>
              <w:rPr>
                <w:rFonts w:ascii="Arial" w:hAnsi="Arial" w:cs="Arial"/>
                <w:b/>
                <w:sz w:val="24"/>
                <w:szCs w:val="24"/>
                <w:lang w:val="en-US"/>
              </w:rPr>
            </w:pPr>
            <w:r w:rsidRPr="00D915AC">
              <w:rPr>
                <w:rFonts w:ascii="Arial" w:hAnsi="Arial" w:cs="Arial"/>
                <w:b/>
                <w:sz w:val="24"/>
                <w:szCs w:val="24"/>
                <w:lang w:val="en-US"/>
              </w:rPr>
              <w:t>Levels of Disaggregation</w:t>
            </w:r>
          </w:p>
        </w:tc>
        <w:tc>
          <w:tcPr>
            <w:tcW w:w="2391" w:type="dxa"/>
            <w:shd w:val="clear" w:color="auto" w:fill="4F81BD" w:themeFill="accent1"/>
          </w:tcPr>
          <w:p w14:paraId="6AB7B4D8" w14:textId="77777777" w:rsidR="009322C7" w:rsidRPr="00D915AC" w:rsidRDefault="009322C7" w:rsidP="00B25B87">
            <w:pPr>
              <w:spacing w:after="120"/>
              <w:rPr>
                <w:rFonts w:ascii="Arial" w:hAnsi="Arial" w:cs="Arial"/>
                <w:b/>
                <w:sz w:val="24"/>
                <w:szCs w:val="24"/>
                <w:lang w:val="en-US"/>
              </w:rPr>
            </w:pPr>
            <w:r w:rsidRPr="00D915AC">
              <w:rPr>
                <w:rFonts w:ascii="Arial" w:hAnsi="Arial" w:cs="Arial"/>
                <w:b/>
                <w:sz w:val="24"/>
                <w:szCs w:val="24"/>
                <w:lang w:val="en-US"/>
              </w:rPr>
              <w:t>Data Sources</w:t>
            </w:r>
          </w:p>
        </w:tc>
      </w:tr>
      <w:tr w:rsidR="009322C7" w:rsidRPr="00D915AC" w14:paraId="7AE6A8F5" w14:textId="77777777" w:rsidTr="00F563A6">
        <w:tc>
          <w:tcPr>
            <w:tcW w:w="8954" w:type="dxa"/>
            <w:gridSpan w:val="3"/>
            <w:shd w:val="clear" w:color="auto" w:fill="F2F2F2" w:themeFill="background1" w:themeFillShade="F2"/>
          </w:tcPr>
          <w:p w14:paraId="6A23CFC5" w14:textId="77777777" w:rsidR="009322C7" w:rsidRPr="00D915AC" w:rsidRDefault="009322C7" w:rsidP="00B25B87">
            <w:pPr>
              <w:spacing w:after="120"/>
              <w:rPr>
                <w:rFonts w:ascii="Arial" w:hAnsi="Arial" w:cs="Arial"/>
                <w:b/>
                <w:sz w:val="24"/>
                <w:szCs w:val="24"/>
                <w:lang w:val="en-US"/>
              </w:rPr>
            </w:pPr>
            <w:r>
              <w:rPr>
                <w:rFonts w:ascii="Arial" w:hAnsi="Arial" w:cs="Arial"/>
                <w:b/>
                <w:sz w:val="24"/>
                <w:szCs w:val="24"/>
                <w:lang w:val="en-US"/>
              </w:rPr>
              <w:t xml:space="preserve">Ultimate </w:t>
            </w:r>
            <w:r w:rsidRPr="00D915AC">
              <w:rPr>
                <w:rFonts w:ascii="Arial" w:hAnsi="Arial" w:cs="Arial"/>
                <w:b/>
                <w:sz w:val="24"/>
                <w:szCs w:val="24"/>
                <w:lang w:val="en-US"/>
              </w:rPr>
              <w:t>Outcome:</w:t>
            </w:r>
          </w:p>
        </w:tc>
      </w:tr>
      <w:tr w:rsidR="009322C7" w:rsidRPr="00D915AC" w14:paraId="35E03182" w14:textId="77777777" w:rsidTr="00F563A6">
        <w:tc>
          <w:tcPr>
            <w:tcW w:w="4387" w:type="dxa"/>
          </w:tcPr>
          <w:p w14:paraId="7DECAA86" w14:textId="77777777" w:rsidR="009322C7" w:rsidRPr="005C590D" w:rsidRDefault="009322C7" w:rsidP="00B25B87">
            <w:pPr>
              <w:spacing w:after="120"/>
              <w:rPr>
                <w:rFonts w:ascii="Arial" w:hAnsi="Arial" w:cs="Arial"/>
                <w:bCs/>
                <w:sz w:val="24"/>
                <w:szCs w:val="24"/>
                <w:lang w:val="en-US"/>
              </w:rPr>
            </w:pPr>
            <w:r w:rsidRPr="003A6CE1">
              <w:rPr>
                <w:rFonts w:ascii="Arial" w:hAnsi="Arial" w:cs="Arial"/>
                <w:bCs/>
                <w:sz w:val="24"/>
                <w:szCs w:val="24"/>
                <w:lang w:val="en-US"/>
              </w:rPr>
              <w:t>% of adolescent girls 15-19 first married under the age of 15 and 18 years</w:t>
            </w:r>
          </w:p>
        </w:tc>
        <w:tc>
          <w:tcPr>
            <w:tcW w:w="2176" w:type="dxa"/>
          </w:tcPr>
          <w:p w14:paraId="7B56C9B1"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w:t>
            </w:r>
            <w:r>
              <w:rPr>
                <w:rFonts w:ascii="Arial" w:hAnsi="Arial" w:cs="Arial"/>
                <w:bCs/>
                <w:sz w:val="24"/>
                <w:szCs w:val="24"/>
                <w:lang w:val="en-US"/>
              </w:rPr>
              <w:t>g</w:t>
            </w:r>
            <w:r w:rsidRPr="005C590D">
              <w:rPr>
                <w:rFonts w:ascii="Arial" w:hAnsi="Arial" w:cs="Arial"/>
                <w:bCs/>
                <w:sz w:val="24"/>
                <w:szCs w:val="24"/>
                <w:lang w:val="en-US"/>
              </w:rPr>
              <w:t xml:space="preserve">roup </w:t>
            </w:r>
            <w:r>
              <w:rPr>
                <w:rFonts w:ascii="Arial" w:hAnsi="Arial" w:cs="Arial"/>
                <w:bCs/>
                <w:sz w:val="24"/>
                <w:szCs w:val="24"/>
                <w:lang w:val="en-US"/>
              </w:rPr>
              <w:t xml:space="preserve">of when first married </w:t>
            </w:r>
            <w:r w:rsidRPr="005C590D">
              <w:rPr>
                <w:rFonts w:ascii="Arial" w:hAnsi="Arial" w:cs="Arial"/>
                <w:bCs/>
                <w:sz w:val="24"/>
                <w:szCs w:val="24"/>
                <w:lang w:val="en-US"/>
              </w:rPr>
              <w:t>(10-14,15-1</w:t>
            </w:r>
            <w:r>
              <w:rPr>
                <w:rFonts w:ascii="Arial" w:hAnsi="Arial" w:cs="Arial"/>
                <w:bCs/>
                <w:sz w:val="24"/>
                <w:szCs w:val="24"/>
                <w:lang w:val="en-US"/>
              </w:rPr>
              <w:t>7</w:t>
            </w:r>
            <w:r w:rsidRPr="005C590D">
              <w:rPr>
                <w:rFonts w:ascii="Arial" w:hAnsi="Arial" w:cs="Arial"/>
                <w:bCs/>
                <w:sz w:val="24"/>
                <w:szCs w:val="24"/>
                <w:lang w:val="en-US"/>
              </w:rPr>
              <w:t xml:space="preserve">) </w:t>
            </w:r>
          </w:p>
        </w:tc>
        <w:tc>
          <w:tcPr>
            <w:tcW w:w="2391" w:type="dxa"/>
          </w:tcPr>
          <w:p w14:paraId="4B84849C"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Adolescent girls (aged 1</w:t>
            </w:r>
            <w:r>
              <w:rPr>
                <w:rFonts w:ascii="Arial" w:hAnsi="Arial" w:cs="Arial"/>
                <w:bCs/>
                <w:sz w:val="24"/>
                <w:szCs w:val="24"/>
                <w:lang w:val="en-US"/>
              </w:rPr>
              <w:t>5</w:t>
            </w:r>
            <w:r w:rsidRPr="005C590D">
              <w:rPr>
                <w:rFonts w:ascii="Arial" w:hAnsi="Arial" w:cs="Arial"/>
                <w:bCs/>
                <w:sz w:val="24"/>
                <w:szCs w:val="24"/>
                <w:lang w:val="en-US"/>
              </w:rPr>
              <w:t>-19 years)</w:t>
            </w:r>
          </w:p>
        </w:tc>
      </w:tr>
      <w:tr w:rsidR="009322C7" w:rsidRPr="00D915AC" w14:paraId="22ED545C" w14:textId="77777777" w:rsidTr="00F563A6">
        <w:tc>
          <w:tcPr>
            <w:tcW w:w="8954" w:type="dxa"/>
            <w:gridSpan w:val="3"/>
          </w:tcPr>
          <w:p w14:paraId="74D82416" w14:textId="77777777" w:rsidR="009322C7" w:rsidRPr="005C590D" w:rsidRDefault="009322C7" w:rsidP="00B25B87">
            <w:pPr>
              <w:spacing w:after="120"/>
              <w:rPr>
                <w:rFonts w:ascii="Arial" w:hAnsi="Arial" w:cs="Arial"/>
                <w:bCs/>
                <w:sz w:val="24"/>
                <w:szCs w:val="24"/>
                <w:lang w:val="en-US"/>
              </w:rPr>
            </w:pPr>
            <w:r w:rsidRPr="00D915AC">
              <w:rPr>
                <w:rFonts w:ascii="Arial" w:hAnsi="Arial" w:cs="Arial"/>
                <w:b/>
                <w:sz w:val="24"/>
                <w:szCs w:val="24"/>
                <w:lang w:val="en-US"/>
              </w:rPr>
              <w:t>Intermediate Outcomes:</w:t>
            </w:r>
          </w:p>
        </w:tc>
      </w:tr>
      <w:tr w:rsidR="009322C7" w:rsidRPr="00D915AC" w14:paraId="71424798" w14:textId="77777777" w:rsidTr="00F563A6">
        <w:tc>
          <w:tcPr>
            <w:tcW w:w="4387" w:type="dxa"/>
          </w:tcPr>
          <w:p w14:paraId="05CA0459" w14:textId="77777777" w:rsidR="009322C7" w:rsidRPr="0009580F" w:rsidRDefault="009322C7" w:rsidP="00B25B87">
            <w:pPr>
              <w:spacing w:after="120"/>
              <w:rPr>
                <w:rFonts w:ascii="Arial" w:hAnsi="Arial" w:cs="Arial"/>
                <w:bCs/>
                <w:sz w:val="24"/>
                <w:szCs w:val="24"/>
                <w:lang w:val="en-US"/>
              </w:rPr>
            </w:pPr>
            <w:r w:rsidRPr="00C71EEC">
              <w:rPr>
                <w:rFonts w:ascii="Arial" w:hAnsi="Arial" w:cs="Arial"/>
                <w:bCs/>
                <w:sz w:val="24"/>
                <w:szCs w:val="24"/>
                <w:lang w:val="en-US"/>
              </w:rPr>
              <w:t>Percentage of adolescent beneficiaries with adequate decision-making regarding marriage and seeking SRH services, including modern methods of contraception</w:t>
            </w:r>
          </w:p>
        </w:tc>
        <w:tc>
          <w:tcPr>
            <w:tcW w:w="2176" w:type="dxa"/>
          </w:tcPr>
          <w:p w14:paraId="32158347"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7E5A166D"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Sex</w:t>
            </w:r>
            <w:r>
              <w:rPr>
                <w:rFonts w:ascii="Arial" w:hAnsi="Arial" w:cs="Arial"/>
                <w:bCs/>
                <w:sz w:val="24"/>
                <w:szCs w:val="24"/>
                <w:lang w:val="en-US"/>
              </w:rPr>
              <w:t>, In-school/OOS</w:t>
            </w:r>
          </w:p>
        </w:tc>
        <w:tc>
          <w:tcPr>
            <w:tcW w:w="2391" w:type="dxa"/>
          </w:tcPr>
          <w:p w14:paraId="611B596B"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Adolescent girls and boys (aged 10-19 years)</w:t>
            </w:r>
          </w:p>
        </w:tc>
      </w:tr>
      <w:tr w:rsidR="009322C7" w:rsidRPr="00D915AC" w14:paraId="678F3924" w14:textId="77777777" w:rsidTr="00F563A6">
        <w:tc>
          <w:tcPr>
            <w:tcW w:w="4387" w:type="dxa"/>
          </w:tcPr>
          <w:p w14:paraId="16C17760" w14:textId="77777777" w:rsidR="009322C7" w:rsidRPr="005C590D" w:rsidRDefault="009322C7" w:rsidP="00B25B87">
            <w:pPr>
              <w:spacing w:after="120"/>
              <w:rPr>
                <w:rFonts w:ascii="Arial" w:hAnsi="Arial" w:cs="Arial"/>
                <w:bCs/>
                <w:sz w:val="24"/>
                <w:szCs w:val="24"/>
                <w:lang w:val="en-US"/>
              </w:rPr>
            </w:pPr>
            <w:r w:rsidRPr="0009580F">
              <w:rPr>
                <w:rFonts w:ascii="Arial" w:hAnsi="Arial" w:cs="Arial"/>
                <w:bCs/>
                <w:sz w:val="24"/>
                <w:szCs w:val="24"/>
                <w:lang w:val="en-US"/>
              </w:rPr>
              <w:t>Percentage of adolescent girls who decided to use family planning, alone or jointly with their husbands/partners</w:t>
            </w:r>
          </w:p>
        </w:tc>
        <w:tc>
          <w:tcPr>
            <w:tcW w:w="2176" w:type="dxa"/>
          </w:tcPr>
          <w:p w14:paraId="170D59BF"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7638ACE1" w14:textId="77777777" w:rsidR="009322C7" w:rsidRPr="005C590D" w:rsidRDefault="009322C7" w:rsidP="00B25B87">
            <w:pPr>
              <w:spacing w:after="120"/>
              <w:rPr>
                <w:rFonts w:ascii="Arial" w:hAnsi="Arial" w:cs="Arial"/>
                <w:bCs/>
                <w:sz w:val="24"/>
                <w:szCs w:val="24"/>
                <w:lang w:val="en-US"/>
              </w:rPr>
            </w:pPr>
          </w:p>
        </w:tc>
        <w:tc>
          <w:tcPr>
            <w:tcW w:w="2391" w:type="dxa"/>
          </w:tcPr>
          <w:p w14:paraId="774D324A"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Adolescent girls and boys (aged 10-19 years)</w:t>
            </w:r>
          </w:p>
        </w:tc>
      </w:tr>
      <w:tr w:rsidR="009322C7" w:rsidRPr="00D915AC" w14:paraId="51EB6EBF" w14:textId="77777777" w:rsidTr="00F563A6">
        <w:tc>
          <w:tcPr>
            <w:tcW w:w="4387" w:type="dxa"/>
          </w:tcPr>
          <w:p w14:paraId="7C900872" w14:textId="77777777" w:rsidR="009322C7" w:rsidRPr="0009580F" w:rsidRDefault="009322C7" w:rsidP="00B25B87">
            <w:pPr>
              <w:spacing w:after="120"/>
              <w:rPr>
                <w:rFonts w:ascii="Arial" w:hAnsi="Arial" w:cs="Arial"/>
                <w:bCs/>
                <w:sz w:val="24"/>
                <w:szCs w:val="24"/>
                <w:lang w:val="en-US"/>
              </w:rPr>
            </w:pPr>
            <w:r w:rsidRPr="00715C67">
              <w:rPr>
                <w:rFonts w:ascii="Arial" w:hAnsi="Arial" w:cs="Arial"/>
                <w:bCs/>
                <w:sz w:val="24"/>
                <w:szCs w:val="24"/>
                <w:lang w:val="en-US"/>
              </w:rPr>
              <w:t>Degree/extent to which SMC members, teachers, men, women perceive women/girls as equal to men/boys</w:t>
            </w:r>
          </w:p>
        </w:tc>
        <w:tc>
          <w:tcPr>
            <w:tcW w:w="2176" w:type="dxa"/>
          </w:tcPr>
          <w:p w14:paraId="3CA0EC9C" w14:textId="77777777" w:rsidR="009322C7" w:rsidRPr="005C590D" w:rsidRDefault="009322C7" w:rsidP="00B25B87">
            <w:pPr>
              <w:spacing w:after="120"/>
              <w:rPr>
                <w:rFonts w:ascii="Arial" w:hAnsi="Arial" w:cs="Arial"/>
                <w:bCs/>
                <w:sz w:val="24"/>
                <w:szCs w:val="24"/>
                <w:lang w:val="en-US"/>
              </w:rPr>
            </w:pPr>
            <w:r>
              <w:rPr>
                <w:rFonts w:ascii="Arial" w:hAnsi="Arial" w:cs="Arial"/>
                <w:bCs/>
                <w:sz w:val="24"/>
                <w:szCs w:val="24"/>
                <w:lang w:val="en-US"/>
              </w:rPr>
              <w:t>Sex</w:t>
            </w:r>
          </w:p>
        </w:tc>
        <w:tc>
          <w:tcPr>
            <w:tcW w:w="2391" w:type="dxa"/>
          </w:tcPr>
          <w:p w14:paraId="04A1E56E" w14:textId="77777777" w:rsidR="009322C7" w:rsidRPr="005C590D" w:rsidRDefault="009322C7" w:rsidP="00B25B87">
            <w:pPr>
              <w:spacing w:after="120"/>
              <w:rPr>
                <w:rFonts w:ascii="Arial" w:hAnsi="Arial" w:cs="Arial"/>
                <w:bCs/>
                <w:sz w:val="24"/>
                <w:szCs w:val="24"/>
                <w:lang w:val="en-US"/>
              </w:rPr>
            </w:pPr>
            <w:r>
              <w:rPr>
                <w:rFonts w:ascii="Arial" w:hAnsi="Arial" w:cs="Arial"/>
                <w:bCs/>
                <w:sz w:val="24"/>
                <w:szCs w:val="24"/>
                <w:lang w:val="en-US"/>
              </w:rPr>
              <w:t>Parents of adolescents</w:t>
            </w:r>
          </w:p>
        </w:tc>
      </w:tr>
      <w:tr w:rsidR="009322C7" w:rsidRPr="00D915AC" w14:paraId="6D4BC99C" w14:textId="77777777" w:rsidTr="00F563A6">
        <w:tc>
          <w:tcPr>
            <w:tcW w:w="4387" w:type="dxa"/>
          </w:tcPr>
          <w:p w14:paraId="500481A8" w14:textId="77777777" w:rsidR="009322C7" w:rsidRPr="00715C67" w:rsidRDefault="009322C7" w:rsidP="00B25B87">
            <w:pPr>
              <w:spacing w:after="120"/>
              <w:rPr>
                <w:rFonts w:ascii="Arial" w:hAnsi="Arial" w:cs="Arial"/>
                <w:bCs/>
                <w:sz w:val="24"/>
                <w:szCs w:val="24"/>
                <w:lang w:val="en-US"/>
              </w:rPr>
            </w:pPr>
            <w:r w:rsidRPr="004E79AB">
              <w:rPr>
                <w:rFonts w:ascii="Arial" w:hAnsi="Arial" w:cs="Arial"/>
                <w:bCs/>
                <w:sz w:val="24"/>
                <w:szCs w:val="24"/>
                <w:lang w:val="en-US"/>
              </w:rPr>
              <w:t>Percentage</w:t>
            </w:r>
            <w:r w:rsidRPr="004E79AB">
              <w:rPr>
                <w:rFonts w:ascii="Arial" w:hAnsi="Arial" w:cs="Arial"/>
                <w:b/>
                <w:bCs/>
                <w:sz w:val="24"/>
                <w:szCs w:val="24"/>
                <w:lang w:val="en-US"/>
              </w:rPr>
              <w:t xml:space="preserve"> </w:t>
            </w:r>
            <w:r w:rsidRPr="004E79AB">
              <w:rPr>
                <w:rFonts w:ascii="Arial" w:hAnsi="Arial" w:cs="Arial"/>
                <w:bCs/>
                <w:sz w:val="24"/>
                <w:szCs w:val="24"/>
                <w:lang w:val="en-US"/>
              </w:rPr>
              <w:t>of parents who take specific action to support their adolescent daughters' (or daughters'-in-law) education, participation in economic activities (waged or self-employment), and engagement in public activities</w:t>
            </w:r>
          </w:p>
        </w:tc>
        <w:tc>
          <w:tcPr>
            <w:tcW w:w="2176" w:type="dxa"/>
          </w:tcPr>
          <w:p w14:paraId="57EEF5ED" w14:textId="77777777" w:rsidR="009322C7" w:rsidRDefault="009322C7" w:rsidP="00B25B87">
            <w:pPr>
              <w:spacing w:after="120"/>
              <w:rPr>
                <w:rFonts w:ascii="Arial" w:hAnsi="Arial" w:cs="Arial"/>
                <w:bCs/>
                <w:sz w:val="24"/>
                <w:szCs w:val="24"/>
                <w:lang w:val="en-US"/>
              </w:rPr>
            </w:pPr>
            <w:r>
              <w:rPr>
                <w:rFonts w:ascii="Arial" w:hAnsi="Arial" w:cs="Arial"/>
                <w:bCs/>
                <w:sz w:val="24"/>
                <w:szCs w:val="24"/>
                <w:lang w:val="en-US"/>
              </w:rPr>
              <w:t>Sex</w:t>
            </w:r>
          </w:p>
        </w:tc>
        <w:tc>
          <w:tcPr>
            <w:tcW w:w="2391" w:type="dxa"/>
          </w:tcPr>
          <w:p w14:paraId="055D7485" w14:textId="77777777" w:rsidR="009322C7" w:rsidRDefault="009322C7" w:rsidP="00B25B87">
            <w:pPr>
              <w:spacing w:after="120"/>
              <w:rPr>
                <w:rFonts w:ascii="Arial" w:hAnsi="Arial" w:cs="Arial"/>
                <w:bCs/>
                <w:sz w:val="24"/>
                <w:szCs w:val="24"/>
                <w:lang w:val="en-US"/>
              </w:rPr>
            </w:pPr>
            <w:r>
              <w:rPr>
                <w:rFonts w:ascii="Arial" w:hAnsi="Arial" w:cs="Arial"/>
                <w:bCs/>
                <w:sz w:val="24"/>
                <w:szCs w:val="24"/>
                <w:lang w:val="en-US"/>
              </w:rPr>
              <w:t>Parents of adolescents</w:t>
            </w:r>
          </w:p>
        </w:tc>
      </w:tr>
      <w:tr w:rsidR="009322C7" w:rsidRPr="00D915AC" w14:paraId="18D5D0C3" w14:textId="77777777" w:rsidTr="00F563A6">
        <w:tc>
          <w:tcPr>
            <w:tcW w:w="8954" w:type="dxa"/>
            <w:gridSpan w:val="3"/>
            <w:shd w:val="clear" w:color="auto" w:fill="F2F2F2" w:themeFill="background1" w:themeFillShade="F2"/>
          </w:tcPr>
          <w:p w14:paraId="0F8267D3" w14:textId="77777777" w:rsidR="009322C7" w:rsidRPr="00D915AC" w:rsidRDefault="009322C7" w:rsidP="00B25B87">
            <w:pPr>
              <w:spacing w:after="120"/>
              <w:rPr>
                <w:rFonts w:ascii="Arial" w:hAnsi="Arial" w:cs="Arial"/>
                <w:b/>
                <w:sz w:val="24"/>
                <w:szCs w:val="24"/>
                <w:lang w:val="en-US"/>
              </w:rPr>
            </w:pPr>
            <w:r w:rsidRPr="00D915AC">
              <w:rPr>
                <w:rFonts w:ascii="Arial" w:hAnsi="Arial" w:cs="Arial"/>
                <w:b/>
                <w:sz w:val="24"/>
                <w:szCs w:val="24"/>
                <w:lang w:val="en-US"/>
              </w:rPr>
              <w:t>Immediate Outcomes:</w:t>
            </w:r>
          </w:p>
        </w:tc>
      </w:tr>
      <w:tr w:rsidR="009322C7" w:rsidRPr="00D915AC" w14:paraId="5836C20B" w14:textId="77777777" w:rsidTr="00F563A6">
        <w:tc>
          <w:tcPr>
            <w:tcW w:w="4387" w:type="dxa"/>
          </w:tcPr>
          <w:p w14:paraId="5DB68AC6"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Percentage of adolescent girls and boys with adequate practical knowledge on SRHR, CEFM and </w:t>
            </w:r>
            <w:r>
              <w:rPr>
                <w:rFonts w:ascii="Arial" w:hAnsi="Arial" w:cs="Arial"/>
                <w:bCs/>
                <w:sz w:val="24"/>
                <w:szCs w:val="24"/>
                <w:lang w:val="en-US"/>
              </w:rPr>
              <w:t>GE</w:t>
            </w:r>
            <w:r w:rsidRPr="005C590D">
              <w:rPr>
                <w:rFonts w:ascii="Arial" w:hAnsi="Arial" w:cs="Arial"/>
                <w:bCs/>
                <w:sz w:val="24"/>
                <w:szCs w:val="24"/>
                <w:lang w:val="en-US"/>
              </w:rPr>
              <w:t xml:space="preserve"> </w:t>
            </w:r>
          </w:p>
        </w:tc>
        <w:tc>
          <w:tcPr>
            <w:tcW w:w="2176" w:type="dxa"/>
          </w:tcPr>
          <w:p w14:paraId="3EF6C823"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1C68CA5F"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Sex</w:t>
            </w:r>
            <w:r>
              <w:rPr>
                <w:rFonts w:ascii="Arial" w:hAnsi="Arial" w:cs="Arial"/>
                <w:bCs/>
                <w:sz w:val="24"/>
                <w:szCs w:val="24"/>
                <w:lang w:val="en-US"/>
              </w:rPr>
              <w:t>, In-school/OOS</w:t>
            </w:r>
          </w:p>
        </w:tc>
        <w:tc>
          <w:tcPr>
            <w:tcW w:w="2391" w:type="dxa"/>
          </w:tcPr>
          <w:p w14:paraId="7B286850"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Adolescent girls and boys (aged 10-19 years) </w:t>
            </w:r>
          </w:p>
        </w:tc>
      </w:tr>
      <w:tr w:rsidR="009322C7" w:rsidRPr="00D915AC" w14:paraId="6FF947FA" w14:textId="77777777" w:rsidTr="00F563A6">
        <w:tc>
          <w:tcPr>
            <w:tcW w:w="4387" w:type="dxa"/>
          </w:tcPr>
          <w:p w14:paraId="47BEF8F0" w14:textId="77777777" w:rsidR="009322C7" w:rsidRPr="005C590D" w:rsidRDefault="009322C7" w:rsidP="00B25B87">
            <w:pPr>
              <w:spacing w:after="120"/>
              <w:rPr>
                <w:rFonts w:ascii="Arial" w:hAnsi="Arial" w:cs="Arial"/>
                <w:bCs/>
                <w:sz w:val="24"/>
                <w:szCs w:val="24"/>
                <w:lang w:val="en-US"/>
              </w:rPr>
            </w:pPr>
            <w:r w:rsidRPr="003F1F10">
              <w:rPr>
                <w:rFonts w:ascii="Arial" w:hAnsi="Arial" w:cs="Arial"/>
                <w:bCs/>
                <w:sz w:val="24"/>
                <w:szCs w:val="24"/>
                <w:lang w:val="en-US"/>
              </w:rPr>
              <w:t>Degree/extent to which adolescent girls and boys perceive women/girls as equal to men/boys</w:t>
            </w:r>
          </w:p>
        </w:tc>
        <w:tc>
          <w:tcPr>
            <w:tcW w:w="2176" w:type="dxa"/>
          </w:tcPr>
          <w:p w14:paraId="0460D9F8"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1296BD36"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Sex</w:t>
            </w:r>
            <w:r>
              <w:rPr>
                <w:rFonts w:ascii="Arial" w:hAnsi="Arial" w:cs="Arial"/>
                <w:bCs/>
                <w:sz w:val="24"/>
                <w:szCs w:val="24"/>
                <w:lang w:val="en-US"/>
              </w:rPr>
              <w:t>, In-school/OOS</w:t>
            </w:r>
          </w:p>
        </w:tc>
        <w:tc>
          <w:tcPr>
            <w:tcW w:w="2391" w:type="dxa"/>
          </w:tcPr>
          <w:p w14:paraId="3BE58A59"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Adolescent girls and boys (aged 10-19 years)</w:t>
            </w:r>
          </w:p>
        </w:tc>
      </w:tr>
      <w:tr w:rsidR="009322C7" w:rsidRPr="00D915AC" w14:paraId="35B26CDF" w14:textId="77777777" w:rsidTr="00F563A6">
        <w:tc>
          <w:tcPr>
            <w:tcW w:w="4387" w:type="dxa"/>
          </w:tcPr>
          <w:p w14:paraId="494B453F"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Percentage of adolescent</w:t>
            </w:r>
            <w:r>
              <w:rPr>
                <w:rFonts w:ascii="Arial" w:hAnsi="Arial" w:cs="Arial"/>
                <w:bCs/>
                <w:sz w:val="24"/>
                <w:szCs w:val="24"/>
                <w:lang w:val="en-US"/>
              </w:rPr>
              <w:t xml:space="preserve">s </w:t>
            </w:r>
            <w:r w:rsidRPr="005C590D">
              <w:rPr>
                <w:rFonts w:ascii="Arial" w:hAnsi="Arial" w:cs="Arial"/>
                <w:bCs/>
                <w:sz w:val="24"/>
                <w:szCs w:val="24"/>
                <w:lang w:val="en-US"/>
              </w:rPr>
              <w:t xml:space="preserve">with adequate </w:t>
            </w:r>
            <w:r>
              <w:rPr>
                <w:rFonts w:ascii="Arial" w:hAnsi="Arial" w:cs="Arial"/>
                <w:bCs/>
                <w:sz w:val="24"/>
                <w:szCs w:val="24"/>
                <w:lang w:val="en-US"/>
              </w:rPr>
              <w:t xml:space="preserve">life </w:t>
            </w:r>
            <w:r w:rsidRPr="005C590D">
              <w:rPr>
                <w:rFonts w:ascii="Arial" w:hAnsi="Arial" w:cs="Arial"/>
                <w:bCs/>
                <w:sz w:val="24"/>
                <w:szCs w:val="24"/>
                <w:lang w:val="en-US"/>
              </w:rPr>
              <w:t xml:space="preserve">skills and confidence to </w:t>
            </w:r>
            <w:r>
              <w:rPr>
                <w:rFonts w:ascii="Arial" w:hAnsi="Arial" w:cs="Arial"/>
                <w:bCs/>
                <w:sz w:val="24"/>
                <w:szCs w:val="24"/>
                <w:lang w:val="en-US"/>
              </w:rPr>
              <w:t xml:space="preserve">realize </w:t>
            </w:r>
            <w:r w:rsidRPr="005C590D">
              <w:rPr>
                <w:rFonts w:ascii="Arial" w:hAnsi="Arial" w:cs="Arial"/>
                <w:bCs/>
                <w:sz w:val="24"/>
                <w:szCs w:val="24"/>
                <w:lang w:val="en-US"/>
              </w:rPr>
              <w:t xml:space="preserve">their rights and express their decisions </w:t>
            </w:r>
          </w:p>
        </w:tc>
        <w:tc>
          <w:tcPr>
            <w:tcW w:w="2176" w:type="dxa"/>
          </w:tcPr>
          <w:p w14:paraId="67AC4C70"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57FD5AA0"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Sex</w:t>
            </w:r>
            <w:r>
              <w:rPr>
                <w:rFonts w:ascii="Arial" w:hAnsi="Arial" w:cs="Arial"/>
                <w:bCs/>
                <w:sz w:val="24"/>
                <w:szCs w:val="24"/>
                <w:lang w:val="en-US"/>
              </w:rPr>
              <w:t>, IN-school/OOS</w:t>
            </w:r>
          </w:p>
        </w:tc>
        <w:tc>
          <w:tcPr>
            <w:tcW w:w="2391" w:type="dxa"/>
          </w:tcPr>
          <w:p w14:paraId="2D8A8238"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Adolescent girls and boys (aged 10-19 years) </w:t>
            </w:r>
          </w:p>
        </w:tc>
      </w:tr>
      <w:tr w:rsidR="009322C7" w:rsidRPr="00D915AC" w14:paraId="0E7845A6" w14:textId="77777777" w:rsidTr="00F563A6">
        <w:tc>
          <w:tcPr>
            <w:tcW w:w="4387" w:type="dxa"/>
          </w:tcPr>
          <w:p w14:paraId="19076847" w14:textId="77777777" w:rsidR="009322C7" w:rsidRPr="005C590D" w:rsidRDefault="009322C7" w:rsidP="00B25B87">
            <w:pPr>
              <w:spacing w:after="120"/>
              <w:rPr>
                <w:rFonts w:ascii="Arial" w:hAnsi="Arial" w:cs="Arial"/>
                <w:bCs/>
                <w:sz w:val="24"/>
                <w:szCs w:val="24"/>
                <w:lang w:val="en-US"/>
              </w:rPr>
            </w:pPr>
            <w:r>
              <w:rPr>
                <w:rFonts w:ascii="Arial" w:hAnsi="Arial" w:cs="Arial"/>
                <w:bCs/>
                <w:sz w:val="24"/>
                <w:szCs w:val="24"/>
                <w:lang w:val="en-US"/>
              </w:rPr>
              <w:t xml:space="preserve">Level </w:t>
            </w:r>
            <w:r w:rsidRPr="005C590D">
              <w:rPr>
                <w:rFonts w:ascii="Arial" w:hAnsi="Arial" w:cs="Arial"/>
                <w:bCs/>
                <w:sz w:val="24"/>
                <w:szCs w:val="24"/>
                <w:lang w:val="en-US"/>
              </w:rPr>
              <w:t xml:space="preserve">of support provided by </w:t>
            </w:r>
            <w:r>
              <w:rPr>
                <w:rFonts w:ascii="Arial" w:hAnsi="Arial" w:cs="Arial"/>
                <w:bCs/>
                <w:sz w:val="24"/>
                <w:szCs w:val="24"/>
                <w:lang w:val="en-US"/>
              </w:rPr>
              <w:t>parents to adolescent beneficiaries for CEFM prevention, staying in school and nurturing their ambition as perceived by adolescent girls and boys</w:t>
            </w:r>
          </w:p>
        </w:tc>
        <w:tc>
          <w:tcPr>
            <w:tcW w:w="2176" w:type="dxa"/>
          </w:tcPr>
          <w:p w14:paraId="4C382749"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Age Group (10-14,15-19), </w:t>
            </w:r>
          </w:p>
          <w:p w14:paraId="2147FDE7"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Sex</w:t>
            </w:r>
            <w:r>
              <w:rPr>
                <w:rFonts w:ascii="Arial" w:hAnsi="Arial" w:cs="Arial"/>
                <w:bCs/>
                <w:sz w:val="24"/>
                <w:szCs w:val="24"/>
                <w:lang w:val="en-US"/>
              </w:rPr>
              <w:t>, IN-school/OOS</w:t>
            </w:r>
          </w:p>
        </w:tc>
        <w:tc>
          <w:tcPr>
            <w:tcW w:w="2391" w:type="dxa"/>
          </w:tcPr>
          <w:p w14:paraId="61E44D59" w14:textId="77777777" w:rsidR="009322C7" w:rsidRPr="005C590D" w:rsidRDefault="009322C7" w:rsidP="00B25B87">
            <w:pPr>
              <w:spacing w:after="120"/>
              <w:rPr>
                <w:rFonts w:ascii="Arial" w:hAnsi="Arial" w:cs="Arial"/>
                <w:bCs/>
                <w:sz w:val="24"/>
                <w:szCs w:val="24"/>
                <w:lang w:val="en-US"/>
              </w:rPr>
            </w:pPr>
            <w:r w:rsidRPr="005C590D">
              <w:rPr>
                <w:rFonts w:ascii="Arial" w:hAnsi="Arial" w:cs="Arial"/>
                <w:bCs/>
                <w:sz w:val="24"/>
                <w:szCs w:val="24"/>
                <w:lang w:val="en-US"/>
              </w:rPr>
              <w:t xml:space="preserve">Adolescent girls and boys (aged 10-19 years) </w:t>
            </w:r>
          </w:p>
        </w:tc>
      </w:tr>
    </w:tbl>
    <w:p w14:paraId="62B44A4B" w14:textId="69D3A43B" w:rsidR="009322C7" w:rsidRDefault="009322C7" w:rsidP="00F25042">
      <w:pPr>
        <w:pStyle w:val="EndnoteText"/>
        <w:rPr>
          <w:lang w:val="en-US"/>
        </w:rPr>
      </w:pPr>
    </w:p>
    <w:p w14:paraId="775047F8" w14:textId="641379E7" w:rsidR="009322C7" w:rsidRPr="00BA0FAB" w:rsidRDefault="009322C7" w:rsidP="00F25042">
      <w:pPr>
        <w:pStyle w:val="EndnoteText"/>
        <w:rPr>
          <w:lang w:val="en-US"/>
        </w:rPr>
      </w:pPr>
      <w:r>
        <w:rPr>
          <w:lang w:val="en-US"/>
        </w:rPr>
        <w:t>====================================================x=========================================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
    <w:altName w:val="Calibri"/>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9954" w14:textId="77777777" w:rsidR="00AD5549" w:rsidRDefault="00AD5549" w:rsidP="00B866F1">
      <w:pPr>
        <w:spacing w:after="0" w:line="240" w:lineRule="auto"/>
      </w:pPr>
      <w:r>
        <w:separator/>
      </w:r>
    </w:p>
  </w:footnote>
  <w:footnote w:type="continuationSeparator" w:id="0">
    <w:p w14:paraId="35C99B9B" w14:textId="77777777" w:rsidR="00AD5549" w:rsidRDefault="00AD5549" w:rsidP="00B866F1">
      <w:pPr>
        <w:spacing w:after="0" w:line="240" w:lineRule="auto"/>
      </w:pPr>
      <w:r>
        <w:continuationSeparator/>
      </w:r>
    </w:p>
  </w:footnote>
  <w:footnote w:id="1">
    <w:p w14:paraId="6E6DC20E" w14:textId="77777777" w:rsidR="009322C7" w:rsidRPr="00F87098" w:rsidRDefault="009322C7" w:rsidP="00F25042">
      <w:pPr>
        <w:pStyle w:val="FootnoteText"/>
      </w:pPr>
      <w:r>
        <w:rPr>
          <w:rStyle w:val="FootnoteReference"/>
          <w:rFonts w:eastAsia="Calibri"/>
        </w:rPr>
        <w:footnoteRef/>
      </w:r>
      <w:r>
        <w:t xml:space="preserve"> Multiple Indicator Cluster Survey 2019</w:t>
      </w:r>
    </w:p>
  </w:footnote>
  <w:footnote w:id="2">
    <w:p w14:paraId="03BA9577" w14:textId="77777777" w:rsidR="009322C7" w:rsidRPr="00D510ED" w:rsidRDefault="009322C7" w:rsidP="00F25042">
      <w:pPr>
        <w:pStyle w:val="FootnoteText"/>
      </w:pPr>
    </w:p>
  </w:footnote>
  <w:footnote w:id="3">
    <w:p w14:paraId="2804ABCE" w14:textId="77777777" w:rsidR="009322C7" w:rsidRPr="00BB7416" w:rsidRDefault="009322C7" w:rsidP="00F25042">
      <w:pPr>
        <w:autoSpaceDE w:val="0"/>
        <w:autoSpaceDN w:val="0"/>
        <w:adjustRightInd w:val="0"/>
        <w:spacing w:after="0"/>
        <w:jc w:val="both"/>
        <w:rPr>
          <w:rFonts w:cs="Arial"/>
          <w:sz w:val="18"/>
          <w:szCs w:val="18"/>
        </w:rPr>
      </w:pPr>
      <w:r w:rsidRPr="00BB7416">
        <w:rPr>
          <w:rStyle w:val="FootnoteReference"/>
          <w:rFonts w:cs="Arial"/>
          <w:sz w:val="18"/>
          <w:szCs w:val="18"/>
        </w:rPr>
        <w:footnoteRef/>
      </w:r>
      <w:r w:rsidRPr="00BB7416">
        <w:rPr>
          <w:rFonts w:cs="Arial"/>
          <w:sz w:val="18"/>
          <w:szCs w:val="18"/>
        </w:rPr>
        <w:t xml:space="preserve"> Basis for calculations of average number of students (male and female) per school and grade and applied to number of project target intervention schools and intervention grades within them is </w:t>
      </w:r>
      <w:r w:rsidRPr="00BB7416">
        <w:rPr>
          <w:rFonts w:cs="Arial"/>
          <w:i/>
          <w:sz w:val="18"/>
          <w:szCs w:val="18"/>
        </w:rPr>
        <w:t xml:space="preserve">Chapter- Three: Secondary School Education Table 3.1.10 Number of School, Teacher and Student by District 2017 </w:t>
      </w:r>
      <w:r w:rsidRPr="00BB7416">
        <w:rPr>
          <w:rFonts w:cs="Arial"/>
          <w:sz w:val="18"/>
          <w:szCs w:val="18"/>
        </w:rPr>
        <w:t xml:space="preserve">and </w:t>
      </w:r>
      <w:r w:rsidRPr="00BB7416">
        <w:rPr>
          <w:rFonts w:cs="Arial"/>
          <w:i/>
          <w:sz w:val="18"/>
          <w:szCs w:val="18"/>
        </w:rPr>
        <w:t xml:space="preserve">Chapter- Five: Madrasah Education Table 5.1.8: District Wise Institution, teacher and Enrolment by Gender 2017 </w:t>
      </w:r>
      <w:hyperlink r:id="rId1" w:history="1">
        <w:r w:rsidRPr="00BB7416">
          <w:rPr>
            <w:rStyle w:val="Hyperlink"/>
            <w:rFonts w:cs="Arial"/>
            <w:sz w:val="18"/>
            <w:szCs w:val="18"/>
          </w:rPr>
          <w:t>data.banbeis.gov.bd/images/ban03.pdf</w:t>
        </w:r>
      </w:hyperlink>
      <w:r w:rsidRPr="00BB7416">
        <w:rPr>
          <w:rFonts w:cs="Arial"/>
          <w:sz w:val="18"/>
          <w:szCs w:val="18"/>
        </w:rPr>
        <w:t xml:space="preserve"> and  </w:t>
      </w:r>
      <w:hyperlink r:id="rId2" w:history="1">
        <w:r w:rsidRPr="00BB7416">
          <w:rPr>
            <w:rStyle w:val="Hyperlink"/>
            <w:rFonts w:cs="Arial"/>
            <w:sz w:val="18"/>
            <w:szCs w:val="18"/>
          </w:rPr>
          <w:t>data.banbeis.gov.bd/images/ban05.pdf</w:t>
        </w:r>
      </w:hyperlink>
      <w:r w:rsidRPr="00BB7416">
        <w:rPr>
          <w:rFonts w:cs="Arial"/>
          <w:sz w:val="18"/>
          <w:szCs w:val="18"/>
        </w:rPr>
        <w:t xml:space="preserve"> </w:t>
      </w:r>
    </w:p>
  </w:footnote>
  <w:footnote w:id="4">
    <w:p w14:paraId="563FD2CE" w14:textId="77777777" w:rsidR="009322C7" w:rsidRPr="0003015B" w:rsidRDefault="009322C7" w:rsidP="00F25042">
      <w:pPr>
        <w:pStyle w:val="FootnoteText"/>
      </w:pPr>
      <w:r w:rsidRPr="00213585">
        <w:rPr>
          <w:rStyle w:val="FootnoteReference"/>
          <w:rFonts w:eastAsia="Calibri"/>
        </w:rPr>
        <w:footnoteRef/>
      </w:r>
      <w:r w:rsidRPr="00213585">
        <w:rPr>
          <w:sz w:val="16"/>
          <w:szCs w:val="16"/>
        </w:rPr>
        <w:t xml:space="preserve"> Detailed indicator definitions will be provided to the Consultant, including for the composite index and its components, when the contract is awarded.</w:t>
      </w:r>
    </w:p>
  </w:footnote>
  <w:footnote w:id="5">
    <w:p w14:paraId="698701EC" w14:textId="77777777" w:rsidR="009322C7" w:rsidRPr="00213585" w:rsidRDefault="009322C7" w:rsidP="00F25042">
      <w:pPr>
        <w:pStyle w:val="FootnoteText"/>
        <w:rPr>
          <w:sz w:val="16"/>
          <w:szCs w:val="16"/>
        </w:rPr>
      </w:pPr>
      <w:r w:rsidRPr="00213585">
        <w:rPr>
          <w:rStyle w:val="FootnoteReference"/>
          <w:rFonts w:eastAsia="Calibri"/>
        </w:rPr>
        <w:footnoteRef/>
      </w:r>
      <w:r w:rsidRPr="00213585">
        <w:rPr>
          <w:sz w:val="16"/>
          <w:szCs w:val="16"/>
        </w:rPr>
        <w:t xml:space="preserve"> Sample sizes and inclusion/exclusion criteria will be reviewed and finalized by Plan International and the Consultant as part of the inception process.  </w:t>
      </w:r>
    </w:p>
  </w:footnote>
  <w:footnote w:id="6">
    <w:p w14:paraId="7B61B9CF" w14:textId="77777777" w:rsidR="009322C7" w:rsidRPr="009978AF" w:rsidRDefault="009322C7" w:rsidP="00F25042">
      <w:pPr>
        <w:pStyle w:val="FootnoteText"/>
      </w:pPr>
      <w:r>
        <w:rPr>
          <w:rStyle w:val="FootnoteReference"/>
          <w:rFonts w:eastAsia="Calibri"/>
        </w:rPr>
        <w:footnoteRef/>
      </w:r>
      <w:r w:rsidRPr="009978AF">
        <w:t xml:space="preserve"> Please note that if enumeration is to be sub-contracted, the consultant will be ultimately responsible for the enumerators they are subcontracting to.</w:t>
      </w:r>
    </w:p>
  </w:footnote>
  <w:footnote w:id="7">
    <w:p w14:paraId="6F223CCC" w14:textId="77777777" w:rsidR="009322C7" w:rsidRPr="006A11E3" w:rsidRDefault="009322C7" w:rsidP="00F25042">
      <w:pPr>
        <w:pStyle w:val="FootnoteText"/>
      </w:pPr>
      <w:r>
        <w:rPr>
          <w:rStyle w:val="FootnoteReference"/>
          <w:rFonts w:eastAsia="Calibri"/>
        </w:rPr>
        <w:footnoteRef/>
      </w:r>
      <w:r w:rsidRPr="006A11E3">
        <w:t xml:space="preserve"> </w:t>
      </w:r>
      <w:r w:rsidRPr="008D58BC">
        <w:t xml:space="preserve">The focal point at Plan International </w:t>
      </w:r>
      <w:r>
        <w:t>Bangladesh</w:t>
      </w:r>
      <w:r w:rsidRPr="008D58BC">
        <w:t xml:space="preserve"> will be confirmed when the contract is awarded.</w:t>
      </w:r>
      <w:r w:rsidRPr="006A11E3">
        <w:t xml:space="preserve">  </w:t>
      </w:r>
    </w:p>
  </w:footnote>
  <w:footnote w:id="8">
    <w:p w14:paraId="0F834F08" w14:textId="77777777" w:rsidR="009322C7" w:rsidRPr="006A11E3" w:rsidRDefault="009322C7" w:rsidP="00F25042">
      <w:pPr>
        <w:pStyle w:val="FootnoteText"/>
      </w:pPr>
      <w:r>
        <w:rPr>
          <w:rStyle w:val="FootnoteReference"/>
          <w:rFonts w:eastAsia="Calibri"/>
        </w:rPr>
        <w:footnoteRef/>
      </w:r>
      <w:r w:rsidRPr="006A11E3">
        <w:t xml:space="preserve"> Protocols for enumerators will include guidelines on child safeguarding, adolescent friendliness and gender responsiveness in data collection methods and processes.  </w:t>
      </w:r>
    </w:p>
  </w:footnote>
  <w:footnote w:id="9">
    <w:p w14:paraId="3B7B8F31" w14:textId="77777777" w:rsidR="009322C7" w:rsidRPr="006A11E3" w:rsidRDefault="009322C7" w:rsidP="00F25042">
      <w:pPr>
        <w:pStyle w:val="FootnoteText"/>
      </w:pPr>
      <w:r>
        <w:rPr>
          <w:rStyle w:val="FootnoteReference"/>
          <w:rFonts w:eastAsia="Calibri"/>
        </w:rPr>
        <w:footnoteRef/>
      </w:r>
      <w:r w:rsidRPr="006A11E3">
        <w:t xml:space="preserve"> Plan International </w:t>
      </w:r>
      <w:r>
        <w:t>Bangladesh</w:t>
      </w:r>
      <w:r w:rsidRPr="006A11E3">
        <w:t xml:space="preserve"> staff will co-facilitate gender equality and child protection components of the enumerator training, in line with organizational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ACAB" w14:textId="04B03970" w:rsidR="009322C7" w:rsidRDefault="009322C7" w:rsidP="009941AB">
    <w:pPr>
      <w:pStyle w:val="Header"/>
      <w:tabs>
        <w:tab w:val="clear" w:pos="4680"/>
      </w:tabs>
      <w:spacing w:after="0" w:line="240" w:lineRule="auto"/>
      <w:rPr>
        <w:b/>
        <w:sz w:val="20"/>
        <w:szCs w:val="20"/>
        <w:lang w:val="en-US"/>
      </w:rPr>
    </w:pPr>
    <w:r w:rsidRPr="009941AB">
      <w:rPr>
        <w:b/>
        <w:noProof/>
        <w:lang w:val="sv-SE" w:eastAsia="sv-SE"/>
      </w:rPr>
      <w:drawing>
        <wp:anchor distT="0" distB="0" distL="114300" distR="114300" simplePos="0" relativeHeight="251658240" behindDoc="1" locked="0" layoutInCell="1" allowOverlap="1" wp14:anchorId="5D6849AD" wp14:editId="1E202A00">
          <wp:simplePos x="0" y="0"/>
          <wp:positionH relativeFrom="margin">
            <wp:posOffset>4769485</wp:posOffset>
          </wp:positionH>
          <wp:positionV relativeFrom="paragraph">
            <wp:posOffset>7620</wp:posOffset>
          </wp:positionV>
          <wp:extent cx="1508125" cy="571500"/>
          <wp:effectExtent l="0" t="0" r="0" b="0"/>
          <wp:wrapTight wrapText="bothSides">
            <wp:wrapPolygon edited="0">
              <wp:start x="0" y="0"/>
              <wp:lineTo x="0" y="20880"/>
              <wp:lineTo x="21282" y="20880"/>
              <wp:lineTo x="21282" y="0"/>
              <wp:lineTo x="0" y="0"/>
            </wp:wrapPolygon>
          </wp:wrapTight>
          <wp:docPr id="24" name="Picture 24" descr="PI_Logo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I_Logo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41AB">
      <w:rPr>
        <w:b/>
        <w:sz w:val="20"/>
        <w:szCs w:val="20"/>
        <w:lang w:val="en-US"/>
      </w:rPr>
      <w:t>Plan International Bangladesh</w:t>
    </w:r>
  </w:p>
  <w:p w14:paraId="77982FBD" w14:textId="77777777" w:rsidR="009322C7" w:rsidRPr="009941AB" w:rsidRDefault="009322C7" w:rsidP="009941AB">
    <w:pPr>
      <w:pStyle w:val="Header"/>
      <w:tabs>
        <w:tab w:val="clear" w:pos="4680"/>
      </w:tabs>
      <w:spacing w:after="0" w:line="240" w:lineRule="auto"/>
      <w:rPr>
        <w:b/>
        <w:sz w:val="20"/>
        <w:szCs w:val="20"/>
        <w:lang w:val="en-US"/>
      </w:rPr>
    </w:pPr>
  </w:p>
  <w:p w14:paraId="52DA0CAC" w14:textId="7A025781" w:rsidR="009322C7" w:rsidRDefault="009322C7" w:rsidP="00023F06">
    <w:pPr>
      <w:pStyle w:val="Header"/>
      <w:tabs>
        <w:tab w:val="clear" w:pos="4680"/>
      </w:tabs>
      <w:spacing w:after="0" w:line="240" w:lineRule="auto"/>
      <w:rPr>
        <w:sz w:val="24"/>
        <w:szCs w:val="20"/>
        <w:lang w:val="en-US"/>
      </w:rPr>
    </w:pPr>
    <w:r w:rsidRPr="008F156A">
      <w:rPr>
        <w:sz w:val="24"/>
        <w:szCs w:val="20"/>
        <w:lang w:val="en-US"/>
      </w:rPr>
      <w:t>Terms of Reference to conduct midline study of                                                                        Combatting Child Marriage in Bangladesh project</w:t>
    </w:r>
  </w:p>
  <w:p w14:paraId="46E3E8CC" w14:textId="77777777" w:rsidR="009322C7" w:rsidRPr="008F156A" w:rsidRDefault="009322C7" w:rsidP="00023F06">
    <w:pPr>
      <w:pStyle w:val="Header"/>
      <w:tabs>
        <w:tab w:val="clear" w:pos="4680"/>
      </w:tabs>
      <w:spacing w:after="0" w:line="240" w:lineRule="auto"/>
      <w:rPr>
        <w:sz w:val="24"/>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E67"/>
    <w:multiLevelType w:val="multilevel"/>
    <w:tmpl w:val="3BD81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394A0F"/>
    <w:multiLevelType w:val="hybridMultilevel"/>
    <w:tmpl w:val="DEA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 w15:restartNumberingAfterBreak="0">
    <w:nsid w:val="32E53E05"/>
    <w:multiLevelType w:val="hybridMultilevel"/>
    <w:tmpl w:val="12A6D8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92327C6"/>
    <w:multiLevelType w:val="multilevel"/>
    <w:tmpl w:val="D8747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42284D"/>
    <w:multiLevelType w:val="hybridMultilevel"/>
    <w:tmpl w:val="80C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741D6"/>
    <w:multiLevelType w:val="hybridMultilevel"/>
    <w:tmpl w:val="DE564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5BC556CF"/>
    <w:multiLevelType w:val="hybridMultilevel"/>
    <w:tmpl w:val="6BE82E20"/>
    <w:lvl w:ilvl="0" w:tplc="07E8CD5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9" w15:restartNumberingAfterBreak="0">
    <w:nsid w:val="5F3A74B3"/>
    <w:multiLevelType w:val="hybridMultilevel"/>
    <w:tmpl w:val="B47C9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962DE4"/>
    <w:multiLevelType w:val="hybridMultilevel"/>
    <w:tmpl w:val="2EB68C30"/>
    <w:lvl w:ilvl="0" w:tplc="A3F43A44">
      <w:start w:val="1"/>
      <w:numFmt w:val="bullet"/>
      <w:pStyle w:val="StyleBulleted"/>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BC1D36"/>
    <w:multiLevelType w:val="hybridMultilevel"/>
    <w:tmpl w:val="C24C8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B915F2"/>
    <w:multiLevelType w:val="hybridMultilevel"/>
    <w:tmpl w:val="18061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FB74F0"/>
    <w:multiLevelType w:val="multilevel"/>
    <w:tmpl w:val="6520F60E"/>
    <w:lvl w:ilvl="0">
      <w:start w:val="1"/>
      <w:numFmt w:val="decimal"/>
      <w:lvlText w:val="%1."/>
      <w:lvlJc w:val="left"/>
      <w:pPr>
        <w:ind w:left="360" w:hanging="360"/>
      </w:pPr>
      <w:rPr>
        <w:rFonts w:ascii="Arial" w:eastAsiaTheme="minorHAnsi" w:hAnsi="Arial" w:cs="Arial"/>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3979FD"/>
    <w:multiLevelType w:val="hybridMultilevel"/>
    <w:tmpl w:val="7B144A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13"/>
  </w:num>
  <w:num w:numId="4">
    <w:abstractNumId w:val="6"/>
  </w:num>
  <w:num w:numId="5">
    <w:abstractNumId w:val="8"/>
  </w:num>
  <w:num w:numId="6">
    <w:abstractNumId w:val="0"/>
  </w:num>
  <w:num w:numId="7">
    <w:abstractNumId w:val="2"/>
  </w:num>
  <w:num w:numId="8">
    <w:abstractNumId w:val="1"/>
  </w:num>
  <w:num w:numId="9">
    <w:abstractNumId w:val="14"/>
  </w:num>
  <w:num w:numId="10">
    <w:abstractNumId w:val="9"/>
  </w:num>
  <w:num w:numId="11">
    <w:abstractNumId w:val="11"/>
  </w:num>
  <w:num w:numId="12">
    <w:abstractNumId w:val="3"/>
  </w:num>
  <w:num w:numId="13">
    <w:abstractNumId w:val="12"/>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F1"/>
    <w:rsid w:val="00001A7A"/>
    <w:rsid w:val="000032F0"/>
    <w:rsid w:val="00004653"/>
    <w:rsid w:val="000047C8"/>
    <w:rsid w:val="00012E4D"/>
    <w:rsid w:val="000144EA"/>
    <w:rsid w:val="0001550B"/>
    <w:rsid w:val="00020611"/>
    <w:rsid w:val="00022FED"/>
    <w:rsid w:val="00023F06"/>
    <w:rsid w:val="000244E2"/>
    <w:rsid w:val="00026A93"/>
    <w:rsid w:val="00027BD3"/>
    <w:rsid w:val="00033E89"/>
    <w:rsid w:val="00034A68"/>
    <w:rsid w:val="00035A05"/>
    <w:rsid w:val="00037CCB"/>
    <w:rsid w:val="00042739"/>
    <w:rsid w:val="00042789"/>
    <w:rsid w:val="0004286D"/>
    <w:rsid w:val="00043AEF"/>
    <w:rsid w:val="000443E9"/>
    <w:rsid w:val="00045CB6"/>
    <w:rsid w:val="000463EA"/>
    <w:rsid w:val="00047BE1"/>
    <w:rsid w:val="00051DE9"/>
    <w:rsid w:val="00057C55"/>
    <w:rsid w:val="000612BD"/>
    <w:rsid w:val="00064BF1"/>
    <w:rsid w:val="00064DDE"/>
    <w:rsid w:val="0006770A"/>
    <w:rsid w:val="00067A89"/>
    <w:rsid w:val="00072BA7"/>
    <w:rsid w:val="000806A1"/>
    <w:rsid w:val="00083C3B"/>
    <w:rsid w:val="00083CDC"/>
    <w:rsid w:val="0008527A"/>
    <w:rsid w:val="000869B3"/>
    <w:rsid w:val="00095F66"/>
    <w:rsid w:val="00097C31"/>
    <w:rsid w:val="000A05C5"/>
    <w:rsid w:val="000A0AF6"/>
    <w:rsid w:val="000A221D"/>
    <w:rsid w:val="000A2E92"/>
    <w:rsid w:val="000A4F04"/>
    <w:rsid w:val="000A5789"/>
    <w:rsid w:val="000B70D1"/>
    <w:rsid w:val="000B710F"/>
    <w:rsid w:val="000B732D"/>
    <w:rsid w:val="000C09EC"/>
    <w:rsid w:val="000C2530"/>
    <w:rsid w:val="000C4C91"/>
    <w:rsid w:val="000C5E75"/>
    <w:rsid w:val="000D0989"/>
    <w:rsid w:val="000D0A6B"/>
    <w:rsid w:val="000D13F9"/>
    <w:rsid w:val="000D1F21"/>
    <w:rsid w:val="000D25F9"/>
    <w:rsid w:val="000E2734"/>
    <w:rsid w:val="000E31C7"/>
    <w:rsid w:val="000F0007"/>
    <w:rsid w:val="000F2DCE"/>
    <w:rsid w:val="000F4A06"/>
    <w:rsid w:val="000F5377"/>
    <w:rsid w:val="000F7BD4"/>
    <w:rsid w:val="001005CA"/>
    <w:rsid w:val="00101A9B"/>
    <w:rsid w:val="00101F3F"/>
    <w:rsid w:val="00102B8A"/>
    <w:rsid w:val="00105888"/>
    <w:rsid w:val="00111306"/>
    <w:rsid w:val="0011422F"/>
    <w:rsid w:val="001166F5"/>
    <w:rsid w:val="00121004"/>
    <w:rsid w:val="001237F9"/>
    <w:rsid w:val="0012454C"/>
    <w:rsid w:val="001258E8"/>
    <w:rsid w:val="00130681"/>
    <w:rsid w:val="00130EE0"/>
    <w:rsid w:val="00133F9C"/>
    <w:rsid w:val="001374F7"/>
    <w:rsid w:val="00140EB6"/>
    <w:rsid w:val="00141AA6"/>
    <w:rsid w:val="00142F48"/>
    <w:rsid w:val="001461CB"/>
    <w:rsid w:val="00154093"/>
    <w:rsid w:val="0015447A"/>
    <w:rsid w:val="0016054D"/>
    <w:rsid w:val="00160E17"/>
    <w:rsid w:val="001631E4"/>
    <w:rsid w:val="00164B5A"/>
    <w:rsid w:val="001701D9"/>
    <w:rsid w:val="00170873"/>
    <w:rsid w:val="00172028"/>
    <w:rsid w:val="001745D2"/>
    <w:rsid w:val="00176B9C"/>
    <w:rsid w:val="001801A7"/>
    <w:rsid w:val="001803A6"/>
    <w:rsid w:val="00180613"/>
    <w:rsid w:val="0018091F"/>
    <w:rsid w:val="00184C2F"/>
    <w:rsid w:val="00184C3B"/>
    <w:rsid w:val="00186BA2"/>
    <w:rsid w:val="00193328"/>
    <w:rsid w:val="001938F9"/>
    <w:rsid w:val="00196306"/>
    <w:rsid w:val="00196953"/>
    <w:rsid w:val="001A3E9B"/>
    <w:rsid w:val="001A52A6"/>
    <w:rsid w:val="001B0652"/>
    <w:rsid w:val="001B20B2"/>
    <w:rsid w:val="001B2912"/>
    <w:rsid w:val="001B3C7F"/>
    <w:rsid w:val="001C29C4"/>
    <w:rsid w:val="001C7C6C"/>
    <w:rsid w:val="001D5309"/>
    <w:rsid w:val="001E0CB4"/>
    <w:rsid w:val="001E208E"/>
    <w:rsid w:val="001E23CD"/>
    <w:rsid w:val="001E25E9"/>
    <w:rsid w:val="001E3D93"/>
    <w:rsid w:val="001E6F65"/>
    <w:rsid w:val="001F2B73"/>
    <w:rsid w:val="001F44BE"/>
    <w:rsid w:val="002008FC"/>
    <w:rsid w:val="00200993"/>
    <w:rsid w:val="00200DB5"/>
    <w:rsid w:val="00213CD3"/>
    <w:rsid w:val="00214E03"/>
    <w:rsid w:val="00214E07"/>
    <w:rsid w:val="00221209"/>
    <w:rsid w:val="00226D60"/>
    <w:rsid w:val="0023102D"/>
    <w:rsid w:val="00237E22"/>
    <w:rsid w:val="002401B1"/>
    <w:rsid w:val="002432B2"/>
    <w:rsid w:val="002473EE"/>
    <w:rsid w:val="00247FE5"/>
    <w:rsid w:val="0025008A"/>
    <w:rsid w:val="00252F43"/>
    <w:rsid w:val="00253056"/>
    <w:rsid w:val="002538B7"/>
    <w:rsid w:val="00253909"/>
    <w:rsid w:val="002624AA"/>
    <w:rsid w:val="002636B5"/>
    <w:rsid w:val="00266435"/>
    <w:rsid w:val="002670F4"/>
    <w:rsid w:val="002678D8"/>
    <w:rsid w:val="0027067A"/>
    <w:rsid w:val="00271110"/>
    <w:rsid w:val="002817ED"/>
    <w:rsid w:val="0028518D"/>
    <w:rsid w:val="002864CB"/>
    <w:rsid w:val="00297646"/>
    <w:rsid w:val="002A154D"/>
    <w:rsid w:val="002A44D1"/>
    <w:rsid w:val="002A6C02"/>
    <w:rsid w:val="002B07CF"/>
    <w:rsid w:val="002B0D31"/>
    <w:rsid w:val="002B1794"/>
    <w:rsid w:val="002B21E1"/>
    <w:rsid w:val="002B44C9"/>
    <w:rsid w:val="002B4A1C"/>
    <w:rsid w:val="002B6AD9"/>
    <w:rsid w:val="002B7682"/>
    <w:rsid w:val="002C226E"/>
    <w:rsid w:val="002C4043"/>
    <w:rsid w:val="002C430A"/>
    <w:rsid w:val="002D0784"/>
    <w:rsid w:val="002D1112"/>
    <w:rsid w:val="002D1945"/>
    <w:rsid w:val="002D383F"/>
    <w:rsid w:val="002D63C3"/>
    <w:rsid w:val="002D7F93"/>
    <w:rsid w:val="002E215D"/>
    <w:rsid w:val="002E3831"/>
    <w:rsid w:val="002E5EBE"/>
    <w:rsid w:val="002F09FA"/>
    <w:rsid w:val="002F36A3"/>
    <w:rsid w:val="002F3ED2"/>
    <w:rsid w:val="002F4BA3"/>
    <w:rsid w:val="002F71BD"/>
    <w:rsid w:val="003001E7"/>
    <w:rsid w:val="00301B11"/>
    <w:rsid w:val="0030300F"/>
    <w:rsid w:val="0030315F"/>
    <w:rsid w:val="00310016"/>
    <w:rsid w:val="003104B4"/>
    <w:rsid w:val="00310F0E"/>
    <w:rsid w:val="0031479B"/>
    <w:rsid w:val="003169F2"/>
    <w:rsid w:val="00317116"/>
    <w:rsid w:val="00317259"/>
    <w:rsid w:val="00334581"/>
    <w:rsid w:val="00334AE8"/>
    <w:rsid w:val="00335CF4"/>
    <w:rsid w:val="003365AB"/>
    <w:rsid w:val="00340C3E"/>
    <w:rsid w:val="00352C17"/>
    <w:rsid w:val="00353561"/>
    <w:rsid w:val="00355EB0"/>
    <w:rsid w:val="00356D22"/>
    <w:rsid w:val="0036029C"/>
    <w:rsid w:val="00360774"/>
    <w:rsid w:val="003630F6"/>
    <w:rsid w:val="00366976"/>
    <w:rsid w:val="00367817"/>
    <w:rsid w:val="00370407"/>
    <w:rsid w:val="0037084C"/>
    <w:rsid w:val="00372566"/>
    <w:rsid w:val="00372AE5"/>
    <w:rsid w:val="003823CC"/>
    <w:rsid w:val="00383D16"/>
    <w:rsid w:val="00384A55"/>
    <w:rsid w:val="00385159"/>
    <w:rsid w:val="00387B25"/>
    <w:rsid w:val="0039434E"/>
    <w:rsid w:val="00394EB4"/>
    <w:rsid w:val="003956EA"/>
    <w:rsid w:val="00396BE1"/>
    <w:rsid w:val="003A6C0A"/>
    <w:rsid w:val="003B08BC"/>
    <w:rsid w:val="003B145E"/>
    <w:rsid w:val="003B31D3"/>
    <w:rsid w:val="003B3780"/>
    <w:rsid w:val="003B5083"/>
    <w:rsid w:val="003B6DDD"/>
    <w:rsid w:val="003C36C0"/>
    <w:rsid w:val="003C4C04"/>
    <w:rsid w:val="003C5B22"/>
    <w:rsid w:val="003C68D1"/>
    <w:rsid w:val="003C7A55"/>
    <w:rsid w:val="003D7971"/>
    <w:rsid w:val="003E4A86"/>
    <w:rsid w:val="003E52C9"/>
    <w:rsid w:val="003F05EB"/>
    <w:rsid w:val="003F111A"/>
    <w:rsid w:val="003F1362"/>
    <w:rsid w:val="00400152"/>
    <w:rsid w:val="00401AB7"/>
    <w:rsid w:val="004023F3"/>
    <w:rsid w:val="00402D6B"/>
    <w:rsid w:val="0040520C"/>
    <w:rsid w:val="004105A1"/>
    <w:rsid w:val="00410F62"/>
    <w:rsid w:val="004144F2"/>
    <w:rsid w:val="00417B89"/>
    <w:rsid w:val="00420347"/>
    <w:rsid w:val="004243CA"/>
    <w:rsid w:val="00424558"/>
    <w:rsid w:val="004245F4"/>
    <w:rsid w:val="0043400C"/>
    <w:rsid w:val="00435274"/>
    <w:rsid w:val="00436FAB"/>
    <w:rsid w:val="004371F2"/>
    <w:rsid w:val="00437FC2"/>
    <w:rsid w:val="004425D6"/>
    <w:rsid w:val="00450DEA"/>
    <w:rsid w:val="004528E1"/>
    <w:rsid w:val="00453132"/>
    <w:rsid w:val="00455205"/>
    <w:rsid w:val="004629BC"/>
    <w:rsid w:val="00462E13"/>
    <w:rsid w:val="0046456A"/>
    <w:rsid w:val="00465F6A"/>
    <w:rsid w:val="00470FD5"/>
    <w:rsid w:val="004722B6"/>
    <w:rsid w:val="00473056"/>
    <w:rsid w:val="00480EC6"/>
    <w:rsid w:val="00481A96"/>
    <w:rsid w:val="00484BFD"/>
    <w:rsid w:val="00487C6A"/>
    <w:rsid w:val="0049012C"/>
    <w:rsid w:val="00492A8F"/>
    <w:rsid w:val="00493033"/>
    <w:rsid w:val="00497E1C"/>
    <w:rsid w:val="00497F5F"/>
    <w:rsid w:val="004A23DF"/>
    <w:rsid w:val="004A5A27"/>
    <w:rsid w:val="004B03FF"/>
    <w:rsid w:val="004B201C"/>
    <w:rsid w:val="004B7332"/>
    <w:rsid w:val="004B795F"/>
    <w:rsid w:val="004C26E2"/>
    <w:rsid w:val="004C30F8"/>
    <w:rsid w:val="004C44A2"/>
    <w:rsid w:val="004C74F5"/>
    <w:rsid w:val="004D2BED"/>
    <w:rsid w:val="004D7F64"/>
    <w:rsid w:val="004E0A25"/>
    <w:rsid w:val="004E14C4"/>
    <w:rsid w:val="004E2FE5"/>
    <w:rsid w:val="004E54C1"/>
    <w:rsid w:val="004E6173"/>
    <w:rsid w:val="004E6344"/>
    <w:rsid w:val="004E7863"/>
    <w:rsid w:val="004F0AD8"/>
    <w:rsid w:val="004F6D49"/>
    <w:rsid w:val="004F79DF"/>
    <w:rsid w:val="00501CEF"/>
    <w:rsid w:val="00503050"/>
    <w:rsid w:val="00506252"/>
    <w:rsid w:val="00506838"/>
    <w:rsid w:val="00507CB3"/>
    <w:rsid w:val="00513208"/>
    <w:rsid w:val="005133E7"/>
    <w:rsid w:val="00517330"/>
    <w:rsid w:val="0052125E"/>
    <w:rsid w:val="00530331"/>
    <w:rsid w:val="00534346"/>
    <w:rsid w:val="00541702"/>
    <w:rsid w:val="0054241E"/>
    <w:rsid w:val="00544E21"/>
    <w:rsid w:val="00553D43"/>
    <w:rsid w:val="00553D89"/>
    <w:rsid w:val="00554649"/>
    <w:rsid w:val="00554DD5"/>
    <w:rsid w:val="00557BCD"/>
    <w:rsid w:val="00562DF6"/>
    <w:rsid w:val="00563CBA"/>
    <w:rsid w:val="00566D3C"/>
    <w:rsid w:val="005672EE"/>
    <w:rsid w:val="0056750C"/>
    <w:rsid w:val="00567B6D"/>
    <w:rsid w:val="00574FDE"/>
    <w:rsid w:val="005755FA"/>
    <w:rsid w:val="00577447"/>
    <w:rsid w:val="00581666"/>
    <w:rsid w:val="00582D15"/>
    <w:rsid w:val="00583C37"/>
    <w:rsid w:val="00583E2D"/>
    <w:rsid w:val="00592E85"/>
    <w:rsid w:val="005933FE"/>
    <w:rsid w:val="00594F71"/>
    <w:rsid w:val="005A0AA1"/>
    <w:rsid w:val="005A6F8A"/>
    <w:rsid w:val="005B28C3"/>
    <w:rsid w:val="005B301C"/>
    <w:rsid w:val="005B3298"/>
    <w:rsid w:val="005B4EB2"/>
    <w:rsid w:val="005B7DDC"/>
    <w:rsid w:val="005C74BB"/>
    <w:rsid w:val="005D03F2"/>
    <w:rsid w:val="005D11E4"/>
    <w:rsid w:val="005D3F83"/>
    <w:rsid w:val="005D51AE"/>
    <w:rsid w:val="005E5035"/>
    <w:rsid w:val="005E5388"/>
    <w:rsid w:val="005E6EE3"/>
    <w:rsid w:val="005E758F"/>
    <w:rsid w:val="005F0A30"/>
    <w:rsid w:val="005F1C2D"/>
    <w:rsid w:val="006034F7"/>
    <w:rsid w:val="00603621"/>
    <w:rsid w:val="00603AA7"/>
    <w:rsid w:val="00605D6C"/>
    <w:rsid w:val="00610C69"/>
    <w:rsid w:val="00617ADB"/>
    <w:rsid w:val="0062261F"/>
    <w:rsid w:val="00624B90"/>
    <w:rsid w:val="006250AD"/>
    <w:rsid w:val="006250B1"/>
    <w:rsid w:val="00626829"/>
    <w:rsid w:val="00626E86"/>
    <w:rsid w:val="00627CA5"/>
    <w:rsid w:val="0063101C"/>
    <w:rsid w:val="006314F2"/>
    <w:rsid w:val="00633C60"/>
    <w:rsid w:val="0063572B"/>
    <w:rsid w:val="00641D69"/>
    <w:rsid w:val="0064511C"/>
    <w:rsid w:val="006454BE"/>
    <w:rsid w:val="0064760F"/>
    <w:rsid w:val="006530D5"/>
    <w:rsid w:val="00657B62"/>
    <w:rsid w:val="00660C4C"/>
    <w:rsid w:val="00661AB9"/>
    <w:rsid w:val="006633CB"/>
    <w:rsid w:val="00663B0E"/>
    <w:rsid w:val="00667C65"/>
    <w:rsid w:val="00682052"/>
    <w:rsid w:val="00684594"/>
    <w:rsid w:val="00684D83"/>
    <w:rsid w:val="0068768B"/>
    <w:rsid w:val="0069236F"/>
    <w:rsid w:val="006936C1"/>
    <w:rsid w:val="00694F30"/>
    <w:rsid w:val="006976D3"/>
    <w:rsid w:val="006A062B"/>
    <w:rsid w:val="006A0F21"/>
    <w:rsid w:val="006A628D"/>
    <w:rsid w:val="006A71E4"/>
    <w:rsid w:val="006A7792"/>
    <w:rsid w:val="006A7906"/>
    <w:rsid w:val="006B067E"/>
    <w:rsid w:val="006B51C5"/>
    <w:rsid w:val="006B53AD"/>
    <w:rsid w:val="006C1150"/>
    <w:rsid w:val="006C1681"/>
    <w:rsid w:val="006C2A7D"/>
    <w:rsid w:val="006C2E72"/>
    <w:rsid w:val="006C48E1"/>
    <w:rsid w:val="006D12EE"/>
    <w:rsid w:val="006D1578"/>
    <w:rsid w:val="006D4376"/>
    <w:rsid w:val="006D7768"/>
    <w:rsid w:val="006E15F3"/>
    <w:rsid w:val="006E18C7"/>
    <w:rsid w:val="006E593A"/>
    <w:rsid w:val="006F1F40"/>
    <w:rsid w:val="006F4A72"/>
    <w:rsid w:val="006F6718"/>
    <w:rsid w:val="007054DB"/>
    <w:rsid w:val="00716679"/>
    <w:rsid w:val="00721F70"/>
    <w:rsid w:val="00725ABB"/>
    <w:rsid w:val="00725E1C"/>
    <w:rsid w:val="007305DE"/>
    <w:rsid w:val="00730B6A"/>
    <w:rsid w:val="00731035"/>
    <w:rsid w:val="00735BA5"/>
    <w:rsid w:val="00735E1B"/>
    <w:rsid w:val="007423C6"/>
    <w:rsid w:val="007425D4"/>
    <w:rsid w:val="00742D76"/>
    <w:rsid w:val="00742DF5"/>
    <w:rsid w:val="007449A0"/>
    <w:rsid w:val="00744E89"/>
    <w:rsid w:val="007515DA"/>
    <w:rsid w:val="00752A89"/>
    <w:rsid w:val="00752B09"/>
    <w:rsid w:val="00756087"/>
    <w:rsid w:val="00762E67"/>
    <w:rsid w:val="00762FF7"/>
    <w:rsid w:val="00766AAC"/>
    <w:rsid w:val="00771534"/>
    <w:rsid w:val="0077709F"/>
    <w:rsid w:val="007774F6"/>
    <w:rsid w:val="00777A24"/>
    <w:rsid w:val="00777B1B"/>
    <w:rsid w:val="00781A5D"/>
    <w:rsid w:val="00784ED0"/>
    <w:rsid w:val="007856C3"/>
    <w:rsid w:val="007879B2"/>
    <w:rsid w:val="00792256"/>
    <w:rsid w:val="00794B01"/>
    <w:rsid w:val="00796275"/>
    <w:rsid w:val="007A0539"/>
    <w:rsid w:val="007A107F"/>
    <w:rsid w:val="007A413D"/>
    <w:rsid w:val="007A525D"/>
    <w:rsid w:val="007A685B"/>
    <w:rsid w:val="007A7962"/>
    <w:rsid w:val="007B007F"/>
    <w:rsid w:val="007B0098"/>
    <w:rsid w:val="007B2EBC"/>
    <w:rsid w:val="007B2F7B"/>
    <w:rsid w:val="007B5484"/>
    <w:rsid w:val="007B5AB3"/>
    <w:rsid w:val="007B7CA1"/>
    <w:rsid w:val="007C12A3"/>
    <w:rsid w:val="007C787C"/>
    <w:rsid w:val="007C7A44"/>
    <w:rsid w:val="007D07BF"/>
    <w:rsid w:val="007D139E"/>
    <w:rsid w:val="007D47F8"/>
    <w:rsid w:val="007D4F49"/>
    <w:rsid w:val="007D5FDF"/>
    <w:rsid w:val="007D6824"/>
    <w:rsid w:val="007D7151"/>
    <w:rsid w:val="00800C57"/>
    <w:rsid w:val="00806E27"/>
    <w:rsid w:val="00806EAB"/>
    <w:rsid w:val="0080798D"/>
    <w:rsid w:val="0081197E"/>
    <w:rsid w:val="008119D4"/>
    <w:rsid w:val="008128E4"/>
    <w:rsid w:val="00812D6E"/>
    <w:rsid w:val="008148F9"/>
    <w:rsid w:val="008176CC"/>
    <w:rsid w:val="008231AD"/>
    <w:rsid w:val="00825B78"/>
    <w:rsid w:val="00830BA3"/>
    <w:rsid w:val="00831C88"/>
    <w:rsid w:val="0083487E"/>
    <w:rsid w:val="00834B54"/>
    <w:rsid w:val="00834FC6"/>
    <w:rsid w:val="0083548B"/>
    <w:rsid w:val="00844A53"/>
    <w:rsid w:val="008451A2"/>
    <w:rsid w:val="008469E2"/>
    <w:rsid w:val="00846F65"/>
    <w:rsid w:val="0085092F"/>
    <w:rsid w:val="0085526D"/>
    <w:rsid w:val="00855E58"/>
    <w:rsid w:val="00857EDB"/>
    <w:rsid w:val="00860B81"/>
    <w:rsid w:val="00862157"/>
    <w:rsid w:val="0086327E"/>
    <w:rsid w:val="00863339"/>
    <w:rsid w:val="00864310"/>
    <w:rsid w:val="00866CCD"/>
    <w:rsid w:val="008725D7"/>
    <w:rsid w:val="00872F33"/>
    <w:rsid w:val="00873121"/>
    <w:rsid w:val="00874895"/>
    <w:rsid w:val="00874B59"/>
    <w:rsid w:val="008805C7"/>
    <w:rsid w:val="008844DC"/>
    <w:rsid w:val="008849A3"/>
    <w:rsid w:val="0088504A"/>
    <w:rsid w:val="0089019D"/>
    <w:rsid w:val="00891726"/>
    <w:rsid w:val="00892185"/>
    <w:rsid w:val="0089245E"/>
    <w:rsid w:val="00893752"/>
    <w:rsid w:val="00894ECC"/>
    <w:rsid w:val="0089548B"/>
    <w:rsid w:val="008959C9"/>
    <w:rsid w:val="008A3EBC"/>
    <w:rsid w:val="008A502A"/>
    <w:rsid w:val="008B3B75"/>
    <w:rsid w:val="008B43D4"/>
    <w:rsid w:val="008B4B7F"/>
    <w:rsid w:val="008B5C54"/>
    <w:rsid w:val="008B7E5C"/>
    <w:rsid w:val="008C014D"/>
    <w:rsid w:val="008C4439"/>
    <w:rsid w:val="008C55A5"/>
    <w:rsid w:val="008C751D"/>
    <w:rsid w:val="008D04EB"/>
    <w:rsid w:val="008D1C18"/>
    <w:rsid w:val="008D4E8C"/>
    <w:rsid w:val="008E40A4"/>
    <w:rsid w:val="008E5A30"/>
    <w:rsid w:val="008E7900"/>
    <w:rsid w:val="008F0335"/>
    <w:rsid w:val="008F156A"/>
    <w:rsid w:val="0090457C"/>
    <w:rsid w:val="0090488D"/>
    <w:rsid w:val="00904F60"/>
    <w:rsid w:val="00906CD6"/>
    <w:rsid w:val="00911C1F"/>
    <w:rsid w:val="009125C3"/>
    <w:rsid w:val="00921843"/>
    <w:rsid w:val="00921ECA"/>
    <w:rsid w:val="0092553A"/>
    <w:rsid w:val="00927843"/>
    <w:rsid w:val="009322C7"/>
    <w:rsid w:val="009342CF"/>
    <w:rsid w:val="009347AF"/>
    <w:rsid w:val="00941091"/>
    <w:rsid w:val="00943F60"/>
    <w:rsid w:val="009453D4"/>
    <w:rsid w:val="00945820"/>
    <w:rsid w:val="00946612"/>
    <w:rsid w:val="0094673A"/>
    <w:rsid w:val="00952478"/>
    <w:rsid w:val="00954856"/>
    <w:rsid w:val="00954888"/>
    <w:rsid w:val="00956378"/>
    <w:rsid w:val="00956A01"/>
    <w:rsid w:val="00961553"/>
    <w:rsid w:val="00965B70"/>
    <w:rsid w:val="00971BEF"/>
    <w:rsid w:val="00975703"/>
    <w:rsid w:val="00976110"/>
    <w:rsid w:val="009848E2"/>
    <w:rsid w:val="00984B49"/>
    <w:rsid w:val="00985AF8"/>
    <w:rsid w:val="00990898"/>
    <w:rsid w:val="009941AB"/>
    <w:rsid w:val="0099509F"/>
    <w:rsid w:val="00995178"/>
    <w:rsid w:val="00997371"/>
    <w:rsid w:val="00997C67"/>
    <w:rsid w:val="009A76BF"/>
    <w:rsid w:val="009A788C"/>
    <w:rsid w:val="009A7E30"/>
    <w:rsid w:val="009B677B"/>
    <w:rsid w:val="009B77A4"/>
    <w:rsid w:val="009C0C3A"/>
    <w:rsid w:val="009C1014"/>
    <w:rsid w:val="009C178B"/>
    <w:rsid w:val="009C2715"/>
    <w:rsid w:val="009C2E04"/>
    <w:rsid w:val="009D0E22"/>
    <w:rsid w:val="009D1363"/>
    <w:rsid w:val="009D1D45"/>
    <w:rsid w:val="009D6889"/>
    <w:rsid w:val="009D7175"/>
    <w:rsid w:val="009E0503"/>
    <w:rsid w:val="009E1D06"/>
    <w:rsid w:val="009E29A6"/>
    <w:rsid w:val="009E441B"/>
    <w:rsid w:val="009F09D5"/>
    <w:rsid w:val="009F3BB9"/>
    <w:rsid w:val="009F3EAC"/>
    <w:rsid w:val="00A05A98"/>
    <w:rsid w:val="00A1044A"/>
    <w:rsid w:val="00A152DC"/>
    <w:rsid w:val="00A16AED"/>
    <w:rsid w:val="00A20550"/>
    <w:rsid w:val="00A22FAA"/>
    <w:rsid w:val="00A23855"/>
    <w:rsid w:val="00A2759A"/>
    <w:rsid w:val="00A27743"/>
    <w:rsid w:val="00A32B18"/>
    <w:rsid w:val="00A37FB6"/>
    <w:rsid w:val="00A4002D"/>
    <w:rsid w:val="00A41C08"/>
    <w:rsid w:val="00A543CB"/>
    <w:rsid w:val="00A54598"/>
    <w:rsid w:val="00A54685"/>
    <w:rsid w:val="00A54F15"/>
    <w:rsid w:val="00A5664C"/>
    <w:rsid w:val="00A57570"/>
    <w:rsid w:val="00A6130B"/>
    <w:rsid w:val="00A616AB"/>
    <w:rsid w:val="00A6573F"/>
    <w:rsid w:val="00A743DE"/>
    <w:rsid w:val="00A801AF"/>
    <w:rsid w:val="00A84EA0"/>
    <w:rsid w:val="00A902A4"/>
    <w:rsid w:val="00A925BD"/>
    <w:rsid w:val="00A926D4"/>
    <w:rsid w:val="00A94CF9"/>
    <w:rsid w:val="00A9750A"/>
    <w:rsid w:val="00AA2845"/>
    <w:rsid w:val="00AA399F"/>
    <w:rsid w:val="00AA6494"/>
    <w:rsid w:val="00AB272F"/>
    <w:rsid w:val="00AB2FF5"/>
    <w:rsid w:val="00AB57D1"/>
    <w:rsid w:val="00AD0FF8"/>
    <w:rsid w:val="00AD315D"/>
    <w:rsid w:val="00AD52E4"/>
    <w:rsid w:val="00AD5549"/>
    <w:rsid w:val="00AD5DB8"/>
    <w:rsid w:val="00AE1A0F"/>
    <w:rsid w:val="00AE1B65"/>
    <w:rsid w:val="00AE1C8B"/>
    <w:rsid w:val="00AE232D"/>
    <w:rsid w:val="00AE3440"/>
    <w:rsid w:val="00AE6465"/>
    <w:rsid w:val="00AE65FC"/>
    <w:rsid w:val="00AF03BD"/>
    <w:rsid w:val="00AF3A4B"/>
    <w:rsid w:val="00AF4835"/>
    <w:rsid w:val="00AF5969"/>
    <w:rsid w:val="00AF78F6"/>
    <w:rsid w:val="00B00874"/>
    <w:rsid w:val="00B012FF"/>
    <w:rsid w:val="00B0169F"/>
    <w:rsid w:val="00B02115"/>
    <w:rsid w:val="00B02512"/>
    <w:rsid w:val="00B0432C"/>
    <w:rsid w:val="00B043E0"/>
    <w:rsid w:val="00B06B1C"/>
    <w:rsid w:val="00B13ADE"/>
    <w:rsid w:val="00B140D3"/>
    <w:rsid w:val="00B20F05"/>
    <w:rsid w:val="00B21BEF"/>
    <w:rsid w:val="00B25B87"/>
    <w:rsid w:val="00B30507"/>
    <w:rsid w:val="00B31C98"/>
    <w:rsid w:val="00B3299D"/>
    <w:rsid w:val="00B32AB2"/>
    <w:rsid w:val="00B33AF1"/>
    <w:rsid w:val="00B3705E"/>
    <w:rsid w:val="00B37372"/>
    <w:rsid w:val="00B40CDA"/>
    <w:rsid w:val="00B413C3"/>
    <w:rsid w:val="00B4183A"/>
    <w:rsid w:val="00B449B8"/>
    <w:rsid w:val="00B45A37"/>
    <w:rsid w:val="00B47912"/>
    <w:rsid w:val="00B53D9B"/>
    <w:rsid w:val="00B73548"/>
    <w:rsid w:val="00B75F36"/>
    <w:rsid w:val="00B77853"/>
    <w:rsid w:val="00B801A8"/>
    <w:rsid w:val="00B802D6"/>
    <w:rsid w:val="00B810D0"/>
    <w:rsid w:val="00B83EC6"/>
    <w:rsid w:val="00B866F1"/>
    <w:rsid w:val="00B87712"/>
    <w:rsid w:val="00B9546A"/>
    <w:rsid w:val="00B96C5A"/>
    <w:rsid w:val="00BA1202"/>
    <w:rsid w:val="00BA1517"/>
    <w:rsid w:val="00BA62A2"/>
    <w:rsid w:val="00BA6905"/>
    <w:rsid w:val="00BB035C"/>
    <w:rsid w:val="00BB1BB6"/>
    <w:rsid w:val="00BB370C"/>
    <w:rsid w:val="00BB692B"/>
    <w:rsid w:val="00BB6C63"/>
    <w:rsid w:val="00BC35C2"/>
    <w:rsid w:val="00BC6746"/>
    <w:rsid w:val="00BC6806"/>
    <w:rsid w:val="00BD2502"/>
    <w:rsid w:val="00BD573B"/>
    <w:rsid w:val="00BD57D3"/>
    <w:rsid w:val="00BD699F"/>
    <w:rsid w:val="00BD7342"/>
    <w:rsid w:val="00BE5A99"/>
    <w:rsid w:val="00BE5BB5"/>
    <w:rsid w:val="00BF09AB"/>
    <w:rsid w:val="00BF3908"/>
    <w:rsid w:val="00BF4889"/>
    <w:rsid w:val="00C00422"/>
    <w:rsid w:val="00C02410"/>
    <w:rsid w:val="00C03435"/>
    <w:rsid w:val="00C04E36"/>
    <w:rsid w:val="00C11B1A"/>
    <w:rsid w:val="00C12A71"/>
    <w:rsid w:val="00C14F5D"/>
    <w:rsid w:val="00C151F5"/>
    <w:rsid w:val="00C163EB"/>
    <w:rsid w:val="00C237A4"/>
    <w:rsid w:val="00C24F36"/>
    <w:rsid w:val="00C301B3"/>
    <w:rsid w:val="00C31AE5"/>
    <w:rsid w:val="00C3446C"/>
    <w:rsid w:val="00C34497"/>
    <w:rsid w:val="00C35925"/>
    <w:rsid w:val="00C37065"/>
    <w:rsid w:val="00C423CB"/>
    <w:rsid w:val="00C429C3"/>
    <w:rsid w:val="00C4397A"/>
    <w:rsid w:val="00C43F42"/>
    <w:rsid w:val="00C507D7"/>
    <w:rsid w:val="00C51449"/>
    <w:rsid w:val="00C53B65"/>
    <w:rsid w:val="00C55515"/>
    <w:rsid w:val="00C5672E"/>
    <w:rsid w:val="00C6084B"/>
    <w:rsid w:val="00C64F01"/>
    <w:rsid w:val="00C70E17"/>
    <w:rsid w:val="00C846C3"/>
    <w:rsid w:val="00C85609"/>
    <w:rsid w:val="00C876FB"/>
    <w:rsid w:val="00C91F94"/>
    <w:rsid w:val="00C951F0"/>
    <w:rsid w:val="00C951FA"/>
    <w:rsid w:val="00C95294"/>
    <w:rsid w:val="00C95E45"/>
    <w:rsid w:val="00CA1473"/>
    <w:rsid w:val="00CA27F6"/>
    <w:rsid w:val="00CA72C7"/>
    <w:rsid w:val="00CB5987"/>
    <w:rsid w:val="00CB6ED6"/>
    <w:rsid w:val="00CC0B02"/>
    <w:rsid w:val="00CC1364"/>
    <w:rsid w:val="00CC362B"/>
    <w:rsid w:val="00CD1CD6"/>
    <w:rsid w:val="00CD334F"/>
    <w:rsid w:val="00CD5837"/>
    <w:rsid w:val="00CD649F"/>
    <w:rsid w:val="00CE2A51"/>
    <w:rsid w:val="00CE5B05"/>
    <w:rsid w:val="00CE6556"/>
    <w:rsid w:val="00CF175F"/>
    <w:rsid w:val="00CF42FD"/>
    <w:rsid w:val="00CF4F50"/>
    <w:rsid w:val="00CF59DB"/>
    <w:rsid w:val="00D03902"/>
    <w:rsid w:val="00D04959"/>
    <w:rsid w:val="00D04B6D"/>
    <w:rsid w:val="00D06259"/>
    <w:rsid w:val="00D0650F"/>
    <w:rsid w:val="00D16710"/>
    <w:rsid w:val="00D224A7"/>
    <w:rsid w:val="00D22906"/>
    <w:rsid w:val="00D230F9"/>
    <w:rsid w:val="00D23C54"/>
    <w:rsid w:val="00D23C76"/>
    <w:rsid w:val="00D30565"/>
    <w:rsid w:val="00D31838"/>
    <w:rsid w:val="00D31842"/>
    <w:rsid w:val="00D349E2"/>
    <w:rsid w:val="00D34B45"/>
    <w:rsid w:val="00D376E9"/>
    <w:rsid w:val="00D439F9"/>
    <w:rsid w:val="00D43B9D"/>
    <w:rsid w:val="00D44F6D"/>
    <w:rsid w:val="00D5267B"/>
    <w:rsid w:val="00D539E9"/>
    <w:rsid w:val="00D54ED6"/>
    <w:rsid w:val="00D558CA"/>
    <w:rsid w:val="00D637FD"/>
    <w:rsid w:val="00D646D6"/>
    <w:rsid w:val="00D64B55"/>
    <w:rsid w:val="00D64D68"/>
    <w:rsid w:val="00D64F24"/>
    <w:rsid w:val="00D66B0D"/>
    <w:rsid w:val="00D679A5"/>
    <w:rsid w:val="00D67F05"/>
    <w:rsid w:val="00D70F9C"/>
    <w:rsid w:val="00D8124E"/>
    <w:rsid w:val="00D8425B"/>
    <w:rsid w:val="00D90727"/>
    <w:rsid w:val="00D91543"/>
    <w:rsid w:val="00D93C42"/>
    <w:rsid w:val="00D93E0B"/>
    <w:rsid w:val="00D9586E"/>
    <w:rsid w:val="00D95F29"/>
    <w:rsid w:val="00DA3558"/>
    <w:rsid w:val="00DB22DE"/>
    <w:rsid w:val="00DB4A61"/>
    <w:rsid w:val="00DB74AB"/>
    <w:rsid w:val="00DC3636"/>
    <w:rsid w:val="00DC6A8D"/>
    <w:rsid w:val="00DC6C16"/>
    <w:rsid w:val="00DD047F"/>
    <w:rsid w:val="00DD296A"/>
    <w:rsid w:val="00DD456F"/>
    <w:rsid w:val="00DD46DD"/>
    <w:rsid w:val="00DD7A2B"/>
    <w:rsid w:val="00DE0329"/>
    <w:rsid w:val="00DE1FE8"/>
    <w:rsid w:val="00DE6897"/>
    <w:rsid w:val="00DF07DD"/>
    <w:rsid w:val="00DF08B0"/>
    <w:rsid w:val="00DF3184"/>
    <w:rsid w:val="00DF682C"/>
    <w:rsid w:val="00DF759F"/>
    <w:rsid w:val="00E03062"/>
    <w:rsid w:val="00E038B0"/>
    <w:rsid w:val="00E05EBC"/>
    <w:rsid w:val="00E07FF2"/>
    <w:rsid w:val="00E12D75"/>
    <w:rsid w:val="00E165CA"/>
    <w:rsid w:val="00E1706A"/>
    <w:rsid w:val="00E34C95"/>
    <w:rsid w:val="00E35152"/>
    <w:rsid w:val="00E35214"/>
    <w:rsid w:val="00E36873"/>
    <w:rsid w:val="00E37503"/>
    <w:rsid w:val="00E446A4"/>
    <w:rsid w:val="00E4696D"/>
    <w:rsid w:val="00E52EC2"/>
    <w:rsid w:val="00E53759"/>
    <w:rsid w:val="00E638FE"/>
    <w:rsid w:val="00E64DC5"/>
    <w:rsid w:val="00E65818"/>
    <w:rsid w:val="00E66519"/>
    <w:rsid w:val="00E81C83"/>
    <w:rsid w:val="00E95DCC"/>
    <w:rsid w:val="00E96A15"/>
    <w:rsid w:val="00E976C6"/>
    <w:rsid w:val="00EA3EFC"/>
    <w:rsid w:val="00EA5A18"/>
    <w:rsid w:val="00EA6EFA"/>
    <w:rsid w:val="00EB3462"/>
    <w:rsid w:val="00EB4865"/>
    <w:rsid w:val="00EB7D95"/>
    <w:rsid w:val="00EC2C20"/>
    <w:rsid w:val="00EC455E"/>
    <w:rsid w:val="00ED55EA"/>
    <w:rsid w:val="00ED5C57"/>
    <w:rsid w:val="00EE0554"/>
    <w:rsid w:val="00EE55C8"/>
    <w:rsid w:val="00EE5BA0"/>
    <w:rsid w:val="00EF0E0A"/>
    <w:rsid w:val="00EF22B0"/>
    <w:rsid w:val="00EF25BC"/>
    <w:rsid w:val="00F01BC4"/>
    <w:rsid w:val="00F03697"/>
    <w:rsid w:val="00F0403D"/>
    <w:rsid w:val="00F07699"/>
    <w:rsid w:val="00F10748"/>
    <w:rsid w:val="00F108A0"/>
    <w:rsid w:val="00F134CF"/>
    <w:rsid w:val="00F1567D"/>
    <w:rsid w:val="00F20F11"/>
    <w:rsid w:val="00F23C21"/>
    <w:rsid w:val="00F25042"/>
    <w:rsid w:val="00F261CE"/>
    <w:rsid w:val="00F32C98"/>
    <w:rsid w:val="00F346EB"/>
    <w:rsid w:val="00F4199F"/>
    <w:rsid w:val="00F41B73"/>
    <w:rsid w:val="00F4210A"/>
    <w:rsid w:val="00F4431F"/>
    <w:rsid w:val="00F4675F"/>
    <w:rsid w:val="00F46783"/>
    <w:rsid w:val="00F47974"/>
    <w:rsid w:val="00F51051"/>
    <w:rsid w:val="00F51ECC"/>
    <w:rsid w:val="00F5219E"/>
    <w:rsid w:val="00F523B5"/>
    <w:rsid w:val="00F55912"/>
    <w:rsid w:val="00F560F8"/>
    <w:rsid w:val="00F563A6"/>
    <w:rsid w:val="00F57453"/>
    <w:rsid w:val="00F60892"/>
    <w:rsid w:val="00F61327"/>
    <w:rsid w:val="00F62F58"/>
    <w:rsid w:val="00F64C86"/>
    <w:rsid w:val="00F67E31"/>
    <w:rsid w:val="00F703EC"/>
    <w:rsid w:val="00F70759"/>
    <w:rsid w:val="00F74AB5"/>
    <w:rsid w:val="00F76096"/>
    <w:rsid w:val="00F82F67"/>
    <w:rsid w:val="00F85D04"/>
    <w:rsid w:val="00F8712C"/>
    <w:rsid w:val="00F900D6"/>
    <w:rsid w:val="00F914C5"/>
    <w:rsid w:val="00F93F2A"/>
    <w:rsid w:val="00F9508A"/>
    <w:rsid w:val="00FA0BC7"/>
    <w:rsid w:val="00FA52DA"/>
    <w:rsid w:val="00FB1017"/>
    <w:rsid w:val="00FB3AA7"/>
    <w:rsid w:val="00FC0913"/>
    <w:rsid w:val="00FC25BD"/>
    <w:rsid w:val="00FC3DF0"/>
    <w:rsid w:val="00FC4817"/>
    <w:rsid w:val="00FC6AD9"/>
    <w:rsid w:val="00FC6F38"/>
    <w:rsid w:val="00FD00AE"/>
    <w:rsid w:val="00FD0D46"/>
    <w:rsid w:val="00FD2042"/>
    <w:rsid w:val="00FD2449"/>
    <w:rsid w:val="00FD25B5"/>
    <w:rsid w:val="00FD4A74"/>
    <w:rsid w:val="00FD53EF"/>
    <w:rsid w:val="00FD702C"/>
    <w:rsid w:val="00FE14AB"/>
    <w:rsid w:val="00FE20F5"/>
    <w:rsid w:val="00FE2A38"/>
    <w:rsid w:val="00FE76C1"/>
    <w:rsid w:val="00FE7A2C"/>
    <w:rsid w:val="00FF65B1"/>
    <w:rsid w:val="00FF7B34"/>
    <w:rsid w:val="00FF7F7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C9DC"/>
  <w15:docId w15:val="{96636203-ABBF-4C47-BC64-DE89ABC9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6F1"/>
    <w:pPr>
      <w:spacing w:after="200" w:line="276" w:lineRule="auto"/>
    </w:pPr>
    <w:rPr>
      <w:sz w:val="22"/>
      <w:szCs w:val="22"/>
      <w:lang w:val="en-GB"/>
    </w:rPr>
  </w:style>
  <w:style w:type="paragraph" w:styleId="Heading1">
    <w:name w:val="heading 1"/>
    <w:basedOn w:val="Normal"/>
    <w:next w:val="Normal"/>
    <w:link w:val="Heading1Char"/>
    <w:uiPriority w:val="9"/>
    <w:qFormat/>
    <w:rsid w:val="00417B89"/>
    <w:pPr>
      <w:keepNext/>
      <w:keepLines/>
      <w:numPr>
        <w:numId w:val="2"/>
      </w:numPr>
      <w:spacing w:after="0" w:line="240" w:lineRule="auto"/>
      <w:ind w:hanging="720"/>
      <w:outlineLvl w:val="0"/>
    </w:pPr>
    <w:rPr>
      <w:rFonts w:ascii="Arial" w:eastAsiaTheme="majorEastAsia" w:hAnsi="Arial" w:cs="Arial"/>
      <w:b/>
      <w:bCs/>
      <w:caps/>
      <w:color w:val="4F81BD" w:themeColor="accent1"/>
      <w:sz w:val="40"/>
      <w:szCs w:val="40"/>
    </w:rPr>
  </w:style>
  <w:style w:type="paragraph" w:styleId="Heading2">
    <w:name w:val="heading 2"/>
    <w:basedOn w:val="Normal"/>
    <w:next w:val="Normal"/>
    <w:link w:val="Heading2Char"/>
    <w:uiPriority w:val="9"/>
    <w:unhideWhenUsed/>
    <w:qFormat/>
    <w:rsid w:val="00417B89"/>
    <w:pPr>
      <w:spacing w:after="0" w:line="240" w:lineRule="auto"/>
      <w:jc w:val="both"/>
      <w:outlineLvl w:val="1"/>
    </w:pPr>
    <w:rPr>
      <w:rFonts w:ascii="Arial" w:eastAsia="Times New Roman" w:hAnsi="Arial" w:cs="Arial"/>
      <w:b/>
      <w:snapToGrid w:val="0"/>
      <w:color w:val="0070C0"/>
      <w:sz w:val="24"/>
      <w:szCs w:val="24"/>
      <w:lang w:eastAsia="sv-SE"/>
    </w:rPr>
  </w:style>
  <w:style w:type="paragraph" w:styleId="Heading3">
    <w:name w:val="heading 3"/>
    <w:basedOn w:val="Normal"/>
    <w:next w:val="Normal"/>
    <w:link w:val="Heading3Char"/>
    <w:uiPriority w:val="9"/>
    <w:unhideWhenUsed/>
    <w:qFormat/>
    <w:rsid w:val="00417B89"/>
    <w:pPr>
      <w:spacing w:after="0" w:line="240" w:lineRule="auto"/>
      <w:jc w:val="both"/>
      <w:outlineLvl w:val="2"/>
    </w:pPr>
    <w:rPr>
      <w:rFonts w:ascii="Arial" w:eastAsia="Times New Roman" w:hAnsi="Arial" w:cs="Arial"/>
      <w:b/>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89"/>
    <w:rPr>
      <w:rFonts w:ascii="Arial" w:eastAsiaTheme="majorEastAsia" w:hAnsi="Arial" w:cs="Arial"/>
      <w:b/>
      <w:bCs/>
      <w:caps/>
      <w:color w:val="4F81BD" w:themeColor="accent1"/>
      <w:sz w:val="40"/>
      <w:szCs w:val="40"/>
      <w:lang w:val="en-GB"/>
    </w:rPr>
  </w:style>
  <w:style w:type="character" w:customStyle="1" w:styleId="Heading2Char">
    <w:name w:val="Heading 2 Char"/>
    <w:basedOn w:val="DefaultParagraphFont"/>
    <w:link w:val="Heading2"/>
    <w:uiPriority w:val="9"/>
    <w:rsid w:val="00417B89"/>
    <w:rPr>
      <w:rFonts w:ascii="Arial" w:eastAsia="Times New Roman" w:hAnsi="Arial" w:cs="Arial"/>
      <w:b/>
      <w:snapToGrid w:val="0"/>
      <w:color w:val="0070C0"/>
      <w:sz w:val="24"/>
      <w:szCs w:val="24"/>
      <w:lang w:val="en-GB" w:eastAsia="sv-SE"/>
    </w:rPr>
  </w:style>
  <w:style w:type="character" w:customStyle="1" w:styleId="Heading3Char">
    <w:name w:val="Heading 3 Char"/>
    <w:basedOn w:val="DefaultParagraphFont"/>
    <w:link w:val="Heading3"/>
    <w:uiPriority w:val="9"/>
    <w:rsid w:val="00417B89"/>
    <w:rPr>
      <w:rFonts w:ascii="Arial" w:eastAsia="Times New Roman" w:hAnsi="Arial" w:cs="Arial"/>
      <w:b/>
      <w:sz w:val="22"/>
      <w:szCs w:val="22"/>
      <w:lang w:eastAsia="sv-SE"/>
    </w:rPr>
  </w:style>
  <w:style w:type="paragraph" w:styleId="Header">
    <w:name w:val="header"/>
    <w:basedOn w:val="Normal"/>
    <w:link w:val="HeaderChar"/>
    <w:uiPriority w:val="99"/>
    <w:unhideWhenUsed/>
    <w:rsid w:val="00B866F1"/>
    <w:pPr>
      <w:tabs>
        <w:tab w:val="center" w:pos="4680"/>
        <w:tab w:val="right" w:pos="9360"/>
      </w:tabs>
    </w:pPr>
  </w:style>
  <w:style w:type="character" w:customStyle="1" w:styleId="HeaderChar">
    <w:name w:val="Header Char"/>
    <w:link w:val="Header"/>
    <w:uiPriority w:val="99"/>
    <w:rsid w:val="00B866F1"/>
    <w:rPr>
      <w:rFonts w:ascii="Calibri" w:eastAsia="Calibri" w:hAnsi="Calibri" w:cs="Times New Roman"/>
      <w:lang w:val="en-GB"/>
    </w:rPr>
  </w:style>
  <w:style w:type="character" w:styleId="Hyperlink">
    <w:name w:val="Hyperlink"/>
    <w:uiPriority w:val="99"/>
    <w:unhideWhenUsed/>
    <w:rsid w:val="00B866F1"/>
    <w:rPr>
      <w:color w:val="0000FF"/>
      <w:u w:val="single"/>
    </w:rPr>
  </w:style>
  <w:style w:type="paragraph" w:styleId="NormalWeb">
    <w:name w:val="Normal (Web)"/>
    <w:basedOn w:val="Normal"/>
    <w:uiPriority w:val="99"/>
    <w:unhideWhenUsed/>
    <w:rsid w:val="00B866F1"/>
    <w:pPr>
      <w:spacing w:before="100" w:beforeAutospacing="1" w:after="100" w:afterAutospacing="1" w:line="240" w:lineRule="auto"/>
    </w:pPr>
    <w:rPr>
      <w:rFonts w:ascii="Times New Roman" w:hAnsi="Times New Roman"/>
      <w:sz w:val="24"/>
      <w:szCs w:val="24"/>
      <w:lang w:val="en-US"/>
    </w:rPr>
  </w:style>
  <w:style w:type="paragraph" w:styleId="FootnoteText">
    <w:name w:val="footnote text"/>
    <w:aliases w:val="Footnote Text Char1,Footnote Text Char Char,Char,texto de nota al pie,Texto nota pie Car Car Car Car Car Car Car,Texto nota pie Car Car Car Car Car Car,Texto nota pie Car Car Car,Car Car Car Car Car,Car,Car Car Car,Car Car Car Car,ft,FA Fu"/>
    <w:basedOn w:val="Normal"/>
    <w:link w:val="FootnoteTextChar"/>
    <w:uiPriority w:val="99"/>
    <w:rsid w:val="00B866F1"/>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1 Char,Footnote Text Char Char Char,Char Char,texto de nota al pie Char,Texto nota pie Car Car Car Car Car Car Car Char,Texto nota pie Car Car Car Car Car Car Char,Texto nota pie Car Car Car Char,Car Char,ft Char"/>
    <w:link w:val="FootnoteText"/>
    <w:uiPriority w:val="99"/>
    <w:rsid w:val="00B866F1"/>
    <w:rPr>
      <w:rFonts w:ascii="Times New Roman" w:eastAsia="Times New Roman" w:hAnsi="Times New Roman" w:cs="Times New Roman"/>
      <w:sz w:val="20"/>
      <w:szCs w:val="20"/>
    </w:rPr>
  </w:style>
  <w:style w:type="character" w:styleId="FootnoteReference">
    <w:name w:val="footnote reference"/>
    <w:aliases w:val=" BVI fnr,BVI fnr, BVI fnr Car Car,BVI fnr Car, BVI fnr Car Car Car Car, BVI fnr Car Car Car Car Char,16 Point,Superscript 6 Point,ftref,BVI fnr Car Car,BVI fnr Car Car Car Car,Footnote text,Footnotes refss,Appel note de bas de p.,4_G"/>
    <w:link w:val="Char2"/>
    <w:uiPriority w:val="99"/>
    <w:rsid w:val="00B866F1"/>
    <w:rPr>
      <w:vertAlign w:val="superscript"/>
    </w:rPr>
  </w:style>
  <w:style w:type="paragraph" w:customStyle="1" w:styleId="Char2">
    <w:name w:val="Char2"/>
    <w:basedOn w:val="Normal"/>
    <w:link w:val="FootnoteReference"/>
    <w:uiPriority w:val="99"/>
    <w:rsid w:val="008128E4"/>
    <w:pPr>
      <w:spacing w:after="160" w:line="240" w:lineRule="exact"/>
    </w:pPr>
    <w:rPr>
      <w:vertAlign w:val="superscript"/>
      <w:lang w:val="en-US"/>
    </w:rPr>
  </w:style>
  <w:style w:type="paragraph" w:styleId="ListParagraph">
    <w:name w:val="List Paragraph"/>
    <w:aliases w:val="References,Paragraphe de liste1,Titre1,Premier,Evidence on Demand bullet points,Heading II,List bullet,List Paragraph1,Indent Paragraph,List Paragraph (numbered (a)),List Bullet Mary,Numbered List Paragraph,List Paragraph nowy,Bullets"/>
    <w:basedOn w:val="Normal"/>
    <w:link w:val="ListParagraphChar"/>
    <w:uiPriority w:val="34"/>
    <w:qFormat/>
    <w:rsid w:val="00B866F1"/>
    <w:pPr>
      <w:ind w:left="720"/>
      <w:contextualSpacing/>
    </w:pPr>
    <w:rPr>
      <w:sz w:val="20"/>
      <w:szCs w:val="20"/>
    </w:rPr>
  </w:style>
  <w:style w:type="character" w:customStyle="1" w:styleId="ListParagraphChar">
    <w:name w:val="List Paragraph Char"/>
    <w:aliases w:val="References Char,Paragraphe de liste1 Char,Titre1 Char,Premier Char,Evidence on Demand bullet points Char,Heading II Char,List bullet Char,List Paragraph1 Char,Indent Paragraph Char,List Paragraph (numbered (a)) Char,Bullets Char"/>
    <w:link w:val="ListParagraph"/>
    <w:uiPriority w:val="34"/>
    <w:qFormat/>
    <w:rsid w:val="002B1794"/>
    <w:rPr>
      <w:rFonts w:ascii="Calibri" w:eastAsia="Calibri" w:hAnsi="Calibri" w:cs="Times New Roman"/>
      <w:lang w:val="en-GB"/>
    </w:rPr>
  </w:style>
  <w:style w:type="paragraph" w:styleId="CommentText">
    <w:name w:val="annotation text"/>
    <w:basedOn w:val="Normal"/>
    <w:link w:val="CommentTextChar"/>
    <w:uiPriority w:val="99"/>
    <w:rsid w:val="001A3E9B"/>
    <w:pPr>
      <w:spacing w:line="240" w:lineRule="auto"/>
    </w:pPr>
    <w:rPr>
      <w:sz w:val="20"/>
      <w:szCs w:val="20"/>
    </w:rPr>
  </w:style>
  <w:style w:type="character" w:customStyle="1" w:styleId="CommentTextChar">
    <w:name w:val="Comment Text Char"/>
    <w:link w:val="CommentText"/>
    <w:uiPriority w:val="99"/>
    <w:rsid w:val="001A3E9B"/>
    <w:rPr>
      <w:rFonts w:ascii="Calibri" w:eastAsia="Calibri" w:hAnsi="Calibri" w:cs="Times New Roman"/>
      <w:sz w:val="20"/>
      <w:szCs w:val="20"/>
      <w:lang w:val="en-GB"/>
    </w:rPr>
  </w:style>
  <w:style w:type="character" w:styleId="CommentReference">
    <w:name w:val="annotation reference"/>
    <w:aliases w:val="AN"/>
    <w:uiPriority w:val="99"/>
    <w:rsid w:val="001A3E9B"/>
    <w:rPr>
      <w:sz w:val="16"/>
      <w:szCs w:val="16"/>
    </w:rPr>
  </w:style>
  <w:style w:type="paragraph" w:styleId="CommentSubject">
    <w:name w:val="annotation subject"/>
    <w:basedOn w:val="CommentText"/>
    <w:next w:val="CommentText"/>
    <w:link w:val="CommentSubjectChar"/>
    <w:uiPriority w:val="99"/>
    <w:semiHidden/>
    <w:unhideWhenUsed/>
    <w:rsid w:val="002E3831"/>
    <w:rPr>
      <w:b/>
      <w:bCs/>
    </w:rPr>
  </w:style>
  <w:style w:type="character" w:customStyle="1" w:styleId="CommentSubjectChar">
    <w:name w:val="Comment Subject Char"/>
    <w:link w:val="CommentSubject"/>
    <w:uiPriority w:val="99"/>
    <w:semiHidden/>
    <w:rsid w:val="002E383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2E38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3831"/>
    <w:rPr>
      <w:rFonts w:ascii="Tahoma" w:eastAsia="Calibri" w:hAnsi="Tahoma" w:cs="Tahoma"/>
      <w:sz w:val="16"/>
      <w:szCs w:val="16"/>
      <w:lang w:val="en-GB"/>
    </w:rPr>
  </w:style>
  <w:style w:type="paragraph" w:styleId="PlainText">
    <w:name w:val="Plain Text"/>
    <w:basedOn w:val="Normal"/>
    <w:link w:val="PlainTextChar"/>
    <w:uiPriority w:val="99"/>
    <w:semiHidden/>
    <w:rsid w:val="004E6173"/>
    <w:pPr>
      <w:spacing w:after="0" w:line="240" w:lineRule="auto"/>
    </w:pPr>
    <w:rPr>
      <w:szCs w:val="21"/>
    </w:rPr>
  </w:style>
  <w:style w:type="character" w:customStyle="1" w:styleId="PlainTextChar">
    <w:name w:val="Plain Text Char"/>
    <w:link w:val="PlainText"/>
    <w:uiPriority w:val="99"/>
    <w:semiHidden/>
    <w:rsid w:val="004E6173"/>
    <w:rPr>
      <w:rFonts w:ascii="Calibri" w:eastAsia="Calibri" w:hAnsi="Calibri" w:cs="Times New Roman"/>
      <w:szCs w:val="21"/>
      <w:lang w:val="en-GB"/>
    </w:rPr>
  </w:style>
  <w:style w:type="paragraph" w:styleId="BodyText">
    <w:name w:val="Body Text"/>
    <w:basedOn w:val="Normal"/>
    <w:link w:val="BodyTextChar"/>
    <w:rsid w:val="004C44A2"/>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rsid w:val="004C44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51D"/>
    <w:pPr>
      <w:tabs>
        <w:tab w:val="center" w:pos="4680"/>
        <w:tab w:val="right" w:pos="9360"/>
      </w:tabs>
      <w:spacing w:after="0" w:line="240" w:lineRule="auto"/>
    </w:pPr>
  </w:style>
  <w:style w:type="character" w:customStyle="1" w:styleId="FooterChar">
    <w:name w:val="Footer Char"/>
    <w:link w:val="Footer"/>
    <w:uiPriority w:val="99"/>
    <w:rsid w:val="008C751D"/>
    <w:rPr>
      <w:rFonts w:ascii="Calibri" w:eastAsia="Calibri" w:hAnsi="Calibri" w:cs="Times New Roman"/>
      <w:lang w:val="en-GB"/>
    </w:rPr>
  </w:style>
  <w:style w:type="paragraph" w:customStyle="1" w:styleId="Default">
    <w:name w:val="Default"/>
    <w:rsid w:val="00B21BEF"/>
    <w:pPr>
      <w:autoSpaceDE w:val="0"/>
      <w:autoSpaceDN w:val="0"/>
      <w:adjustRightInd w:val="0"/>
    </w:pPr>
    <w:rPr>
      <w:rFonts w:ascii="Plan" w:hAnsi="Plan" w:cs="Plan"/>
      <w:color w:val="000000"/>
      <w:sz w:val="24"/>
      <w:szCs w:val="24"/>
    </w:rPr>
  </w:style>
  <w:style w:type="paragraph" w:styleId="NoSpacing">
    <w:name w:val="No Spacing"/>
    <w:link w:val="NoSpacingChar"/>
    <w:uiPriority w:val="1"/>
    <w:qFormat/>
    <w:rsid w:val="00CF59DB"/>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F25042"/>
    <w:rPr>
      <w:rFonts w:ascii="Times New Roman" w:eastAsia="Times New Roman" w:hAnsi="Times New Roman"/>
      <w:sz w:val="24"/>
      <w:szCs w:val="24"/>
    </w:rPr>
  </w:style>
  <w:style w:type="character" w:styleId="Strong">
    <w:name w:val="Strong"/>
    <w:basedOn w:val="DefaultParagraphFont"/>
    <w:uiPriority w:val="22"/>
    <w:qFormat/>
    <w:rsid w:val="005E758F"/>
    <w:rPr>
      <w:b/>
      <w:bCs/>
    </w:rPr>
  </w:style>
  <w:style w:type="table" w:styleId="TableGrid">
    <w:name w:val="Table Grid"/>
    <w:basedOn w:val="TableNormal"/>
    <w:uiPriority w:val="59"/>
    <w:rsid w:val="00C31AE5"/>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226E"/>
    <w:rPr>
      <w:color w:val="800080" w:themeColor="followedHyperlink"/>
      <w:u w:val="single"/>
    </w:rPr>
  </w:style>
  <w:style w:type="paragraph" w:styleId="Revision">
    <w:name w:val="Revision"/>
    <w:hidden/>
    <w:uiPriority w:val="99"/>
    <w:semiHidden/>
    <w:rsid w:val="00F23C21"/>
    <w:rPr>
      <w:sz w:val="22"/>
      <w:szCs w:val="22"/>
      <w:lang w:val="en-GB"/>
    </w:rPr>
  </w:style>
  <w:style w:type="character" w:styleId="Emphasis">
    <w:name w:val="Emphasis"/>
    <w:qFormat/>
    <w:rsid w:val="0036029C"/>
    <w:rPr>
      <w:i/>
      <w:iCs/>
    </w:rPr>
  </w:style>
  <w:style w:type="paragraph" w:customStyle="1" w:styleId="StyleBulleted">
    <w:name w:val="Style Bulleted"/>
    <w:basedOn w:val="Normal"/>
    <w:rsid w:val="00417B89"/>
    <w:pPr>
      <w:numPr>
        <w:numId w:val="1"/>
      </w:numPr>
      <w:spacing w:before="120" w:after="0" w:line="240" w:lineRule="auto"/>
    </w:pPr>
    <w:rPr>
      <w:rFonts w:ascii="Times New Roman" w:eastAsia="Times New Roman" w:hAnsi="Times New Roman"/>
      <w:sz w:val="24"/>
      <w:szCs w:val="24"/>
      <w:lang w:eastAsia="sv-SE"/>
    </w:rPr>
  </w:style>
  <w:style w:type="table" w:customStyle="1" w:styleId="TableGrid1">
    <w:name w:val="Table Grid1"/>
    <w:basedOn w:val="TableNormal"/>
    <w:next w:val="TableGrid"/>
    <w:uiPriority w:val="59"/>
    <w:rsid w:val="00417B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1567D"/>
    <w:rPr>
      <w:i/>
      <w:iCs/>
      <w:color w:val="4F81BD" w:themeColor="accent1"/>
    </w:rPr>
  </w:style>
  <w:style w:type="character" w:customStyle="1" w:styleId="ilfuvd">
    <w:name w:val="ilfuvd"/>
    <w:basedOn w:val="DefaultParagraphFont"/>
    <w:rsid w:val="00D67F05"/>
  </w:style>
  <w:style w:type="character" w:customStyle="1" w:styleId="hgkelc">
    <w:name w:val="hgkelc"/>
    <w:basedOn w:val="DefaultParagraphFont"/>
    <w:rsid w:val="00ED5C57"/>
  </w:style>
  <w:style w:type="character" w:customStyle="1" w:styleId="UnresolvedMention1">
    <w:name w:val="Unresolved Mention1"/>
    <w:basedOn w:val="DefaultParagraphFont"/>
    <w:uiPriority w:val="99"/>
    <w:semiHidden/>
    <w:unhideWhenUsed/>
    <w:rsid w:val="00626829"/>
    <w:rPr>
      <w:color w:val="605E5C"/>
      <w:shd w:val="clear" w:color="auto" w:fill="E1DFDD"/>
    </w:rPr>
  </w:style>
  <w:style w:type="character" w:customStyle="1" w:styleId="Hyperlink1">
    <w:name w:val="Hyperlink1"/>
    <w:basedOn w:val="DefaultParagraphFont"/>
    <w:uiPriority w:val="99"/>
    <w:unhideWhenUsed/>
    <w:rsid w:val="00F25042"/>
    <w:rPr>
      <w:color w:val="004EB6"/>
      <w:u w:val="single"/>
    </w:r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uiPriority w:val="99"/>
    <w:rsid w:val="00F25042"/>
    <w:pPr>
      <w:spacing w:after="160" w:line="240" w:lineRule="exact"/>
    </w:pPr>
    <w:rPr>
      <w:rFonts w:asciiTheme="minorHAnsi" w:eastAsiaTheme="minorHAnsi" w:hAnsiTheme="minorHAnsi" w:cstheme="minorBidi"/>
      <w:vertAlign w:val="superscript"/>
      <w:lang w:val="fr-CA"/>
    </w:rPr>
  </w:style>
  <w:style w:type="paragraph" w:styleId="EndnoteText">
    <w:name w:val="endnote text"/>
    <w:basedOn w:val="Normal"/>
    <w:link w:val="EndnoteTextChar"/>
    <w:uiPriority w:val="99"/>
    <w:semiHidden/>
    <w:unhideWhenUsed/>
    <w:rsid w:val="00F25042"/>
    <w:pPr>
      <w:spacing w:after="0" w:line="240" w:lineRule="auto"/>
    </w:pPr>
    <w:rPr>
      <w:rFonts w:asciiTheme="minorHAnsi" w:eastAsiaTheme="minorHAnsi" w:hAnsiTheme="minorHAnsi" w:cstheme="minorBidi"/>
      <w:sz w:val="20"/>
      <w:szCs w:val="20"/>
      <w:lang w:val="fr-CA"/>
    </w:rPr>
  </w:style>
  <w:style w:type="character" w:customStyle="1" w:styleId="EndnoteTextChar">
    <w:name w:val="Endnote Text Char"/>
    <w:basedOn w:val="DefaultParagraphFont"/>
    <w:link w:val="EndnoteText"/>
    <w:uiPriority w:val="99"/>
    <w:semiHidden/>
    <w:rsid w:val="00F25042"/>
    <w:rPr>
      <w:rFonts w:asciiTheme="minorHAnsi" w:eastAsiaTheme="minorHAnsi" w:hAnsiTheme="minorHAnsi" w:cstheme="minorBidi"/>
      <w:lang w:val="fr-CA"/>
    </w:rPr>
  </w:style>
  <w:style w:type="character" w:styleId="EndnoteReference">
    <w:name w:val="endnote reference"/>
    <w:basedOn w:val="DefaultParagraphFont"/>
    <w:uiPriority w:val="99"/>
    <w:semiHidden/>
    <w:unhideWhenUsed/>
    <w:rsid w:val="00F25042"/>
    <w:rPr>
      <w:vertAlign w:val="superscript"/>
    </w:rPr>
  </w:style>
  <w:style w:type="table" w:customStyle="1" w:styleId="ListTable3-Accent111">
    <w:name w:val="List Table 3 - Accent 111"/>
    <w:basedOn w:val="TableNormal"/>
    <w:next w:val="ListTable3-Accent1"/>
    <w:uiPriority w:val="48"/>
    <w:rsid w:val="00F25042"/>
    <w:pPr>
      <w:jc w:val="both"/>
    </w:pPr>
    <w:rPr>
      <w:rFonts w:asciiTheme="minorHAnsi" w:hAnsiTheme="minorHAnsi" w:cstheme="minorBidi"/>
      <w:sz w:val="22"/>
      <w:szCs w:val="22"/>
      <w:lang w:val="en-GB"/>
    </w:rPr>
    <w:tblPr>
      <w:tblStyleRowBandSize w:val="1"/>
      <w:tblStyleColBandSize w:val="1"/>
      <w:tblBorders>
        <w:top w:val="single" w:sz="4" w:space="0" w:color="004EB6"/>
        <w:left w:val="single" w:sz="4" w:space="0" w:color="004EB6"/>
        <w:bottom w:val="single" w:sz="4" w:space="0" w:color="004EB6"/>
        <w:right w:val="single" w:sz="4" w:space="0" w:color="004EB6"/>
      </w:tblBorders>
    </w:tblPr>
    <w:tblStylePr w:type="firstRow">
      <w:rPr>
        <w:b/>
        <w:bCs/>
        <w:color w:val="FFFFFF"/>
      </w:rPr>
      <w:tblPr/>
      <w:tcPr>
        <w:shd w:val="clear" w:color="auto" w:fill="004EB6"/>
      </w:tcPr>
    </w:tblStylePr>
    <w:tblStylePr w:type="lastRow">
      <w:rPr>
        <w:b/>
        <w:bCs/>
      </w:rPr>
      <w:tblPr/>
      <w:tcPr>
        <w:tcBorders>
          <w:top w:val="double" w:sz="4" w:space="0" w:color="004EB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4EB6"/>
          <w:right w:val="single" w:sz="4" w:space="0" w:color="004EB6"/>
        </w:tcBorders>
      </w:tcPr>
    </w:tblStylePr>
    <w:tblStylePr w:type="band1Horz">
      <w:tblPr/>
      <w:tcPr>
        <w:tcBorders>
          <w:top w:val="single" w:sz="4" w:space="0" w:color="004EB6"/>
          <w:bottom w:val="single" w:sz="4" w:space="0" w:color="004EB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B6"/>
          <w:left w:val="nil"/>
        </w:tcBorders>
      </w:tcPr>
    </w:tblStylePr>
    <w:tblStylePr w:type="swCell">
      <w:tblPr/>
      <w:tcPr>
        <w:tcBorders>
          <w:top w:val="double" w:sz="4" w:space="0" w:color="004EB6"/>
          <w:right w:val="nil"/>
        </w:tcBorders>
      </w:tcPr>
    </w:tblStylePr>
  </w:style>
  <w:style w:type="table" w:styleId="ListTable3-Accent1">
    <w:name w:val="List Table 3 Accent 1"/>
    <w:basedOn w:val="TableNormal"/>
    <w:uiPriority w:val="48"/>
    <w:rsid w:val="00F25042"/>
    <w:rPr>
      <w:rFonts w:asciiTheme="minorHAnsi" w:eastAsiaTheme="minorHAnsi" w:hAnsiTheme="minorHAnsi" w:cstheme="minorBidi"/>
      <w:sz w:val="22"/>
      <w:szCs w:val="22"/>
      <w:lang w:val="fr-C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ghtList-Accent1111">
    <w:name w:val="Light List - Accent 1111"/>
    <w:basedOn w:val="TableNormal"/>
    <w:next w:val="LightList-Accent1"/>
    <w:uiPriority w:val="61"/>
    <w:rsid w:val="00F25042"/>
    <w:pPr>
      <w:jc w:val="both"/>
    </w:pPr>
    <w:rPr>
      <w:rFonts w:asciiTheme="minorHAnsi" w:hAnsiTheme="minorHAnsi" w:cstheme="minorBidi"/>
      <w:sz w:val="22"/>
      <w:szCs w:val="22"/>
    </w:rPr>
    <w:tblPr>
      <w:tblStyleRowBandSize w:val="1"/>
      <w:tblStyleColBandSize w:val="1"/>
      <w:tblBorders>
        <w:top w:val="single" w:sz="8" w:space="0" w:color="0072CE"/>
        <w:left w:val="single" w:sz="8" w:space="0" w:color="0072CE"/>
        <w:bottom w:val="single" w:sz="8" w:space="0" w:color="0072CE"/>
        <w:right w:val="single" w:sz="8" w:space="0" w:color="0072CE"/>
      </w:tblBorders>
    </w:tblPr>
    <w:tblStylePr w:type="firstRow">
      <w:pPr>
        <w:spacing w:beforeLines="0" w:before="0" w:beforeAutospacing="0" w:afterLines="0" w:after="0" w:afterAutospacing="0" w:line="240" w:lineRule="auto"/>
      </w:pPr>
      <w:rPr>
        <w:b/>
        <w:bCs/>
        <w:color w:val="FFFFFF"/>
      </w:rPr>
      <w:tblPr/>
      <w:tcPr>
        <w:shd w:val="clear" w:color="auto" w:fill="0072CE"/>
      </w:tcPr>
    </w:tblStylePr>
    <w:tblStylePr w:type="lastRow">
      <w:pPr>
        <w:spacing w:beforeLines="0" w:before="0" w:beforeAutospacing="0" w:afterLines="0" w:after="0" w:afterAutospacing="0" w:line="240" w:lineRule="auto"/>
      </w:pPr>
      <w:rPr>
        <w:b/>
        <w:bCs/>
      </w:rPr>
      <w:tblPr/>
      <w:tcPr>
        <w:tcBorders>
          <w:top w:val="double" w:sz="6" w:space="0" w:color="0072CE"/>
          <w:left w:val="single" w:sz="8" w:space="0" w:color="0072CE"/>
          <w:bottom w:val="single" w:sz="8" w:space="0" w:color="0072CE"/>
          <w:right w:val="single" w:sz="8" w:space="0" w:color="0072CE"/>
        </w:tcBorders>
      </w:tcPr>
    </w:tblStylePr>
    <w:tblStylePr w:type="firstCol">
      <w:rPr>
        <w:b/>
        <w:bCs/>
      </w:rPr>
    </w:tblStylePr>
    <w:tblStylePr w:type="lastCol">
      <w:rPr>
        <w:b/>
        <w:bCs/>
      </w:rPr>
    </w:tblStylePr>
    <w:tblStylePr w:type="band1Vert">
      <w:tblPr/>
      <w:tcPr>
        <w:tcBorders>
          <w:top w:val="single" w:sz="8" w:space="0" w:color="0072CE"/>
          <w:left w:val="single" w:sz="8" w:space="0" w:color="0072CE"/>
          <w:bottom w:val="single" w:sz="8" w:space="0" w:color="0072CE"/>
          <w:right w:val="single" w:sz="8" w:space="0" w:color="0072CE"/>
        </w:tcBorders>
      </w:tcPr>
    </w:tblStylePr>
    <w:tblStylePr w:type="band1Horz">
      <w:tblPr/>
      <w:tcPr>
        <w:tcBorders>
          <w:top w:val="single" w:sz="8" w:space="0" w:color="0072CE"/>
          <w:left w:val="single" w:sz="8" w:space="0" w:color="0072CE"/>
          <w:bottom w:val="single" w:sz="8" w:space="0" w:color="0072CE"/>
          <w:right w:val="single" w:sz="8" w:space="0" w:color="0072CE"/>
        </w:tcBorders>
      </w:tcPr>
    </w:tblStylePr>
  </w:style>
  <w:style w:type="table" w:styleId="LightList-Accent1">
    <w:name w:val="Light List Accent 1"/>
    <w:basedOn w:val="TableNormal"/>
    <w:uiPriority w:val="61"/>
    <w:semiHidden/>
    <w:unhideWhenUsed/>
    <w:rsid w:val="00F25042"/>
    <w:rPr>
      <w:rFonts w:asciiTheme="minorHAnsi" w:eastAsiaTheme="minorHAnsi" w:hAnsiTheme="minorHAnsi" w:cstheme="minorBidi"/>
      <w:sz w:val="22"/>
      <w:szCs w:val="22"/>
      <w:lang w:val="fr-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8F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9831">
      <w:bodyDiv w:val="1"/>
      <w:marLeft w:val="0"/>
      <w:marRight w:val="0"/>
      <w:marTop w:val="0"/>
      <w:marBottom w:val="0"/>
      <w:divBdr>
        <w:top w:val="none" w:sz="0" w:space="0" w:color="auto"/>
        <w:left w:val="none" w:sz="0" w:space="0" w:color="auto"/>
        <w:bottom w:val="none" w:sz="0" w:space="0" w:color="auto"/>
        <w:right w:val="none" w:sz="0" w:space="0" w:color="auto"/>
      </w:divBdr>
    </w:div>
    <w:div w:id="459960910">
      <w:bodyDiv w:val="1"/>
      <w:marLeft w:val="0"/>
      <w:marRight w:val="0"/>
      <w:marTop w:val="0"/>
      <w:marBottom w:val="0"/>
      <w:divBdr>
        <w:top w:val="none" w:sz="0" w:space="0" w:color="auto"/>
        <w:left w:val="none" w:sz="0" w:space="0" w:color="auto"/>
        <w:bottom w:val="none" w:sz="0" w:space="0" w:color="auto"/>
        <w:right w:val="none" w:sz="0" w:space="0" w:color="auto"/>
      </w:divBdr>
    </w:div>
    <w:div w:id="730468741">
      <w:bodyDiv w:val="1"/>
      <w:marLeft w:val="0"/>
      <w:marRight w:val="0"/>
      <w:marTop w:val="0"/>
      <w:marBottom w:val="0"/>
      <w:divBdr>
        <w:top w:val="none" w:sz="0" w:space="0" w:color="auto"/>
        <w:left w:val="none" w:sz="0" w:space="0" w:color="auto"/>
        <w:bottom w:val="none" w:sz="0" w:space="0" w:color="auto"/>
        <w:right w:val="none" w:sz="0" w:space="0" w:color="auto"/>
      </w:divBdr>
    </w:div>
    <w:div w:id="1047532237">
      <w:bodyDiv w:val="1"/>
      <w:marLeft w:val="0"/>
      <w:marRight w:val="0"/>
      <w:marTop w:val="0"/>
      <w:marBottom w:val="0"/>
      <w:divBdr>
        <w:top w:val="none" w:sz="0" w:space="0" w:color="auto"/>
        <w:left w:val="none" w:sz="0" w:space="0" w:color="auto"/>
        <w:bottom w:val="none" w:sz="0" w:space="0" w:color="auto"/>
        <w:right w:val="none" w:sz="0" w:space="0" w:color="auto"/>
      </w:divBdr>
    </w:div>
    <w:div w:id="1086072680">
      <w:bodyDiv w:val="1"/>
      <w:marLeft w:val="0"/>
      <w:marRight w:val="0"/>
      <w:marTop w:val="0"/>
      <w:marBottom w:val="0"/>
      <w:divBdr>
        <w:top w:val="none" w:sz="0" w:space="0" w:color="auto"/>
        <w:left w:val="none" w:sz="0" w:space="0" w:color="auto"/>
        <w:bottom w:val="none" w:sz="0" w:space="0" w:color="auto"/>
        <w:right w:val="none" w:sz="0" w:space="0" w:color="auto"/>
      </w:divBdr>
    </w:div>
    <w:div w:id="1147475922">
      <w:bodyDiv w:val="1"/>
      <w:marLeft w:val="0"/>
      <w:marRight w:val="0"/>
      <w:marTop w:val="0"/>
      <w:marBottom w:val="0"/>
      <w:divBdr>
        <w:top w:val="none" w:sz="0" w:space="0" w:color="auto"/>
        <w:left w:val="none" w:sz="0" w:space="0" w:color="auto"/>
        <w:bottom w:val="none" w:sz="0" w:space="0" w:color="auto"/>
        <w:right w:val="none" w:sz="0" w:space="0" w:color="auto"/>
      </w:divBdr>
    </w:div>
    <w:div w:id="1606183957">
      <w:bodyDiv w:val="1"/>
      <w:marLeft w:val="0"/>
      <w:marRight w:val="0"/>
      <w:marTop w:val="0"/>
      <w:marBottom w:val="0"/>
      <w:divBdr>
        <w:top w:val="none" w:sz="0" w:space="0" w:color="auto"/>
        <w:left w:val="none" w:sz="0" w:space="0" w:color="auto"/>
        <w:bottom w:val="none" w:sz="0" w:space="0" w:color="auto"/>
        <w:right w:val="none" w:sz="0" w:space="0" w:color="auto"/>
      </w:divBdr>
    </w:div>
    <w:div w:id="1619986441">
      <w:bodyDiv w:val="1"/>
      <w:marLeft w:val="0"/>
      <w:marRight w:val="0"/>
      <w:marTop w:val="0"/>
      <w:marBottom w:val="0"/>
      <w:divBdr>
        <w:top w:val="none" w:sz="0" w:space="0" w:color="auto"/>
        <w:left w:val="none" w:sz="0" w:space="0" w:color="auto"/>
        <w:bottom w:val="none" w:sz="0" w:space="0" w:color="auto"/>
        <w:right w:val="none" w:sz="0" w:space="0" w:color="auto"/>
      </w:divBdr>
    </w:div>
    <w:div w:id="1700543703">
      <w:bodyDiv w:val="1"/>
      <w:marLeft w:val="0"/>
      <w:marRight w:val="0"/>
      <w:marTop w:val="0"/>
      <w:marBottom w:val="0"/>
      <w:divBdr>
        <w:top w:val="none" w:sz="0" w:space="0" w:color="auto"/>
        <w:left w:val="none" w:sz="0" w:space="0" w:color="auto"/>
        <w:bottom w:val="none" w:sz="0" w:space="0" w:color="auto"/>
        <w:right w:val="none" w:sz="0" w:space="0" w:color="auto"/>
      </w:divBdr>
    </w:div>
    <w:div w:id="1756318042">
      <w:bodyDiv w:val="1"/>
      <w:marLeft w:val="0"/>
      <w:marRight w:val="0"/>
      <w:marTop w:val="0"/>
      <w:marBottom w:val="0"/>
      <w:divBdr>
        <w:top w:val="none" w:sz="0" w:space="0" w:color="auto"/>
        <w:left w:val="none" w:sz="0" w:space="0" w:color="auto"/>
        <w:bottom w:val="none" w:sz="0" w:space="0" w:color="auto"/>
        <w:right w:val="none" w:sz="0" w:space="0" w:color="auto"/>
      </w:divBdr>
    </w:div>
    <w:div w:id="1821118092">
      <w:bodyDiv w:val="1"/>
      <w:marLeft w:val="0"/>
      <w:marRight w:val="0"/>
      <w:marTop w:val="0"/>
      <w:marBottom w:val="0"/>
      <w:divBdr>
        <w:top w:val="none" w:sz="0" w:space="0" w:color="auto"/>
        <w:left w:val="none" w:sz="0" w:space="0" w:color="auto"/>
        <w:bottom w:val="none" w:sz="0" w:space="0" w:color="auto"/>
        <w:right w:val="none" w:sz="0" w:space="0" w:color="auto"/>
      </w:divBdr>
    </w:div>
    <w:div w:id="1844707432">
      <w:bodyDiv w:val="1"/>
      <w:marLeft w:val="0"/>
      <w:marRight w:val="0"/>
      <w:marTop w:val="0"/>
      <w:marBottom w:val="0"/>
      <w:divBdr>
        <w:top w:val="none" w:sz="0" w:space="0" w:color="auto"/>
        <w:left w:val="none" w:sz="0" w:space="0" w:color="auto"/>
        <w:bottom w:val="none" w:sz="0" w:space="0" w:color="auto"/>
        <w:right w:val="none" w:sz="0" w:space="0" w:color="auto"/>
      </w:divBdr>
    </w:div>
    <w:div w:id="1904287723">
      <w:bodyDiv w:val="1"/>
      <w:marLeft w:val="0"/>
      <w:marRight w:val="0"/>
      <w:marTop w:val="0"/>
      <w:marBottom w:val="0"/>
      <w:divBdr>
        <w:top w:val="none" w:sz="0" w:space="0" w:color="auto"/>
        <w:left w:val="none" w:sz="0" w:space="0" w:color="auto"/>
        <w:bottom w:val="none" w:sz="0" w:space="0" w:color="auto"/>
        <w:right w:val="none" w:sz="0" w:space="0" w:color="auto"/>
      </w:divBdr>
    </w:div>
    <w:div w:id="2089185453">
      <w:bodyDiv w:val="1"/>
      <w:marLeft w:val="0"/>
      <w:marRight w:val="0"/>
      <w:marTop w:val="0"/>
      <w:marBottom w:val="0"/>
      <w:divBdr>
        <w:top w:val="none" w:sz="0" w:space="0" w:color="auto"/>
        <w:left w:val="none" w:sz="0" w:space="0" w:color="auto"/>
        <w:bottom w:val="none" w:sz="0" w:space="0" w:color="auto"/>
        <w:right w:val="none" w:sz="0" w:space="0" w:color="auto"/>
      </w:divBdr>
    </w:div>
    <w:div w:id="2113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ethic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banbeis.gov.bd/images/ban0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banbeis.gov.bd/images/ban03.pdf" TargetMode="External"/><Relationship Id="rId5" Type="http://schemas.openxmlformats.org/officeDocument/2006/relationships/numbering" Target="numbering.xml"/><Relationship Id="rId15" Type="http://schemas.openxmlformats.org/officeDocument/2006/relationships/hyperlink" Target="mailto:enamul.haque@plan-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bd.consultant.hiring@plan-internation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ata.banbeis.gov.bd/images/ban05.pdf" TargetMode="External"/><Relationship Id="rId1" Type="http://schemas.openxmlformats.org/officeDocument/2006/relationships/hyperlink" Target="http://data.banbeis.gov.bd/images/ban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3A813C41C93B4E8903AFFDFA880448" ma:contentTypeVersion="14" ma:contentTypeDescription="Create a new document." ma:contentTypeScope="" ma:versionID="b34257b75dc5239cad73b49b344ecece">
  <xsd:schema xmlns:xsd="http://www.w3.org/2001/XMLSchema" xmlns:xs="http://www.w3.org/2001/XMLSchema" xmlns:p="http://schemas.microsoft.com/office/2006/metadata/properties" xmlns:ns3="645413ab-78af-47b8-9964-8a10a3fd1ad8" xmlns:ns4="3cad1030-cc85-45cf-8161-680d175158c1" targetNamespace="http://schemas.microsoft.com/office/2006/metadata/properties" ma:root="true" ma:fieldsID="f896cc7e2ca66f7e1e2ce098b7f02d19" ns3:_="" ns4:_="">
    <xsd:import namespace="645413ab-78af-47b8-9964-8a10a3fd1ad8"/>
    <xsd:import namespace="3cad1030-cc85-45cf-8161-680d175158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413ab-78af-47b8-9964-8a10a3fd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d1030-cc85-45cf-8161-680d17515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F688-8FEA-461F-855D-9D65CA2757B2}">
  <ds:schemaRefs>
    <ds:schemaRef ds:uri="http://schemas.microsoft.com/sharepoint/v3/contenttype/forms"/>
  </ds:schemaRefs>
</ds:datastoreItem>
</file>

<file path=customXml/itemProps2.xml><?xml version="1.0" encoding="utf-8"?>
<ds:datastoreItem xmlns:ds="http://schemas.openxmlformats.org/officeDocument/2006/customXml" ds:itemID="{24CF1286-E1BB-4DC6-A290-CDFC89227FB4}">
  <ds:schemaRefs>
    <ds:schemaRef ds:uri="http://schemas.microsoft.com/office/2006/metadata/properties"/>
  </ds:schemaRefs>
</ds:datastoreItem>
</file>

<file path=customXml/itemProps3.xml><?xml version="1.0" encoding="utf-8"?>
<ds:datastoreItem xmlns:ds="http://schemas.openxmlformats.org/officeDocument/2006/customXml" ds:itemID="{39F90C06-A649-48B2-A706-2537A0FE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413ab-78af-47b8-9964-8a10a3fd1ad8"/>
    <ds:schemaRef ds:uri="3cad1030-cc85-45cf-8161-680d17515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61D2C-19CA-4506-9F32-9BADFFD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5630</Words>
  <Characters>32094</Characters>
  <Application>Microsoft Office Word</Application>
  <DocSecurity>0</DocSecurity>
  <Lines>267</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 for hiring consultant to conduct</vt:lpstr>
      <vt:lpstr>Terms of Reference for hiring consultant to conduct</vt:lpstr>
    </vt:vector>
  </TitlesOfParts>
  <Company>HP</Company>
  <LinksUpToDate>false</LinksUpToDate>
  <CharactersWithSpaces>37649</CharactersWithSpaces>
  <SharedDoc>false</SharedDoc>
  <HLinks>
    <vt:vector size="12" baseType="variant">
      <vt:variant>
        <vt:i4>2949228</vt:i4>
      </vt:variant>
      <vt:variant>
        <vt:i4>3</vt:i4>
      </vt:variant>
      <vt:variant>
        <vt:i4>0</vt:i4>
      </vt:variant>
      <vt:variant>
        <vt:i4>5</vt:i4>
      </vt:variant>
      <vt:variant>
        <vt:lpwstr>http://www.worldbank.org/en/country/bangladesh/overview</vt:lpwstr>
      </vt:variant>
      <vt:variant>
        <vt:lpwstr/>
      </vt:variant>
      <vt:variant>
        <vt:i4>2949228</vt:i4>
      </vt:variant>
      <vt:variant>
        <vt:i4>0</vt:i4>
      </vt:variant>
      <vt:variant>
        <vt:i4>0</vt:i4>
      </vt:variant>
      <vt:variant>
        <vt:i4>5</vt:i4>
      </vt:variant>
      <vt:variant>
        <vt:lpwstr>http://www.worldbank.org/en/country/bangladesh/overview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hiring consultant to conduct</dc:title>
  <dc:creator>Md. Abdullah Al Mamun</dc:creator>
  <cp:lastModifiedBy>Enamul Haque</cp:lastModifiedBy>
  <cp:revision>7</cp:revision>
  <cp:lastPrinted>2021-06-24T02:35:00Z</cp:lastPrinted>
  <dcterms:created xsi:type="dcterms:W3CDTF">2021-11-16T02:07:00Z</dcterms:created>
  <dcterms:modified xsi:type="dcterms:W3CDTF">2021-11-16T06:05:00Z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0x010100783A813C41C93B4E8903AFFDFA880448</vt:lpwstr>
  </property>
  <property fmtid="{D5CDD505-2E9C-101B-9397-08002B2CF9AE}" pid="3" name="_dlc_DocIdItemGuid">
    <vt:lpwstr>6e927525-7dba-4e66-9ff3-1a003e475526</vt:lpwstr>
  </property>
  <property fmtid="{D5CDD505-2E9C-101B-9397-08002B2CF9AE}" pid="4" name="Language of TOR">
    <vt:lpwstr>2;#English|02932eec-25cc-405e-88cf-2fbee19c1cd7</vt:lpwstr>
  </property>
  <property fmtid="{D5CDD505-2E9C-101B-9397-08002B2CF9AE}" pid="5" name="Office Location">
    <vt:lpwstr>67;#Bangladesh CO|4ef39c68-588e-45fc-8c49-619cb76dd45b</vt:lpwstr>
  </property>
  <property fmtid="{D5CDD505-2E9C-101B-9397-08002B2CF9AE}" pid="6" name="PlanTeamSiteKeywords">
    <vt:lpwstr>25;#Programmes|1cb0778b-c3ea-48dc-9e5b-5f650a4db571</vt:lpwstr>
  </property>
  <property fmtid="{D5CDD505-2E9C-101B-9397-08002B2CF9AE}" pid="7" name="_dlc_DocId">
    <vt:lpwstr>RKMT-51-58</vt:lpwstr>
  </property>
  <property fmtid="{D5CDD505-2E9C-101B-9397-08002B2CF9AE}" pid="8" name="_dlc_DocIdUrl">
    <vt:lpwstr>https://planetteams.planapps.org/pc/TEAM024/ResearchTOR/_layouts/15/DocIdRedir.aspx?ID=RKMT-51-58, RKMT-51-58</vt:lpwstr>
  </property>
</Properties>
</file>