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010" w:rsidRDefault="00EB2010" w:rsidP="00EB2010">
      <w:pPr>
        <w:jc w:val="center"/>
        <w:rPr>
          <w:b/>
          <w:u w:val="single"/>
        </w:rPr>
      </w:pPr>
      <w:r w:rsidRPr="005611A6">
        <w:rPr>
          <w:b/>
          <w:u w:val="single"/>
        </w:rPr>
        <w:t>Annex A: Agreed Price Offer</w:t>
      </w:r>
    </w:p>
    <w:p w:rsidR="00EB2010" w:rsidRDefault="00EB2010" w:rsidP="00EB2010">
      <w:pPr>
        <w:rPr>
          <w:b/>
          <w:u w:val="single"/>
        </w:rPr>
      </w:pPr>
      <w:r>
        <w:rPr>
          <w:b/>
          <w:u w:val="single"/>
        </w:rPr>
        <w:t>Name of Firm/Organization:</w:t>
      </w:r>
    </w:p>
    <w:p w:rsidR="00EB2010" w:rsidRDefault="00EB2010" w:rsidP="00EB2010">
      <w:pPr>
        <w:jc w:val="center"/>
        <w:rPr>
          <w:b/>
          <w:u w:val="single"/>
        </w:rPr>
      </w:pPr>
    </w:p>
    <w:p w:rsidR="00EB2010" w:rsidRDefault="00EB2010" w:rsidP="00EB2010">
      <w:pPr>
        <w:jc w:val="center"/>
        <w:rPr>
          <w:b/>
          <w:u w:val="single"/>
        </w:rPr>
      </w:pPr>
    </w:p>
    <w:p w:rsidR="00EB2010" w:rsidRDefault="00EB2010" w:rsidP="00EB2010">
      <w:pPr>
        <w:jc w:val="center"/>
        <w:rPr>
          <w:b/>
          <w:u w:val="single"/>
        </w:rPr>
      </w:pPr>
      <w:r>
        <w:rPr>
          <w:b/>
          <w:u w:val="single"/>
        </w:rPr>
        <w:t>Appendix: Price Proposal</w:t>
      </w:r>
    </w:p>
    <w:p w:rsidR="00EB2010" w:rsidRDefault="00EB2010" w:rsidP="00EB2010">
      <w:pPr>
        <w:jc w:val="both"/>
      </w:pPr>
      <w:r w:rsidRPr="0018743F">
        <w:t xml:space="preserve">The price is asked for </w:t>
      </w:r>
      <w:r>
        <w:t xml:space="preserve">a </w:t>
      </w:r>
      <w:r w:rsidRPr="0018743F">
        <w:t>single unit, where after the signing of the framework agreement</w:t>
      </w:r>
      <w:r>
        <w:t>,</w:t>
      </w:r>
      <w:r w:rsidRPr="0018743F">
        <w:t xml:space="preserve"> Plan International Bangladesh will issue </w:t>
      </w:r>
      <w:r>
        <w:t xml:space="preserve">a </w:t>
      </w:r>
      <w:r w:rsidRPr="0018743F">
        <w:t xml:space="preserve">purchase order for different </w:t>
      </w:r>
      <w:r>
        <w:t>quantities</w:t>
      </w:r>
      <w:r w:rsidRPr="0018743F">
        <w:t xml:space="preserve"> as per need basis</w:t>
      </w:r>
      <w:r>
        <w:t>,</w:t>
      </w:r>
      <w:r w:rsidRPr="0018743F">
        <w:t xml:space="preserve"> following the unit price agreed with </w:t>
      </w:r>
      <w:r>
        <w:t xml:space="preserve">the </w:t>
      </w:r>
      <w:r w:rsidRPr="0018743F">
        <w:t>selected supplier/ service provider.</w:t>
      </w:r>
    </w:p>
    <w:tbl>
      <w:tblPr>
        <w:tblStyle w:val="TableGrid"/>
        <w:tblW w:w="9810" w:type="dxa"/>
        <w:tblInd w:w="-95" w:type="dxa"/>
        <w:tblLook w:val="04A0" w:firstRow="1" w:lastRow="0" w:firstColumn="1" w:lastColumn="0" w:noHBand="0" w:noVBand="1"/>
      </w:tblPr>
      <w:tblGrid>
        <w:gridCol w:w="424"/>
        <w:gridCol w:w="4918"/>
        <w:gridCol w:w="1023"/>
        <w:gridCol w:w="1522"/>
        <w:gridCol w:w="1923"/>
      </w:tblGrid>
      <w:tr w:rsidR="00EB2010" w:rsidTr="00D71453">
        <w:trPr>
          <w:trHeight w:hRule="exact" w:val="514"/>
        </w:trPr>
        <w:tc>
          <w:tcPr>
            <w:tcW w:w="424" w:type="dxa"/>
            <w:vMerge w:val="restart"/>
          </w:tcPr>
          <w:p w:rsidR="00EB2010" w:rsidRDefault="00EB2010" w:rsidP="00D71453">
            <w:pPr>
              <w:jc w:val="center"/>
            </w:pPr>
            <w:r>
              <w:t>Sl.</w:t>
            </w:r>
          </w:p>
        </w:tc>
        <w:tc>
          <w:tcPr>
            <w:tcW w:w="4918" w:type="dxa"/>
            <w:vMerge w:val="restart"/>
          </w:tcPr>
          <w:p w:rsidR="00EB2010" w:rsidRDefault="00EB2010" w:rsidP="00D71453">
            <w:pPr>
              <w:jc w:val="center"/>
            </w:pPr>
            <w:r w:rsidRPr="0018743F">
              <w:rPr>
                <w:b/>
              </w:rPr>
              <w:t>Fund Utilized</w:t>
            </w:r>
            <w:r>
              <w:rPr>
                <w:b/>
              </w:rPr>
              <w:t>/Expenditures</w:t>
            </w:r>
          </w:p>
        </w:tc>
        <w:tc>
          <w:tcPr>
            <w:tcW w:w="1023" w:type="dxa"/>
            <w:vMerge w:val="restart"/>
          </w:tcPr>
          <w:p w:rsidR="00EB2010" w:rsidRDefault="00EB2010" w:rsidP="00D71453">
            <w:pPr>
              <w:jc w:val="center"/>
            </w:pPr>
            <w:r w:rsidRPr="0018743F">
              <w:rPr>
                <w:b/>
              </w:rPr>
              <w:t>Quantity</w:t>
            </w:r>
          </w:p>
        </w:tc>
        <w:tc>
          <w:tcPr>
            <w:tcW w:w="3445" w:type="dxa"/>
            <w:gridSpan w:val="2"/>
          </w:tcPr>
          <w:p w:rsidR="00EB2010" w:rsidRPr="00474FEA" w:rsidRDefault="00EB2010" w:rsidP="00D71453">
            <w:pPr>
              <w:jc w:val="center"/>
              <w:rPr>
                <w:b/>
              </w:rPr>
            </w:pPr>
            <w:r>
              <w:rPr>
                <w:b/>
              </w:rPr>
              <w:t>Overall audit fees (BDT)</w:t>
            </w:r>
          </w:p>
        </w:tc>
      </w:tr>
      <w:tr w:rsidR="00EB2010" w:rsidTr="00D71453">
        <w:trPr>
          <w:trHeight w:hRule="exact" w:val="1594"/>
        </w:trPr>
        <w:tc>
          <w:tcPr>
            <w:tcW w:w="424" w:type="dxa"/>
            <w:vMerge/>
          </w:tcPr>
          <w:p w:rsidR="00EB2010" w:rsidRDefault="00EB2010" w:rsidP="00D71453">
            <w:pPr>
              <w:jc w:val="both"/>
            </w:pPr>
          </w:p>
        </w:tc>
        <w:tc>
          <w:tcPr>
            <w:tcW w:w="4918" w:type="dxa"/>
            <w:vMerge/>
          </w:tcPr>
          <w:p w:rsidR="00EB2010" w:rsidRPr="0018743F" w:rsidRDefault="00EB2010" w:rsidP="00D71453">
            <w:pPr>
              <w:jc w:val="both"/>
              <w:rPr>
                <w:b/>
              </w:rPr>
            </w:pPr>
          </w:p>
        </w:tc>
        <w:tc>
          <w:tcPr>
            <w:tcW w:w="1023" w:type="dxa"/>
            <w:vMerge/>
          </w:tcPr>
          <w:p w:rsidR="00EB2010" w:rsidRPr="0018743F" w:rsidRDefault="00EB2010" w:rsidP="00D71453">
            <w:pPr>
              <w:jc w:val="both"/>
              <w:rPr>
                <w:b/>
              </w:rPr>
            </w:pPr>
          </w:p>
        </w:tc>
        <w:tc>
          <w:tcPr>
            <w:tcW w:w="1522" w:type="dxa"/>
          </w:tcPr>
          <w:p w:rsidR="00EB2010" w:rsidRPr="00474FEA" w:rsidRDefault="00EB2010" w:rsidP="00D71453">
            <w:pPr>
              <w:jc w:val="center"/>
              <w:rPr>
                <w:b/>
              </w:rPr>
            </w:pPr>
            <w:r w:rsidRPr="00474FEA">
              <w:rPr>
                <w:b/>
              </w:rPr>
              <w:t xml:space="preserve">External Audit </w:t>
            </w:r>
            <w:r>
              <w:rPr>
                <w:b/>
              </w:rPr>
              <w:t>(with FD-4) for NGOAB</w:t>
            </w:r>
          </w:p>
        </w:tc>
        <w:tc>
          <w:tcPr>
            <w:tcW w:w="1923" w:type="dxa"/>
          </w:tcPr>
          <w:p w:rsidR="00EB2010" w:rsidRPr="00474FEA" w:rsidRDefault="00EB2010" w:rsidP="00D71453">
            <w:pPr>
              <w:jc w:val="center"/>
              <w:rPr>
                <w:b/>
              </w:rPr>
            </w:pPr>
            <w:r w:rsidRPr="00474FEA">
              <w:rPr>
                <w:b/>
              </w:rPr>
              <w:t xml:space="preserve">External Audit </w:t>
            </w:r>
            <w:r>
              <w:rPr>
                <w:b/>
              </w:rPr>
              <w:t>(without FD-4) for an audit based on a specific requirement</w:t>
            </w:r>
          </w:p>
        </w:tc>
      </w:tr>
      <w:tr w:rsidR="00EB2010" w:rsidTr="00D71453">
        <w:trPr>
          <w:trHeight w:val="261"/>
        </w:trPr>
        <w:tc>
          <w:tcPr>
            <w:tcW w:w="424" w:type="dxa"/>
          </w:tcPr>
          <w:p w:rsidR="00EB2010" w:rsidRDefault="00EB2010" w:rsidP="00D71453">
            <w:pPr>
              <w:jc w:val="both"/>
            </w:pPr>
            <w:r>
              <w:t>1.</w:t>
            </w:r>
          </w:p>
        </w:tc>
        <w:tc>
          <w:tcPr>
            <w:tcW w:w="4918" w:type="dxa"/>
          </w:tcPr>
          <w:p w:rsidR="00EB2010" w:rsidRDefault="00EB2010" w:rsidP="00D71453">
            <w:pPr>
              <w:jc w:val="both"/>
            </w:pPr>
            <w:r>
              <w:t>Amount not exceeding Tk. 50 lac</w:t>
            </w:r>
          </w:p>
        </w:tc>
        <w:tc>
          <w:tcPr>
            <w:tcW w:w="1023" w:type="dxa"/>
          </w:tcPr>
          <w:p w:rsidR="00EB2010" w:rsidRDefault="00EB2010" w:rsidP="00D71453">
            <w:pPr>
              <w:jc w:val="both"/>
            </w:pPr>
            <w:r>
              <w:t xml:space="preserve">   1 Job</w:t>
            </w:r>
          </w:p>
        </w:tc>
        <w:tc>
          <w:tcPr>
            <w:tcW w:w="1522" w:type="dxa"/>
          </w:tcPr>
          <w:p w:rsidR="00EB2010" w:rsidRDefault="00EB2010" w:rsidP="00D71453">
            <w:pPr>
              <w:jc w:val="both"/>
            </w:pPr>
          </w:p>
        </w:tc>
        <w:tc>
          <w:tcPr>
            <w:tcW w:w="1923" w:type="dxa"/>
          </w:tcPr>
          <w:p w:rsidR="00EB2010" w:rsidRDefault="00EB2010" w:rsidP="00D71453">
            <w:pPr>
              <w:jc w:val="both"/>
            </w:pPr>
          </w:p>
        </w:tc>
      </w:tr>
      <w:tr w:rsidR="00EB2010" w:rsidTr="00D71453">
        <w:trPr>
          <w:trHeight w:val="277"/>
        </w:trPr>
        <w:tc>
          <w:tcPr>
            <w:tcW w:w="424" w:type="dxa"/>
          </w:tcPr>
          <w:p w:rsidR="00EB2010" w:rsidRDefault="00EB2010" w:rsidP="00D71453">
            <w:pPr>
              <w:jc w:val="both"/>
            </w:pPr>
            <w:r>
              <w:t>2.</w:t>
            </w:r>
          </w:p>
        </w:tc>
        <w:tc>
          <w:tcPr>
            <w:tcW w:w="4918" w:type="dxa"/>
          </w:tcPr>
          <w:p w:rsidR="00EB2010" w:rsidRDefault="00EB2010" w:rsidP="00D71453">
            <w:pPr>
              <w:jc w:val="both"/>
            </w:pPr>
            <w:r>
              <w:t>Amount exceeding Tk. 50 lac but not exceeding Tk. 1 crore</w:t>
            </w:r>
          </w:p>
        </w:tc>
        <w:tc>
          <w:tcPr>
            <w:tcW w:w="1023" w:type="dxa"/>
          </w:tcPr>
          <w:p w:rsidR="00EB2010" w:rsidRDefault="00EB2010" w:rsidP="00D71453">
            <w:pPr>
              <w:jc w:val="both"/>
            </w:pPr>
            <w:r>
              <w:t xml:space="preserve">   1 Job</w:t>
            </w:r>
          </w:p>
        </w:tc>
        <w:tc>
          <w:tcPr>
            <w:tcW w:w="1522" w:type="dxa"/>
          </w:tcPr>
          <w:p w:rsidR="00EB2010" w:rsidRDefault="00EB2010" w:rsidP="00D71453">
            <w:pPr>
              <w:jc w:val="both"/>
            </w:pPr>
          </w:p>
        </w:tc>
        <w:tc>
          <w:tcPr>
            <w:tcW w:w="1923" w:type="dxa"/>
          </w:tcPr>
          <w:p w:rsidR="00EB2010" w:rsidRDefault="00EB2010" w:rsidP="00D71453">
            <w:pPr>
              <w:jc w:val="both"/>
            </w:pPr>
          </w:p>
        </w:tc>
      </w:tr>
      <w:tr w:rsidR="00EB2010" w:rsidTr="00D71453">
        <w:trPr>
          <w:trHeight w:val="261"/>
        </w:trPr>
        <w:tc>
          <w:tcPr>
            <w:tcW w:w="424" w:type="dxa"/>
          </w:tcPr>
          <w:p w:rsidR="00EB2010" w:rsidRDefault="00EB2010" w:rsidP="00D71453">
            <w:pPr>
              <w:jc w:val="both"/>
            </w:pPr>
            <w:r>
              <w:t>3.</w:t>
            </w:r>
          </w:p>
        </w:tc>
        <w:tc>
          <w:tcPr>
            <w:tcW w:w="4918" w:type="dxa"/>
          </w:tcPr>
          <w:p w:rsidR="00EB2010" w:rsidRDefault="00EB2010" w:rsidP="00D71453">
            <w:pPr>
              <w:jc w:val="both"/>
            </w:pPr>
            <w:r>
              <w:t>Amount exceeding Tk. 1 crore but not exceeding Tk. 2.5 crore</w:t>
            </w:r>
          </w:p>
        </w:tc>
        <w:tc>
          <w:tcPr>
            <w:tcW w:w="1023" w:type="dxa"/>
          </w:tcPr>
          <w:p w:rsidR="00EB2010" w:rsidRDefault="00EB2010" w:rsidP="00D71453">
            <w:pPr>
              <w:jc w:val="both"/>
            </w:pPr>
            <w:r>
              <w:t xml:space="preserve">   1 Job</w:t>
            </w:r>
          </w:p>
        </w:tc>
        <w:tc>
          <w:tcPr>
            <w:tcW w:w="1522" w:type="dxa"/>
          </w:tcPr>
          <w:p w:rsidR="00EB2010" w:rsidRDefault="00EB2010" w:rsidP="00D71453">
            <w:pPr>
              <w:jc w:val="both"/>
            </w:pPr>
          </w:p>
        </w:tc>
        <w:tc>
          <w:tcPr>
            <w:tcW w:w="1923" w:type="dxa"/>
          </w:tcPr>
          <w:p w:rsidR="00EB2010" w:rsidRDefault="00EB2010" w:rsidP="00D71453">
            <w:pPr>
              <w:jc w:val="both"/>
            </w:pPr>
          </w:p>
        </w:tc>
      </w:tr>
      <w:tr w:rsidR="00EB2010" w:rsidTr="00D71453">
        <w:trPr>
          <w:trHeight w:val="277"/>
        </w:trPr>
        <w:tc>
          <w:tcPr>
            <w:tcW w:w="424" w:type="dxa"/>
          </w:tcPr>
          <w:p w:rsidR="00EB2010" w:rsidRDefault="00EB2010" w:rsidP="00D71453">
            <w:pPr>
              <w:jc w:val="both"/>
            </w:pPr>
            <w:r>
              <w:t>4.</w:t>
            </w:r>
          </w:p>
        </w:tc>
        <w:tc>
          <w:tcPr>
            <w:tcW w:w="4918" w:type="dxa"/>
          </w:tcPr>
          <w:p w:rsidR="00EB2010" w:rsidRDefault="00EB2010" w:rsidP="00D71453">
            <w:pPr>
              <w:jc w:val="both"/>
            </w:pPr>
            <w:r>
              <w:t>Amount exceeding Tk. 2.5 crore but not exceeding Tk. 5 crore</w:t>
            </w:r>
          </w:p>
        </w:tc>
        <w:tc>
          <w:tcPr>
            <w:tcW w:w="1023" w:type="dxa"/>
          </w:tcPr>
          <w:p w:rsidR="00EB2010" w:rsidRDefault="00EB2010" w:rsidP="00D71453">
            <w:pPr>
              <w:jc w:val="both"/>
            </w:pPr>
            <w:r>
              <w:t xml:space="preserve">   1 Job</w:t>
            </w:r>
          </w:p>
        </w:tc>
        <w:tc>
          <w:tcPr>
            <w:tcW w:w="1522" w:type="dxa"/>
          </w:tcPr>
          <w:p w:rsidR="00EB2010" w:rsidRDefault="00EB2010" w:rsidP="00D71453">
            <w:pPr>
              <w:jc w:val="both"/>
            </w:pPr>
          </w:p>
        </w:tc>
        <w:tc>
          <w:tcPr>
            <w:tcW w:w="1923" w:type="dxa"/>
          </w:tcPr>
          <w:p w:rsidR="00EB2010" w:rsidRDefault="00EB2010" w:rsidP="00D71453">
            <w:pPr>
              <w:jc w:val="both"/>
            </w:pPr>
          </w:p>
        </w:tc>
      </w:tr>
      <w:tr w:rsidR="00EB2010" w:rsidTr="00D71453">
        <w:trPr>
          <w:trHeight w:val="277"/>
        </w:trPr>
        <w:tc>
          <w:tcPr>
            <w:tcW w:w="424" w:type="dxa"/>
          </w:tcPr>
          <w:p w:rsidR="00EB2010" w:rsidRDefault="00EB2010" w:rsidP="00D71453">
            <w:pPr>
              <w:jc w:val="both"/>
            </w:pPr>
            <w:r>
              <w:t>5.</w:t>
            </w:r>
          </w:p>
        </w:tc>
        <w:tc>
          <w:tcPr>
            <w:tcW w:w="4918" w:type="dxa"/>
          </w:tcPr>
          <w:p w:rsidR="00EB2010" w:rsidRDefault="00EB2010" w:rsidP="00D71453">
            <w:pPr>
              <w:jc w:val="both"/>
            </w:pPr>
            <w:r>
              <w:t>Amount exceeding Tk. 5 crore but not exceeding Tk. 10 crore</w:t>
            </w:r>
          </w:p>
        </w:tc>
        <w:tc>
          <w:tcPr>
            <w:tcW w:w="1023" w:type="dxa"/>
          </w:tcPr>
          <w:p w:rsidR="00EB2010" w:rsidRDefault="00EB2010" w:rsidP="00D71453">
            <w:r w:rsidRPr="00DB2B45">
              <w:t xml:space="preserve">   1 Job</w:t>
            </w:r>
          </w:p>
        </w:tc>
        <w:tc>
          <w:tcPr>
            <w:tcW w:w="1522" w:type="dxa"/>
          </w:tcPr>
          <w:p w:rsidR="00EB2010" w:rsidRDefault="00EB2010" w:rsidP="00D71453">
            <w:pPr>
              <w:jc w:val="both"/>
            </w:pPr>
          </w:p>
        </w:tc>
        <w:tc>
          <w:tcPr>
            <w:tcW w:w="1923" w:type="dxa"/>
          </w:tcPr>
          <w:p w:rsidR="00EB2010" w:rsidRDefault="00EB2010" w:rsidP="00D71453">
            <w:pPr>
              <w:jc w:val="both"/>
            </w:pPr>
          </w:p>
        </w:tc>
      </w:tr>
      <w:tr w:rsidR="00EB2010" w:rsidTr="00D71453">
        <w:trPr>
          <w:trHeight w:val="261"/>
        </w:trPr>
        <w:tc>
          <w:tcPr>
            <w:tcW w:w="424" w:type="dxa"/>
          </w:tcPr>
          <w:p w:rsidR="00EB2010" w:rsidRDefault="00EB2010" w:rsidP="00D71453">
            <w:pPr>
              <w:jc w:val="both"/>
            </w:pPr>
            <w:r>
              <w:t>6.</w:t>
            </w:r>
          </w:p>
        </w:tc>
        <w:tc>
          <w:tcPr>
            <w:tcW w:w="4918" w:type="dxa"/>
          </w:tcPr>
          <w:p w:rsidR="00EB2010" w:rsidRDefault="00EB2010" w:rsidP="00D71453">
            <w:pPr>
              <w:jc w:val="both"/>
            </w:pPr>
            <w:r>
              <w:t>Amount exceeding Tk. 10 crore but not exceeding Tk. 25 crore</w:t>
            </w:r>
          </w:p>
        </w:tc>
        <w:tc>
          <w:tcPr>
            <w:tcW w:w="1023" w:type="dxa"/>
          </w:tcPr>
          <w:p w:rsidR="00EB2010" w:rsidRDefault="00EB2010" w:rsidP="00D71453">
            <w:r w:rsidRPr="00DB2B45">
              <w:t xml:space="preserve">   1 Job</w:t>
            </w:r>
          </w:p>
        </w:tc>
        <w:tc>
          <w:tcPr>
            <w:tcW w:w="1522" w:type="dxa"/>
          </w:tcPr>
          <w:p w:rsidR="00EB2010" w:rsidRDefault="00EB2010" w:rsidP="00D71453">
            <w:pPr>
              <w:jc w:val="both"/>
            </w:pPr>
          </w:p>
        </w:tc>
        <w:tc>
          <w:tcPr>
            <w:tcW w:w="1923" w:type="dxa"/>
          </w:tcPr>
          <w:p w:rsidR="00EB2010" w:rsidRDefault="00EB2010" w:rsidP="00D71453">
            <w:pPr>
              <w:jc w:val="both"/>
            </w:pPr>
          </w:p>
        </w:tc>
      </w:tr>
      <w:tr w:rsidR="00EB2010" w:rsidTr="00D71453">
        <w:trPr>
          <w:trHeight w:val="261"/>
        </w:trPr>
        <w:tc>
          <w:tcPr>
            <w:tcW w:w="424" w:type="dxa"/>
          </w:tcPr>
          <w:p w:rsidR="00EB2010" w:rsidRDefault="00EB2010" w:rsidP="00D71453">
            <w:pPr>
              <w:jc w:val="both"/>
            </w:pPr>
            <w:r>
              <w:t>7.</w:t>
            </w:r>
          </w:p>
        </w:tc>
        <w:tc>
          <w:tcPr>
            <w:tcW w:w="4918" w:type="dxa"/>
          </w:tcPr>
          <w:p w:rsidR="00EB2010" w:rsidRDefault="00EB2010" w:rsidP="00D71453">
            <w:pPr>
              <w:jc w:val="both"/>
            </w:pPr>
            <w:r>
              <w:t>Amount exceeding Tk. 25 crore but not exceeding Tk. 50 crore</w:t>
            </w:r>
          </w:p>
        </w:tc>
        <w:tc>
          <w:tcPr>
            <w:tcW w:w="1023" w:type="dxa"/>
          </w:tcPr>
          <w:p w:rsidR="00EB2010" w:rsidRPr="00DB2B45" w:rsidRDefault="00EB2010" w:rsidP="00D71453">
            <w:pPr>
              <w:jc w:val="center"/>
            </w:pPr>
            <w:r w:rsidRPr="009928F3">
              <w:t>1 Job</w:t>
            </w:r>
          </w:p>
        </w:tc>
        <w:tc>
          <w:tcPr>
            <w:tcW w:w="1522" w:type="dxa"/>
          </w:tcPr>
          <w:p w:rsidR="00EB2010" w:rsidRDefault="00EB2010" w:rsidP="00D71453">
            <w:pPr>
              <w:jc w:val="both"/>
            </w:pPr>
          </w:p>
        </w:tc>
        <w:tc>
          <w:tcPr>
            <w:tcW w:w="1923" w:type="dxa"/>
          </w:tcPr>
          <w:p w:rsidR="00EB2010" w:rsidRDefault="00EB2010" w:rsidP="00D71453">
            <w:pPr>
              <w:jc w:val="both"/>
            </w:pPr>
          </w:p>
        </w:tc>
      </w:tr>
      <w:tr w:rsidR="00EB2010" w:rsidTr="00D71453">
        <w:trPr>
          <w:trHeight w:val="261"/>
        </w:trPr>
        <w:tc>
          <w:tcPr>
            <w:tcW w:w="424" w:type="dxa"/>
          </w:tcPr>
          <w:p w:rsidR="00EB2010" w:rsidRDefault="00EB2010" w:rsidP="00D71453">
            <w:pPr>
              <w:jc w:val="both"/>
            </w:pPr>
            <w:r>
              <w:t>8.</w:t>
            </w:r>
          </w:p>
        </w:tc>
        <w:tc>
          <w:tcPr>
            <w:tcW w:w="4918" w:type="dxa"/>
          </w:tcPr>
          <w:p w:rsidR="00EB2010" w:rsidRDefault="00EB2010" w:rsidP="00D71453">
            <w:pPr>
              <w:jc w:val="both"/>
            </w:pPr>
            <w:r w:rsidRPr="00E925C5">
              <w:t>Amount exceeding Tk. 50 Crore but not exceeding Tk. 100 Crore</w:t>
            </w:r>
          </w:p>
        </w:tc>
        <w:tc>
          <w:tcPr>
            <w:tcW w:w="1023" w:type="dxa"/>
          </w:tcPr>
          <w:p w:rsidR="00EB2010" w:rsidRPr="00DB2B45" w:rsidRDefault="00EB2010" w:rsidP="00D71453">
            <w:pPr>
              <w:jc w:val="center"/>
            </w:pPr>
            <w:r w:rsidRPr="009928F3">
              <w:t>1 Job</w:t>
            </w:r>
          </w:p>
        </w:tc>
        <w:tc>
          <w:tcPr>
            <w:tcW w:w="1522" w:type="dxa"/>
          </w:tcPr>
          <w:p w:rsidR="00EB2010" w:rsidRDefault="00EB2010" w:rsidP="00D71453">
            <w:pPr>
              <w:jc w:val="both"/>
            </w:pPr>
          </w:p>
        </w:tc>
        <w:tc>
          <w:tcPr>
            <w:tcW w:w="1923" w:type="dxa"/>
          </w:tcPr>
          <w:p w:rsidR="00EB2010" w:rsidRDefault="00EB2010" w:rsidP="00D71453">
            <w:pPr>
              <w:jc w:val="both"/>
            </w:pPr>
          </w:p>
        </w:tc>
      </w:tr>
      <w:tr w:rsidR="00EB2010" w:rsidTr="00D71453">
        <w:trPr>
          <w:trHeight w:val="261"/>
        </w:trPr>
        <w:tc>
          <w:tcPr>
            <w:tcW w:w="424" w:type="dxa"/>
          </w:tcPr>
          <w:p w:rsidR="00EB2010" w:rsidRDefault="00EB2010" w:rsidP="00D71453">
            <w:pPr>
              <w:jc w:val="both"/>
            </w:pPr>
            <w:r>
              <w:t>9.</w:t>
            </w:r>
          </w:p>
        </w:tc>
        <w:tc>
          <w:tcPr>
            <w:tcW w:w="4918" w:type="dxa"/>
          </w:tcPr>
          <w:p w:rsidR="00EB2010" w:rsidRDefault="00EB2010" w:rsidP="00D71453">
            <w:pPr>
              <w:jc w:val="both"/>
            </w:pPr>
            <w:r w:rsidRPr="00884AE3">
              <w:t>Amount exceeding Tk. 100 Crore</w:t>
            </w:r>
            <w:r>
              <w:t xml:space="preserve"> </w:t>
            </w:r>
            <w:r w:rsidRPr="00884AE3">
              <w:t xml:space="preserve">but not exceeding Tk. </w:t>
            </w:r>
            <w:r>
              <w:t>2</w:t>
            </w:r>
            <w:r w:rsidRPr="00884AE3">
              <w:t>00 Crore</w:t>
            </w:r>
            <w:r>
              <w:t xml:space="preserve"> </w:t>
            </w:r>
            <w:r w:rsidRPr="00884AE3">
              <w:t xml:space="preserve">  </w:t>
            </w:r>
          </w:p>
        </w:tc>
        <w:tc>
          <w:tcPr>
            <w:tcW w:w="1023" w:type="dxa"/>
          </w:tcPr>
          <w:p w:rsidR="00EB2010" w:rsidRPr="00DB2B45" w:rsidRDefault="00EB2010" w:rsidP="00D71453">
            <w:pPr>
              <w:jc w:val="center"/>
            </w:pPr>
            <w:r w:rsidRPr="009928F3">
              <w:t>1 Job</w:t>
            </w:r>
          </w:p>
        </w:tc>
        <w:tc>
          <w:tcPr>
            <w:tcW w:w="1522" w:type="dxa"/>
          </w:tcPr>
          <w:p w:rsidR="00EB2010" w:rsidRDefault="00EB2010" w:rsidP="00D71453">
            <w:pPr>
              <w:jc w:val="both"/>
            </w:pPr>
          </w:p>
        </w:tc>
        <w:tc>
          <w:tcPr>
            <w:tcW w:w="1923" w:type="dxa"/>
          </w:tcPr>
          <w:p w:rsidR="00EB2010" w:rsidRDefault="00EB2010" w:rsidP="00D71453">
            <w:pPr>
              <w:jc w:val="both"/>
            </w:pPr>
          </w:p>
        </w:tc>
      </w:tr>
    </w:tbl>
    <w:p w:rsidR="00EB2010" w:rsidRDefault="00EB2010" w:rsidP="00EB2010"/>
    <w:p w:rsidR="00EB2010" w:rsidRPr="00726EF1" w:rsidRDefault="00EB2010" w:rsidP="00EB2010">
      <w:r>
        <w:rPr>
          <w:b/>
          <w:u w:val="single"/>
        </w:rPr>
        <w:t>Note:</w:t>
      </w:r>
    </w:p>
    <w:p w:rsidR="00EB2010" w:rsidRDefault="00EB2010" w:rsidP="00EB2010">
      <w:pPr>
        <w:pStyle w:val="ListParagraph"/>
        <w:numPr>
          <w:ilvl w:val="0"/>
          <w:numId w:val="1"/>
        </w:numPr>
        <w:suppressAutoHyphens w:val="0"/>
        <w:autoSpaceDN/>
        <w:spacing w:line="259" w:lineRule="auto"/>
        <w:textAlignment w:val="auto"/>
      </w:pPr>
      <w:r w:rsidRPr="00474FEA">
        <w:t>The</w:t>
      </w:r>
      <w:r>
        <w:t xml:space="preserve"> offer price should be inclusive of VAT and Tax. Plan International will deduct VAT and Tax as at source as per local legislation of country.</w:t>
      </w:r>
    </w:p>
    <w:p w:rsidR="00EB2010" w:rsidRDefault="00EB2010" w:rsidP="00EB2010">
      <w:pPr>
        <w:pStyle w:val="ListParagraph"/>
        <w:numPr>
          <w:ilvl w:val="0"/>
          <w:numId w:val="1"/>
        </w:numPr>
        <w:suppressAutoHyphens w:val="0"/>
        <w:autoSpaceDN/>
        <w:spacing w:line="259" w:lineRule="auto"/>
        <w:textAlignment w:val="auto"/>
      </w:pPr>
      <w:r>
        <w:t xml:space="preserve">Price should be comprised of Accommodation, Food, Transportation and other associated cost. All prices should be quoted in BDT currency. </w:t>
      </w:r>
    </w:p>
    <w:p w:rsidR="00EB2010" w:rsidRPr="00ED3311" w:rsidRDefault="00EB2010" w:rsidP="00EB2010">
      <w:pPr>
        <w:pStyle w:val="ListParagraph"/>
        <w:numPr>
          <w:ilvl w:val="0"/>
          <w:numId w:val="1"/>
        </w:numPr>
        <w:suppressAutoHyphens w:val="0"/>
        <w:autoSpaceDN/>
        <w:spacing w:line="259" w:lineRule="auto"/>
        <w:textAlignment w:val="auto"/>
        <w:rPr>
          <w:rFonts w:asciiTheme="minorHAnsi" w:eastAsia="Arial" w:hAnsiTheme="minorHAnsi" w:cstheme="minorHAnsi"/>
          <w:sz w:val="24"/>
          <w:szCs w:val="24"/>
          <w:lang w:eastAsia="en-GB"/>
        </w:rPr>
      </w:pPr>
      <w:r>
        <w:t>Payment method will normally would be bank transfer within 30 days of service payable in Bangladeshi Taka (BDT). Proper invoice and receipt shall be issued and signed duly by the supplier/ service provider.</w:t>
      </w:r>
    </w:p>
    <w:p w:rsidR="00D05A54" w:rsidRDefault="00D05A54">
      <w:bookmarkStart w:id="0" w:name="_GoBack"/>
      <w:bookmarkEnd w:id="0"/>
    </w:p>
    <w:sectPr w:rsidR="00D05A54" w:rsidSect="007500F1">
      <w:pgSz w:w="11906" w:h="16838" w:code="9"/>
      <w:pgMar w:top="1440"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91939"/>
    <w:multiLevelType w:val="hybridMultilevel"/>
    <w:tmpl w:val="A6741E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10"/>
    <w:rsid w:val="0055686D"/>
    <w:rsid w:val="00A84140"/>
    <w:rsid w:val="00D05A54"/>
    <w:rsid w:val="00EB2010"/>
    <w:rsid w:val="00FA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BF582-1CE5-4771-A1E5-3FCE62E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B2010"/>
    <w:pPr>
      <w:suppressAutoHyphens/>
      <w:autoSpaceDN w:val="0"/>
      <w:spacing w:line="249"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10"/>
    <w:pPr>
      <w:ind w:left="720"/>
      <w:contextualSpacing/>
    </w:pPr>
  </w:style>
  <w:style w:type="table" w:styleId="TableGrid">
    <w:name w:val="Table Grid"/>
    <w:basedOn w:val="TableNormal"/>
    <w:uiPriority w:val="39"/>
    <w:rsid w:val="00EB2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1431</Characters>
  <Application>Microsoft Office Word</Application>
  <DocSecurity>0</DocSecurity>
  <Lines>34</Lines>
  <Paragraphs>18</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Dipangkar Chakma</dc:creator>
  <cp:keywords/>
  <dc:description/>
  <cp:lastModifiedBy>Dipangkar Chakma</cp:lastModifiedBy>
  <cp:revision>1</cp:revision>
  <dcterms:created xsi:type="dcterms:W3CDTF">2025-05-27T00:48:00Z</dcterms:created>
  <dcterms:modified xsi:type="dcterms:W3CDTF">2025-05-27T00:49:00Z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0b83d7a0-f7e0-49e8-8e16-c7affd1eb02e</vt:lpwstr>
  </property>
</Properties>
</file>