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EE872" w14:textId="77777777" w:rsidR="00640041" w:rsidRPr="007342D2" w:rsidRDefault="00640041" w:rsidP="00640041">
      <w:pPr>
        <w:shd w:val="clear" w:color="auto" w:fill="002060"/>
        <w:spacing w:after="120" w:line="240" w:lineRule="auto"/>
        <w:rPr>
          <w:rFonts w:ascii="Gill Sans MT" w:hAnsi="Gill Sans MT" w:cs="Nirmala UI"/>
          <w:b/>
          <w:bCs/>
          <w:color w:val="0D0D0D" w:themeColor="text1" w:themeTint="F2"/>
          <w:sz w:val="8"/>
          <w:szCs w:val="8"/>
        </w:rPr>
      </w:pPr>
    </w:p>
    <w:p w14:paraId="76B20C58" w14:textId="327B7D9E" w:rsidR="00E16AE2" w:rsidRPr="007342D2" w:rsidRDefault="00E16AE2" w:rsidP="00640041">
      <w:pPr>
        <w:shd w:val="clear" w:color="auto" w:fill="002060"/>
        <w:spacing w:after="120" w:line="240" w:lineRule="auto"/>
        <w:jc w:val="center"/>
        <w:rPr>
          <w:rFonts w:ascii="Tahoma" w:hAnsi="Tahoma" w:cs="Tahoma"/>
          <w:b/>
          <w:bCs/>
          <w:color w:val="FFFFFF" w:themeColor="background1"/>
          <w:sz w:val="28"/>
          <w:szCs w:val="28"/>
        </w:rPr>
      </w:pPr>
      <w:r w:rsidRPr="007342D2">
        <w:rPr>
          <w:rFonts w:ascii="Tahoma" w:hAnsi="Tahoma" w:cs="Tahoma"/>
          <w:b/>
          <w:bCs/>
          <w:color w:val="FFFFFF" w:themeColor="background1"/>
          <w:sz w:val="28"/>
          <w:szCs w:val="28"/>
        </w:rPr>
        <w:t>Terms of Reference (ToR)</w:t>
      </w:r>
      <w:r w:rsidR="00640041" w:rsidRPr="007342D2">
        <w:rPr>
          <w:rFonts w:ascii="Tahoma" w:hAnsi="Tahoma" w:cs="Tahoma"/>
          <w:b/>
          <w:bCs/>
          <w:color w:val="FFFFFF" w:themeColor="background1"/>
          <w:sz w:val="28"/>
          <w:szCs w:val="28"/>
        </w:rPr>
        <w:t xml:space="preserve"> for DRR and GEDSI Assessment</w:t>
      </w:r>
    </w:p>
    <w:p w14:paraId="65543123" w14:textId="77777777" w:rsidR="00640041" w:rsidRPr="007342D2" w:rsidRDefault="00640041" w:rsidP="00640041">
      <w:pPr>
        <w:shd w:val="clear" w:color="auto" w:fill="002060"/>
        <w:spacing w:after="120" w:line="240" w:lineRule="auto"/>
        <w:rPr>
          <w:rFonts w:ascii="Gill Sans MT" w:hAnsi="Gill Sans MT" w:cs="Nirmala UI"/>
          <w:b/>
          <w:bCs/>
          <w:color w:val="0D0D0D" w:themeColor="text1" w:themeTint="F2"/>
          <w:sz w:val="8"/>
          <w:szCs w:val="8"/>
        </w:rPr>
      </w:pPr>
    </w:p>
    <w:p w14:paraId="0D26A0B6" w14:textId="77777777" w:rsidR="001F1F8A" w:rsidRPr="007342D2" w:rsidRDefault="001F1F8A" w:rsidP="00E16AE2">
      <w:pPr>
        <w:spacing w:after="120" w:line="240" w:lineRule="auto"/>
        <w:rPr>
          <w:rFonts w:ascii="Gill Sans MT" w:hAnsi="Gill Sans MT" w:cs="Nirmala UI"/>
          <w:b/>
          <w:bCs/>
          <w:color w:val="0D0D0D" w:themeColor="text1" w:themeTint="F2"/>
        </w:rPr>
      </w:pPr>
    </w:p>
    <w:p w14:paraId="27908009" w14:textId="18B905F7" w:rsidR="00E16AE2" w:rsidRPr="007342D2" w:rsidRDefault="00E16AE2" w:rsidP="00D70A33">
      <w:pPr>
        <w:spacing w:after="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Disaster Risk Reduction (DRR) and Gender Equity, Disability, and Social Inclusion (GEDSI) Assessment</w:t>
      </w:r>
    </w:p>
    <w:p w14:paraId="2020E1BC" w14:textId="77777777" w:rsidR="001F1F8A" w:rsidRPr="007342D2" w:rsidRDefault="001F1F8A" w:rsidP="00D70A33">
      <w:pPr>
        <w:spacing w:after="0" w:line="240" w:lineRule="auto"/>
        <w:rPr>
          <w:rFonts w:ascii="Gill Sans MT" w:hAnsi="Gill Sans MT" w:cs="Nirmala UI"/>
          <w:b/>
          <w:bCs/>
          <w:color w:val="0D0D0D" w:themeColor="text1" w:themeTint="F2"/>
        </w:rPr>
      </w:pPr>
    </w:p>
    <w:p w14:paraId="6E29EEA0" w14:textId="77777777" w:rsidR="001F1F8A" w:rsidRPr="007342D2" w:rsidRDefault="00E16AE2" w:rsidP="00D70A33">
      <w:pPr>
        <w:spacing w:after="0" w:line="240" w:lineRule="auto"/>
        <w:rPr>
          <w:rFonts w:ascii="Gill Sans MT" w:hAnsi="Gill Sans MT" w:cs="Nirmala UI"/>
          <w:color w:val="0D0D0D" w:themeColor="text1" w:themeTint="F2"/>
        </w:rPr>
      </w:pPr>
      <w:r w:rsidRPr="007342D2">
        <w:rPr>
          <w:rFonts w:ascii="Gill Sans MT" w:hAnsi="Gill Sans MT" w:cs="Nirmala UI"/>
          <w:b/>
          <w:bCs/>
          <w:color w:val="0D0D0D" w:themeColor="text1" w:themeTint="F2"/>
        </w:rPr>
        <w:t>Project:</w:t>
      </w:r>
      <w:r w:rsidRPr="007342D2">
        <w:rPr>
          <w:rFonts w:ascii="Gill Sans MT" w:hAnsi="Gill Sans MT" w:cs="Nirmala UI"/>
          <w:color w:val="0D0D0D" w:themeColor="text1" w:themeTint="F2"/>
        </w:rPr>
        <w:t xml:space="preserve"> M4L Phase-2 Location: Jamalpur Sadar Upazila, Jamalpur District, Bangladesh </w:t>
      </w:r>
    </w:p>
    <w:p w14:paraId="7A4BD800" w14:textId="77777777" w:rsidR="001F1F8A" w:rsidRPr="007342D2" w:rsidRDefault="001F1F8A" w:rsidP="00D70A33">
      <w:pPr>
        <w:spacing w:after="0" w:line="240" w:lineRule="auto"/>
        <w:rPr>
          <w:rFonts w:ascii="Gill Sans MT" w:hAnsi="Gill Sans MT" w:cs="Nirmala UI"/>
          <w:b/>
          <w:bCs/>
          <w:color w:val="0D0D0D" w:themeColor="text1" w:themeTint="F2"/>
        </w:rPr>
      </w:pPr>
    </w:p>
    <w:p w14:paraId="4616F501" w14:textId="1C25B6C5" w:rsidR="00E16AE2" w:rsidRPr="007342D2" w:rsidRDefault="00E16AE2" w:rsidP="009D7D57">
      <w:pPr>
        <w:pStyle w:val="Heading1"/>
        <w:keepLines w:val="0"/>
        <w:numPr>
          <w:ilvl w:val="0"/>
          <w:numId w:val="11"/>
        </w:numPr>
        <w:spacing w:before="0" w:line="240" w:lineRule="auto"/>
        <w:rPr>
          <w:rFonts w:ascii="Gill Sans MT" w:eastAsia="Times New Roman" w:hAnsi="Gill Sans MT" w:cs="Tahoma"/>
          <w:b/>
          <w:bCs/>
          <w:color w:val="0D0D0D" w:themeColor="text1" w:themeTint="F2"/>
          <w:sz w:val="24"/>
          <w:szCs w:val="24"/>
        </w:rPr>
      </w:pPr>
      <w:r w:rsidRPr="007342D2">
        <w:rPr>
          <w:rFonts w:ascii="Gill Sans MT" w:eastAsia="Times New Roman" w:hAnsi="Gill Sans MT" w:cs="Tahoma"/>
          <w:b/>
          <w:bCs/>
          <w:color w:val="0D0D0D" w:themeColor="text1" w:themeTint="F2"/>
          <w:sz w:val="24"/>
          <w:szCs w:val="24"/>
        </w:rPr>
        <w:t>Background</w:t>
      </w:r>
    </w:p>
    <w:p w14:paraId="79C20180" w14:textId="197F6F50" w:rsidR="00E16AE2" w:rsidRPr="007342D2" w:rsidRDefault="00E16AE2" w:rsidP="001F1F8A">
      <w:pPr>
        <w:spacing w:after="120" w:line="240" w:lineRule="auto"/>
        <w:jc w:val="both"/>
        <w:rPr>
          <w:rFonts w:ascii="Gill Sans MT" w:hAnsi="Gill Sans MT" w:cs="Nirmala UI"/>
          <w:color w:val="0D0D0D" w:themeColor="text1" w:themeTint="F2"/>
        </w:rPr>
      </w:pPr>
      <w:r w:rsidRPr="007342D2">
        <w:rPr>
          <w:rFonts w:ascii="Gill Sans MT" w:hAnsi="Gill Sans MT" w:cs="Nirmala UI"/>
          <w:color w:val="0D0D0D" w:themeColor="text1" w:themeTint="F2"/>
        </w:rPr>
        <w:t>PARI Development Trust is implementing the M4L Phase-2 project in Jamalpur Sadar Upazila, aiming to enhance resilience and improve market channels for rural vegetable</w:t>
      </w:r>
      <w:r w:rsidR="00090143">
        <w:rPr>
          <w:rFonts w:ascii="Gill Sans MT" w:hAnsi="Gill Sans MT" w:cs="Nirmala UI"/>
          <w:color w:val="0D0D0D" w:themeColor="text1" w:themeTint="F2"/>
        </w:rPr>
        <w:t xml:space="preserve"> and maize (one of the main field crops) </w:t>
      </w:r>
      <w:r w:rsidR="00090143" w:rsidRPr="007342D2">
        <w:rPr>
          <w:rFonts w:ascii="Gill Sans MT" w:hAnsi="Gill Sans MT" w:cs="Nirmala UI"/>
          <w:color w:val="0D0D0D" w:themeColor="text1" w:themeTint="F2"/>
        </w:rPr>
        <w:t>farmers</w:t>
      </w:r>
      <w:r w:rsidRPr="007342D2">
        <w:rPr>
          <w:rFonts w:ascii="Gill Sans MT" w:hAnsi="Gill Sans MT" w:cs="Nirmala UI"/>
          <w:color w:val="0D0D0D" w:themeColor="text1" w:themeTint="F2"/>
        </w:rPr>
        <w:t xml:space="preserve"> and livestock-rearing households. The project follows a dual operational model, combining traditional aid-supported activities (e.g., train</w:t>
      </w:r>
      <w:r w:rsidR="000B7CC9">
        <w:rPr>
          <w:rFonts w:ascii="Gill Sans MT" w:hAnsi="Gill Sans MT" w:cs="Nirmala UI"/>
          <w:color w:val="0D0D0D" w:themeColor="text1" w:themeTint="F2"/>
        </w:rPr>
        <w:t xml:space="preserve">ing, resilience building) with a </w:t>
      </w:r>
      <w:r w:rsidR="000B7CC9" w:rsidRPr="00090143">
        <w:rPr>
          <w:rFonts w:ascii="Gill Sans MT" w:hAnsi="Gill Sans MT" w:cs="Nirmala UI"/>
        </w:rPr>
        <w:t xml:space="preserve">proposed </w:t>
      </w:r>
      <w:r w:rsidRPr="00090143">
        <w:rPr>
          <w:rFonts w:ascii="Gill Sans MT" w:hAnsi="Gill Sans MT" w:cs="Nirmala UI"/>
        </w:rPr>
        <w:t>distinct market and enterprise development component</w:t>
      </w:r>
      <w:r w:rsidR="000B7CC9" w:rsidRPr="00090143">
        <w:rPr>
          <w:rFonts w:ascii="Gill Sans MT" w:hAnsi="Gill Sans MT" w:cs="Nirmala UI"/>
        </w:rPr>
        <w:t xml:space="preserve"> under Social Enterprise Development Approach/ </w:t>
      </w:r>
      <w:r w:rsidR="000B7CC9">
        <w:rPr>
          <w:rFonts w:ascii="Gill Sans MT" w:hAnsi="Gill Sans MT" w:cs="Nirmala UI"/>
          <w:color w:val="0D0D0D" w:themeColor="text1" w:themeTint="F2"/>
        </w:rPr>
        <w:t xml:space="preserve">mode </w:t>
      </w:r>
      <w:r w:rsidRPr="007342D2">
        <w:rPr>
          <w:rFonts w:ascii="Gill Sans MT" w:hAnsi="Gill Sans MT" w:cs="Nirmala UI"/>
          <w:color w:val="0D0D0D" w:themeColor="text1" w:themeTint="F2"/>
        </w:rPr>
        <w:t>(e.g., strengthening Collection Points, value chain linkages).</w:t>
      </w:r>
    </w:p>
    <w:p w14:paraId="22C0790C" w14:textId="77777777" w:rsidR="00E16AE2" w:rsidRDefault="00E16AE2" w:rsidP="001F1F8A">
      <w:pPr>
        <w:spacing w:after="120" w:line="240" w:lineRule="auto"/>
        <w:jc w:val="both"/>
        <w:rPr>
          <w:rFonts w:ascii="Gill Sans MT" w:hAnsi="Gill Sans MT" w:cs="Nirmala UI"/>
          <w:color w:val="0D0D0D" w:themeColor="text1" w:themeTint="F2"/>
        </w:rPr>
      </w:pPr>
      <w:r w:rsidRPr="007342D2">
        <w:rPr>
          <w:rFonts w:ascii="Gill Sans MT" w:hAnsi="Gill Sans MT" w:cs="Nirmala UI"/>
          <w:color w:val="0D0D0D" w:themeColor="text1" w:themeTint="F2"/>
        </w:rPr>
        <w:t>A core objective of the project is the introduction and promotion of disaster-resilient options, technologies, and business continuity strategies. To effectively tailor these interventions and ensure the equitable distribution of benefits, it is essential to understand the existing disaster risks, vulnerabilities, and capacities within the target households and associated market systems, particularly the disparities (GEDSI) based on gender, disability, and social status. This integrated assessment will help the project adopt evidence-based, transformative strategies.</w:t>
      </w:r>
    </w:p>
    <w:p w14:paraId="60675DBF" w14:textId="1C7564CB" w:rsidR="00B203C9" w:rsidRPr="007342D2" w:rsidRDefault="00B203C9" w:rsidP="001F1F8A">
      <w:pPr>
        <w:spacing w:after="120" w:line="240" w:lineRule="auto"/>
        <w:jc w:val="both"/>
        <w:rPr>
          <w:rFonts w:ascii="Gill Sans MT" w:hAnsi="Gill Sans MT" w:cs="Nirmala UI"/>
          <w:color w:val="0D0D0D" w:themeColor="text1" w:themeTint="F2"/>
        </w:rPr>
      </w:pPr>
    </w:p>
    <w:p w14:paraId="0890178A" w14:textId="77777777" w:rsidR="001F1F8A" w:rsidRPr="007342D2" w:rsidRDefault="001F1F8A" w:rsidP="00E16AE2">
      <w:pPr>
        <w:spacing w:after="120" w:line="240" w:lineRule="auto"/>
        <w:rPr>
          <w:rFonts w:ascii="Gill Sans MT" w:hAnsi="Gill Sans MT" w:cs="Nirmala UI"/>
          <w:b/>
          <w:bCs/>
          <w:color w:val="0D0D0D" w:themeColor="text1" w:themeTint="F2"/>
        </w:rPr>
      </w:pPr>
    </w:p>
    <w:p w14:paraId="4CF08A6A" w14:textId="09ACA41B" w:rsidR="00E16AE2" w:rsidRPr="007342D2" w:rsidRDefault="00E16AE2" w:rsidP="009D7D57">
      <w:pPr>
        <w:pStyle w:val="Heading1"/>
        <w:keepLines w:val="0"/>
        <w:numPr>
          <w:ilvl w:val="0"/>
          <w:numId w:val="11"/>
        </w:numPr>
        <w:spacing w:before="0" w:line="240" w:lineRule="auto"/>
        <w:rPr>
          <w:rFonts w:ascii="Gill Sans MT" w:eastAsia="Times New Roman" w:hAnsi="Gill Sans MT" w:cs="Tahoma"/>
          <w:b/>
          <w:bCs/>
          <w:color w:val="0D0D0D" w:themeColor="text1" w:themeTint="F2"/>
          <w:sz w:val="24"/>
          <w:szCs w:val="24"/>
        </w:rPr>
      </w:pPr>
      <w:r w:rsidRPr="007342D2">
        <w:rPr>
          <w:rFonts w:ascii="Gill Sans MT" w:eastAsia="Times New Roman" w:hAnsi="Gill Sans MT" w:cs="Tahoma"/>
          <w:b/>
          <w:bCs/>
          <w:color w:val="0D0D0D" w:themeColor="text1" w:themeTint="F2"/>
          <w:sz w:val="24"/>
          <w:szCs w:val="24"/>
        </w:rPr>
        <w:t>Objectives of the Assessment</w:t>
      </w:r>
    </w:p>
    <w:p w14:paraId="42FAE22B" w14:textId="77777777" w:rsidR="00E16AE2" w:rsidRPr="007342D2" w:rsidRDefault="00E16AE2" w:rsidP="00E16AE2">
      <w:pPr>
        <w:spacing w:after="12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Overall Objective</w:t>
      </w:r>
    </w:p>
    <w:p w14:paraId="2DC36769" w14:textId="77777777" w:rsidR="00E16AE2" w:rsidRPr="007342D2" w:rsidRDefault="00E16AE2" w:rsidP="001F1F8A">
      <w:pPr>
        <w:spacing w:after="120" w:line="240" w:lineRule="auto"/>
        <w:jc w:val="both"/>
        <w:rPr>
          <w:rFonts w:ascii="Gill Sans MT" w:hAnsi="Gill Sans MT" w:cs="Nirmala UI"/>
          <w:color w:val="0D0D0D" w:themeColor="text1" w:themeTint="F2"/>
        </w:rPr>
      </w:pPr>
      <w:r w:rsidRPr="007342D2">
        <w:rPr>
          <w:rFonts w:ascii="Gill Sans MT" w:hAnsi="Gill Sans MT" w:cs="Nirmala UI"/>
          <w:color w:val="0D0D0D" w:themeColor="text1" w:themeTint="F2"/>
        </w:rPr>
        <w:t>The overall objective is for an External Consultant to complete a comprehensive assessment of Disaster Risk Reduction (DRR), market vulnerabilities, and adaptive capacities, while simultaneously analyzing the current status of Gender Equity, Disability, and Social Inclusion (GEDSI) in the project area. The goal is to provide evidence-based recommendations for integrating inclusive and targeted DRR and GEDSI strategies within the project development framework.</w:t>
      </w:r>
    </w:p>
    <w:p w14:paraId="3C62EE2D" w14:textId="77777777" w:rsidR="00E16AE2" w:rsidRPr="007342D2" w:rsidRDefault="00E16AE2" w:rsidP="00E16AE2">
      <w:pPr>
        <w:spacing w:after="12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Specific Objectives</w:t>
      </w:r>
    </w:p>
    <w:p w14:paraId="3A5815AE" w14:textId="77777777" w:rsidR="00E16AE2" w:rsidRPr="007342D2" w:rsidRDefault="00E16AE2" w:rsidP="00E16AE2">
      <w:pPr>
        <w:numPr>
          <w:ilvl w:val="0"/>
          <w:numId w:val="6"/>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Hazard and Risk Analysis: Identify the major hazards (e.g., flood, drought, cold wave, pest/disease outbreaks) affecting vegetable farming and livestock rearing, and analyze their frequency, severity, and seasonal patterns.</w:t>
      </w:r>
    </w:p>
    <w:p w14:paraId="60448C2D" w14:textId="77777777" w:rsidR="00E16AE2" w:rsidRPr="007342D2" w:rsidRDefault="00E16AE2" w:rsidP="00E16AE2">
      <w:pPr>
        <w:numPr>
          <w:ilvl w:val="0"/>
          <w:numId w:val="6"/>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Vulnerability and Intersectional Impact Assessment:</w:t>
      </w:r>
    </w:p>
    <w:p w14:paraId="40C27DA1" w14:textId="77777777" w:rsidR="00E16AE2" w:rsidRPr="007342D2" w:rsidRDefault="00E16AE2" w:rsidP="001F1F8A">
      <w:pPr>
        <w:numPr>
          <w:ilvl w:val="1"/>
          <w:numId w:val="6"/>
        </w:numPr>
        <w:tabs>
          <w:tab w:val="clear" w:pos="1440"/>
        </w:tabs>
        <w:spacing w:after="120" w:line="240" w:lineRule="auto"/>
        <w:ind w:left="990" w:hanging="180"/>
        <w:rPr>
          <w:rFonts w:ascii="Gill Sans MT" w:hAnsi="Gill Sans MT" w:cs="Nirmala UI"/>
          <w:color w:val="0D0D0D" w:themeColor="text1" w:themeTint="F2"/>
        </w:rPr>
      </w:pPr>
      <w:r w:rsidRPr="007342D2">
        <w:rPr>
          <w:rFonts w:ascii="Gill Sans MT" w:hAnsi="Gill Sans MT" w:cs="Nirmala UI"/>
          <w:color w:val="0D0D0D" w:themeColor="text1" w:themeTint="F2"/>
        </w:rPr>
        <w:t>Evaluate the multi-dimensional vulnerabilities of livelihoods, assets, critical value chain infrastructure (Collection Points), and market flows to disasters.</w:t>
      </w:r>
    </w:p>
    <w:p w14:paraId="005A56D2" w14:textId="1AE3CE38" w:rsidR="00E16AE2" w:rsidRPr="007342D2" w:rsidRDefault="00E16AE2" w:rsidP="001F1F8A">
      <w:pPr>
        <w:numPr>
          <w:ilvl w:val="1"/>
          <w:numId w:val="6"/>
        </w:numPr>
        <w:tabs>
          <w:tab w:val="clear" w:pos="1440"/>
        </w:tabs>
        <w:spacing w:after="120" w:line="240" w:lineRule="auto"/>
        <w:ind w:left="990" w:hanging="180"/>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GEDSI-Centric Analysis: Identify the intersectional risks faced by marginalized groups such as women, persons with disabilities (PWDs), widows, and divorced women, </w:t>
      </w:r>
      <w:r w:rsidRPr="007342D2">
        <w:rPr>
          <w:rFonts w:ascii="Gill Sans MT" w:hAnsi="Gill Sans MT" w:cs="Nirmala UI"/>
          <w:color w:val="0D0D0D" w:themeColor="text1" w:themeTint="F2"/>
        </w:rPr>
        <w:lastRenderedPageBreak/>
        <w:t>focusing on unequal access to asset</w:t>
      </w:r>
      <w:r w:rsidR="001F1F8A" w:rsidRPr="007342D2">
        <w:rPr>
          <w:rFonts w:ascii="Gill Sans MT" w:hAnsi="Gill Sans MT" w:cs="Nirmala UI"/>
          <w:color w:val="0D0D0D" w:themeColor="text1" w:themeTint="F2"/>
        </w:rPr>
        <w:t>s</w:t>
      </w:r>
      <w:r w:rsidRPr="007342D2">
        <w:rPr>
          <w:rFonts w:ascii="Gill Sans MT" w:hAnsi="Gill Sans MT" w:cs="Nirmala UI"/>
          <w:color w:val="0D0D0D" w:themeColor="text1" w:themeTint="F2"/>
        </w:rPr>
        <w:t xml:space="preserve"> control, decision-making processes, and disaster risk management services.</w:t>
      </w:r>
    </w:p>
    <w:p w14:paraId="24C154C9" w14:textId="77777777" w:rsidR="00E16AE2" w:rsidRPr="007342D2" w:rsidRDefault="00E16AE2" w:rsidP="00E16AE2">
      <w:pPr>
        <w:numPr>
          <w:ilvl w:val="0"/>
          <w:numId w:val="6"/>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Capacity and Resilience Mapping: Identify and evaluate existing adaptive capacities, local knowledge, and resilience strategies (both formal and informal) employed by farmers to cope with disaster-related shocks.</w:t>
      </w:r>
    </w:p>
    <w:p w14:paraId="27DE7A17" w14:textId="77777777" w:rsidR="00E16AE2" w:rsidRPr="007342D2" w:rsidRDefault="00E16AE2" w:rsidP="00E16AE2">
      <w:pPr>
        <w:numPr>
          <w:ilvl w:val="0"/>
          <w:numId w:val="6"/>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Enterprise and Business Continuity: Assess the business continuity risks for farmer groups and project-supported enterprises (e.g., local service providers, market actors) due to anticipated shocks and stresses, and analyze how these risks are affected by GEDSI factors.</w:t>
      </w:r>
    </w:p>
    <w:p w14:paraId="1CFE88C4" w14:textId="77777777" w:rsidR="00E16AE2" w:rsidRPr="007342D2" w:rsidRDefault="00E16AE2" w:rsidP="00E16AE2">
      <w:pPr>
        <w:numPr>
          <w:ilvl w:val="0"/>
          <w:numId w:val="6"/>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Strategic Integration and Action Plan: Use the assessment findings to develop a clear, practical action plan for integrating both the project's DRR strategy and its GEDSI policy to address the identified gaps.</w:t>
      </w:r>
    </w:p>
    <w:p w14:paraId="3555799B" w14:textId="77777777" w:rsidR="001F1F8A" w:rsidRPr="007342D2" w:rsidRDefault="001F1F8A" w:rsidP="00E16AE2">
      <w:pPr>
        <w:spacing w:after="120" w:line="240" w:lineRule="auto"/>
        <w:rPr>
          <w:rFonts w:ascii="Gill Sans MT" w:hAnsi="Gill Sans MT" w:cs="Nirmala UI"/>
          <w:b/>
          <w:bCs/>
          <w:color w:val="0D0D0D" w:themeColor="text1" w:themeTint="F2"/>
        </w:rPr>
      </w:pPr>
    </w:p>
    <w:p w14:paraId="6BD19AD2" w14:textId="50B153C2" w:rsidR="00E16AE2" w:rsidRPr="007342D2" w:rsidRDefault="00E16AE2" w:rsidP="009D7D57">
      <w:pPr>
        <w:pStyle w:val="Heading1"/>
        <w:keepLines w:val="0"/>
        <w:numPr>
          <w:ilvl w:val="0"/>
          <w:numId w:val="11"/>
        </w:numPr>
        <w:spacing w:before="0" w:line="240" w:lineRule="auto"/>
        <w:rPr>
          <w:rFonts w:ascii="Gill Sans MT" w:eastAsia="Times New Roman" w:hAnsi="Gill Sans MT" w:cs="Tahoma"/>
          <w:b/>
          <w:bCs/>
          <w:color w:val="0D0D0D" w:themeColor="text1" w:themeTint="F2"/>
          <w:sz w:val="24"/>
          <w:szCs w:val="24"/>
        </w:rPr>
      </w:pPr>
      <w:r w:rsidRPr="007342D2">
        <w:rPr>
          <w:rFonts w:ascii="Gill Sans MT" w:eastAsia="Times New Roman" w:hAnsi="Gill Sans MT" w:cs="Tahoma"/>
          <w:b/>
          <w:bCs/>
          <w:color w:val="0D0D0D" w:themeColor="text1" w:themeTint="F2"/>
          <w:sz w:val="24"/>
          <w:szCs w:val="24"/>
        </w:rPr>
        <w:t>Scope of Work</w:t>
      </w:r>
    </w:p>
    <w:p w14:paraId="632D5F66" w14:textId="77777777" w:rsidR="00E16AE2" w:rsidRPr="007342D2" w:rsidRDefault="00E16AE2" w:rsidP="00E16AE2">
      <w:p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The External Consultant (Team) will conduct this integrated assessment across representative villages within the six unions where the project operates. The scope includes the completeness of the research cycle:</w:t>
      </w:r>
    </w:p>
    <w:p w14:paraId="5EB1C8A9" w14:textId="77777777" w:rsidR="00E16AE2" w:rsidRPr="007342D2" w:rsidRDefault="00E16AE2" w:rsidP="00E16AE2">
      <w:pPr>
        <w:numPr>
          <w:ilvl w:val="0"/>
          <w:numId w:val="7"/>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Desk Review: Systematic review of secondary data, including M4L Phase-2 project documents, local disaster risk reports (DAE, DLS), climate data, agricultural/livestock-related research, and existing GEDSI policies and challenges.</w:t>
      </w:r>
    </w:p>
    <w:p w14:paraId="656BD7DB" w14:textId="77777777" w:rsidR="00E16AE2" w:rsidRPr="007342D2" w:rsidRDefault="00E16AE2" w:rsidP="00E16AE2">
      <w:pPr>
        <w:numPr>
          <w:ilvl w:val="0"/>
          <w:numId w:val="7"/>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Methodology and Tool Design: Finalize a robust, mixed-methods research protocol, which includes:</w:t>
      </w:r>
    </w:p>
    <w:p w14:paraId="7544CBF0" w14:textId="77777777" w:rsidR="00E16AE2" w:rsidRPr="007342D2" w:rsidRDefault="00E16AE2" w:rsidP="001F1F8A">
      <w:pPr>
        <w:numPr>
          <w:ilvl w:val="1"/>
          <w:numId w:val="7"/>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Developing and pre-testing quantitative Household Survey modules and qualitative data collection tools (FGD guides, KII checklists) while maintaining cultural sensitivity and ensuring ethical protocols.</w:t>
      </w:r>
    </w:p>
    <w:p w14:paraId="6B50BF27" w14:textId="77777777" w:rsidR="00E16AE2" w:rsidRPr="007342D2" w:rsidRDefault="00E16AE2" w:rsidP="001F1F8A">
      <w:pPr>
        <w:numPr>
          <w:ilvl w:val="1"/>
          <w:numId w:val="7"/>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All data collection tools must be designed to enable Disaggregation by gender, disability status, and social status.</w:t>
      </w:r>
    </w:p>
    <w:p w14:paraId="13C23CDF" w14:textId="77777777" w:rsidR="00E16AE2" w:rsidRPr="007342D2" w:rsidRDefault="00E16AE2" w:rsidP="00E16AE2">
      <w:pPr>
        <w:numPr>
          <w:ilvl w:val="0"/>
          <w:numId w:val="7"/>
        </w:numPr>
        <w:spacing w:after="120" w:line="240" w:lineRule="auto"/>
        <w:rPr>
          <w:rFonts w:ascii="Gill Sans MT" w:hAnsi="Gill Sans MT" w:cs="Nirmala UI"/>
          <w:color w:val="0D0D0D" w:themeColor="text1" w:themeTint="F2"/>
        </w:rPr>
      </w:pPr>
      <w:r w:rsidRPr="007342D2">
        <w:rPr>
          <w:rFonts w:ascii="Gill Sans MT" w:hAnsi="Gill Sans MT" w:cs="Nirmala UI"/>
          <w:b/>
          <w:bCs/>
          <w:color w:val="0D0D0D" w:themeColor="text1" w:themeTint="F2"/>
        </w:rPr>
        <w:t>Field Data Collection:</w:t>
      </w:r>
    </w:p>
    <w:p w14:paraId="1DA5FAAD" w14:textId="77777777" w:rsidR="00E16AE2" w:rsidRPr="007342D2" w:rsidRDefault="00E16AE2" w:rsidP="001F1F8A">
      <w:pPr>
        <w:numPr>
          <w:ilvl w:val="1"/>
          <w:numId w:val="7"/>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Conduct quantitative surveys on a statistically representative sample of farming households, covering DRR, livelihood, enterprise, and GEDSI-related questions.</w:t>
      </w:r>
    </w:p>
    <w:p w14:paraId="038E7327" w14:textId="77777777" w:rsidR="00E16AE2" w:rsidRPr="007342D2" w:rsidRDefault="00E16AE2" w:rsidP="001F1F8A">
      <w:pPr>
        <w:numPr>
          <w:ilvl w:val="1"/>
          <w:numId w:val="7"/>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Conduct gender and social status-segregated Focus Group Discussions (FGDs) (e.g., specific groups for PWDs, widows, and divorced women) to capture social norms, power dynamics, and intersectional vulnerability.</w:t>
      </w:r>
    </w:p>
    <w:p w14:paraId="0AE44A68" w14:textId="77777777" w:rsidR="00E16AE2" w:rsidRPr="007342D2" w:rsidRDefault="00E16AE2" w:rsidP="001F1F8A">
      <w:pPr>
        <w:numPr>
          <w:ilvl w:val="1"/>
          <w:numId w:val="7"/>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Conduct Key Informant Interviews (KIIs) with experts (e.g., DAE/DLS officials, Union Parishad members, Collection Point Managers) on systemic risks, institutional capacity, and GEDSI-sensitivity in service delivery.</w:t>
      </w:r>
    </w:p>
    <w:p w14:paraId="730723D6" w14:textId="77777777" w:rsidR="00E16AE2" w:rsidRPr="007342D2" w:rsidRDefault="00E16AE2" w:rsidP="00E16AE2">
      <w:pPr>
        <w:numPr>
          <w:ilvl w:val="0"/>
          <w:numId w:val="7"/>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Data Analysis and Synthesis: Ensure rigorous analysis of the collected data, including intersectional analysis of quantitative data and thematic analysis of qualitative transcripts. The consultant must ensure Triangulation of findings from all sources to build a holistic understanding.</w:t>
      </w:r>
    </w:p>
    <w:p w14:paraId="73F6C173" w14:textId="09127205" w:rsidR="00E16AE2" w:rsidRPr="007342D2" w:rsidRDefault="00E16AE2" w:rsidP="00E16AE2">
      <w:pPr>
        <w:numPr>
          <w:ilvl w:val="0"/>
          <w:numId w:val="7"/>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lastRenderedPageBreak/>
        <w:t>Reporting and Recommendations: Produce and submit all required deliverables, culminating in a final report that provides clear, evidence-based, and practical recommendations for the M4L Phase-2 project</w:t>
      </w:r>
      <w:r w:rsidR="00D1308F" w:rsidRPr="007342D2">
        <w:rPr>
          <w:rFonts w:ascii="Gill Sans MT" w:hAnsi="Gill Sans MT" w:cs="Nirmala UI"/>
          <w:color w:val="0D0D0D" w:themeColor="text1" w:themeTint="F2"/>
        </w:rPr>
        <w:t xml:space="preserve"> including proposed additional indicators in DRR and GEDSI if required</w:t>
      </w:r>
      <w:r w:rsidRPr="007342D2">
        <w:rPr>
          <w:rFonts w:ascii="Gill Sans MT" w:hAnsi="Gill Sans MT" w:cs="Nirmala UI"/>
          <w:color w:val="0D0D0D" w:themeColor="text1" w:themeTint="F2"/>
        </w:rPr>
        <w:t>.</w:t>
      </w:r>
    </w:p>
    <w:p w14:paraId="1488EFC1" w14:textId="77777777" w:rsidR="00D1308F" w:rsidRPr="007342D2" w:rsidRDefault="00D1308F" w:rsidP="00D1308F">
      <w:pPr>
        <w:spacing w:after="120" w:line="240" w:lineRule="auto"/>
        <w:rPr>
          <w:rFonts w:ascii="Gill Sans MT" w:hAnsi="Gill Sans MT" w:cs="Nirmala UI"/>
          <w:color w:val="0D0D0D" w:themeColor="text1" w:themeTint="F2"/>
        </w:rPr>
      </w:pPr>
    </w:p>
    <w:p w14:paraId="73A513A7" w14:textId="73680E91" w:rsidR="00D1308F" w:rsidRPr="007342D2" w:rsidRDefault="009D7D57" w:rsidP="009D7D57">
      <w:pPr>
        <w:pStyle w:val="Heading1"/>
        <w:keepLines w:val="0"/>
        <w:numPr>
          <w:ilvl w:val="0"/>
          <w:numId w:val="11"/>
        </w:numPr>
        <w:spacing w:before="0" w:line="240" w:lineRule="auto"/>
        <w:rPr>
          <w:rFonts w:ascii="Gill Sans MT" w:eastAsia="Times New Roman" w:hAnsi="Gill Sans MT" w:cs="Tahoma"/>
          <w:b/>
          <w:bCs/>
          <w:color w:val="0D0D0D" w:themeColor="text1" w:themeTint="F2"/>
          <w:sz w:val="24"/>
          <w:szCs w:val="24"/>
        </w:rPr>
      </w:pPr>
      <w:bookmarkStart w:id="0" w:name="_Toc93951545"/>
      <w:bookmarkStart w:id="1" w:name="_Toc93951832"/>
      <w:bookmarkStart w:id="2" w:name="_Toc93952623"/>
      <w:bookmarkStart w:id="3" w:name="_Toc93955005"/>
      <w:bookmarkStart w:id="4" w:name="_Toc216003285"/>
      <w:r w:rsidRPr="007342D2">
        <w:rPr>
          <w:rFonts w:ascii="Gill Sans MT" w:eastAsia="Times New Roman" w:hAnsi="Gill Sans MT" w:cs="Tahoma"/>
          <w:b/>
          <w:bCs/>
          <w:color w:val="0D0D0D" w:themeColor="text1" w:themeTint="F2"/>
          <w:sz w:val="24"/>
          <w:szCs w:val="24"/>
        </w:rPr>
        <w:t>Logical Framework</w:t>
      </w:r>
      <w:bookmarkStart w:id="5" w:name="_Hlk198807145"/>
      <w:bookmarkStart w:id="6" w:name="_Hlk199859544"/>
      <w:bookmarkEnd w:id="0"/>
      <w:bookmarkEnd w:id="1"/>
      <w:bookmarkEnd w:id="2"/>
      <w:bookmarkEnd w:id="3"/>
      <w:bookmarkEnd w:id="4"/>
    </w:p>
    <w:p w14:paraId="1EEFEAE0" w14:textId="77777777" w:rsidR="00D1308F" w:rsidRPr="007342D2" w:rsidRDefault="00D1308F" w:rsidP="00D1308F">
      <w:pPr>
        <w:pStyle w:val="ListParagraph"/>
        <w:numPr>
          <w:ilvl w:val="0"/>
          <w:numId w:val="11"/>
        </w:numPr>
        <w:spacing w:after="0" w:line="240" w:lineRule="auto"/>
        <w:rPr>
          <w:color w:val="0D0D0D" w:themeColor="text1" w:themeTint="F2"/>
          <w:sz w:val="4"/>
          <w:szCs w:val="4"/>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91"/>
        <w:gridCol w:w="1846"/>
        <w:gridCol w:w="3118"/>
        <w:gridCol w:w="936"/>
        <w:gridCol w:w="647"/>
        <w:gridCol w:w="1257"/>
        <w:gridCol w:w="2145"/>
      </w:tblGrid>
      <w:tr w:rsidR="007342D2" w:rsidRPr="007342D2" w14:paraId="7CD1A5DA" w14:textId="77777777" w:rsidTr="00D14F6A">
        <w:trPr>
          <w:trHeight w:val="420"/>
        </w:trPr>
        <w:tc>
          <w:tcPr>
            <w:tcW w:w="391" w:type="dxa"/>
            <w:shd w:val="clear" w:color="auto" w:fill="F7CAAC" w:themeFill="accent2" w:themeFillTint="66"/>
            <w:hideMark/>
          </w:tcPr>
          <w:p w14:paraId="75125AEE" w14:textId="77777777" w:rsidR="00D1308F" w:rsidRPr="007342D2" w:rsidRDefault="00D1308F" w:rsidP="00B203C9">
            <w:pPr>
              <w:spacing w:after="0" w:line="240" w:lineRule="auto"/>
              <w:jc w:val="right"/>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w:t>
            </w:r>
          </w:p>
        </w:tc>
        <w:tc>
          <w:tcPr>
            <w:tcW w:w="1846" w:type="dxa"/>
            <w:shd w:val="clear" w:color="auto" w:fill="F7CAAC" w:themeFill="accent2" w:themeFillTint="66"/>
            <w:hideMark/>
          </w:tcPr>
          <w:p w14:paraId="5C374835"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Outcome</w:t>
            </w:r>
          </w:p>
        </w:tc>
        <w:tc>
          <w:tcPr>
            <w:tcW w:w="3118" w:type="dxa"/>
            <w:shd w:val="clear" w:color="auto" w:fill="F7CAAC" w:themeFill="accent2" w:themeFillTint="66"/>
            <w:hideMark/>
          </w:tcPr>
          <w:p w14:paraId="4FD9FAE3"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Outcome Indicator</w:t>
            </w:r>
          </w:p>
        </w:tc>
        <w:tc>
          <w:tcPr>
            <w:tcW w:w="936" w:type="dxa"/>
            <w:shd w:val="clear" w:color="auto" w:fill="F7CAAC" w:themeFill="accent2" w:themeFillTint="66"/>
          </w:tcPr>
          <w:p w14:paraId="787AA3F0"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Baseline/</w:t>
            </w:r>
          </w:p>
          <w:p w14:paraId="13F02759"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Phase-1 Endline Evaluation</w:t>
            </w:r>
          </w:p>
        </w:tc>
        <w:tc>
          <w:tcPr>
            <w:tcW w:w="647" w:type="dxa"/>
            <w:shd w:val="clear" w:color="auto" w:fill="F7CAAC" w:themeFill="accent2" w:themeFillTint="66"/>
          </w:tcPr>
          <w:p w14:paraId="7F22503A"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Target</w:t>
            </w:r>
          </w:p>
        </w:tc>
        <w:tc>
          <w:tcPr>
            <w:tcW w:w="1257" w:type="dxa"/>
            <w:shd w:val="clear" w:color="auto" w:fill="F7CAAC" w:themeFill="accent2" w:themeFillTint="66"/>
            <w:hideMark/>
          </w:tcPr>
          <w:p w14:paraId="626CCB89"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Source &amp; Means of Verification</w:t>
            </w:r>
          </w:p>
        </w:tc>
        <w:tc>
          <w:tcPr>
            <w:tcW w:w="2145" w:type="dxa"/>
            <w:shd w:val="clear" w:color="auto" w:fill="F7CAAC" w:themeFill="accent2" w:themeFillTint="66"/>
            <w:hideMark/>
          </w:tcPr>
          <w:p w14:paraId="02C93A63"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Assumption</w:t>
            </w:r>
          </w:p>
        </w:tc>
      </w:tr>
      <w:tr w:rsidR="007342D2" w:rsidRPr="007342D2" w14:paraId="6AC82237" w14:textId="77777777" w:rsidTr="00D14F6A">
        <w:trPr>
          <w:trHeight w:val="420"/>
        </w:trPr>
        <w:tc>
          <w:tcPr>
            <w:tcW w:w="391" w:type="dxa"/>
          </w:tcPr>
          <w:p w14:paraId="11D49DC0" w14:textId="77777777" w:rsidR="00D1308F" w:rsidRPr="007342D2" w:rsidRDefault="00D1308F" w:rsidP="00B203C9">
            <w:pPr>
              <w:spacing w:after="0" w:line="240" w:lineRule="auto"/>
              <w:jc w:val="right"/>
              <w:rPr>
                <w:rFonts w:ascii="Tahoma" w:eastAsia="Times New Roman" w:hAnsi="Tahoma" w:cs="Tahoma"/>
                <w:b/>
                <w:bCs/>
                <w:color w:val="0D0D0D" w:themeColor="text1" w:themeTint="F2"/>
                <w:kern w:val="0"/>
                <w:sz w:val="16"/>
                <w:szCs w:val="16"/>
                <w14:ligatures w14:val="none"/>
              </w:rPr>
            </w:pPr>
          </w:p>
        </w:tc>
        <w:tc>
          <w:tcPr>
            <w:tcW w:w="1846" w:type="dxa"/>
          </w:tcPr>
          <w:p w14:paraId="0E58D9A4" w14:textId="77777777" w:rsidR="00912F36" w:rsidRPr="007342D2" w:rsidRDefault="00D1308F" w:rsidP="00912F36">
            <w:pPr>
              <w:tabs>
                <w:tab w:val="right" w:pos="3402"/>
              </w:tabs>
              <w:spacing w:after="0" w:line="240" w:lineRule="auto"/>
              <w:rPr>
                <w:rFonts w:ascii="Tahoma" w:eastAsia="Verdana" w:hAnsi="Tahoma" w:cs="Tahoma"/>
                <w:b/>
                <w:color w:val="0D0D0D" w:themeColor="text1" w:themeTint="F2"/>
                <w:sz w:val="18"/>
                <w:szCs w:val="18"/>
              </w:rPr>
            </w:pPr>
            <w:r w:rsidRPr="007342D2">
              <w:rPr>
                <w:rFonts w:ascii="Tahoma" w:eastAsia="Verdana" w:hAnsi="Tahoma" w:cs="Tahoma"/>
                <w:b/>
                <w:color w:val="0D0D0D" w:themeColor="text1" w:themeTint="F2"/>
                <w:sz w:val="18"/>
                <w:szCs w:val="18"/>
              </w:rPr>
              <w:t xml:space="preserve">Impact </w:t>
            </w:r>
          </w:p>
          <w:p w14:paraId="3FBA914A" w14:textId="43B4E8EE" w:rsidR="00D1308F" w:rsidRPr="007342D2" w:rsidRDefault="00D1308F" w:rsidP="00912F36">
            <w:pPr>
              <w:tabs>
                <w:tab w:val="right" w:pos="3402"/>
              </w:tabs>
              <w:spacing w:after="0" w:line="240" w:lineRule="auto"/>
              <w:rPr>
                <w:rFonts w:ascii="Tahoma" w:eastAsia="Times New Roman" w:hAnsi="Tahoma" w:cs="Tahoma"/>
                <w:bCs/>
                <w:color w:val="0D0D0D" w:themeColor="text1" w:themeTint="F2"/>
                <w:kern w:val="0"/>
                <w:sz w:val="16"/>
                <w:szCs w:val="16"/>
                <w14:ligatures w14:val="none"/>
              </w:rPr>
            </w:pPr>
            <w:r w:rsidRPr="007342D2">
              <w:rPr>
                <w:rFonts w:ascii="Tahoma" w:eastAsia="Verdana" w:hAnsi="Tahoma" w:cs="Tahoma"/>
                <w:bCs/>
                <w:color w:val="0D0D0D" w:themeColor="text1" w:themeTint="F2"/>
                <w:sz w:val="16"/>
                <w:szCs w:val="16"/>
              </w:rPr>
              <w:t>(Overall Goal)</w:t>
            </w:r>
          </w:p>
        </w:tc>
        <w:tc>
          <w:tcPr>
            <w:tcW w:w="3118" w:type="dxa"/>
          </w:tcPr>
          <w:p w14:paraId="736499AC" w14:textId="77777777" w:rsidR="00D1308F" w:rsidRPr="007342D2" w:rsidRDefault="00D1308F" w:rsidP="00D14F6A">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Verdana" w:hAnsi="Tahoma" w:cs="Tahoma"/>
                <w:b/>
                <w:color w:val="0D0D0D" w:themeColor="text1" w:themeTint="F2"/>
                <w:sz w:val="18"/>
                <w:szCs w:val="18"/>
              </w:rPr>
              <w:t>Impact Indicators</w:t>
            </w:r>
          </w:p>
        </w:tc>
        <w:tc>
          <w:tcPr>
            <w:tcW w:w="936" w:type="dxa"/>
          </w:tcPr>
          <w:p w14:paraId="75685ADC" w14:textId="77777777" w:rsidR="00D1308F" w:rsidRPr="007342D2" w:rsidRDefault="00D1308F" w:rsidP="00D14F6A">
            <w:pPr>
              <w:spacing w:after="0" w:line="240" w:lineRule="auto"/>
              <w:rPr>
                <w:rFonts w:ascii="Tahoma" w:eastAsia="Times New Roman" w:hAnsi="Tahoma" w:cs="Tahoma"/>
                <w:b/>
                <w:bCs/>
                <w:color w:val="0D0D0D" w:themeColor="text1" w:themeTint="F2"/>
                <w:kern w:val="0"/>
                <w:sz w:val="16"/>
                <w:szCs w:val="16"/>
                <w14:ligatures w14:val="none"/>
              </w:rPr>
            </w:pPr>
          </w:p>
        </w:tc>
        <w:tc>
          <w:tcPr>
            <w:tcW w:w="647" w:type="dxa"/>
          </w:tcPr>
          <w:p w14:paraId="3F72A208" w14:textId="77777777" w:rsidR="00D1308F" w:rsidRPr="007342D2" w:rsidRDefault="00D1308F" w:rsidP="00D14F6A">
            <w:pPr>
              <w:spacing w:after="0" w:line="240" w:lineRule="auto"/>
              <w:rPr>
                <w:rFonts w:ascii="Tahoma" w:eastAsia="Times New Roman" w:hAnsi="Tahoma" w:cs="Tahoma"/>
                <w:b/>
                <w:bCs/>
                <w:color w:val="0D0D0D" w:themeColor="text1" w:themeTint="F2"/>
                <w:kern w:val="0"/>
                <w:sz w:val="16"/>
                <w:szCs w:val="16"/>
                <w14:ligatures w14:val="none"/>
              </w:rPr>
            </w:pPr>
          </w:p>
        </w:tc>
        <w:tc>
          <w:tcPr>
            <w:tcW w:w="1257" w:type="dxa"/>
          </w:tcPr>
          <w:p w14:paraId="2BBEED57" w14:textId="77777777" w:rsidR="00D1308F" w:rsidRPr="007342D2" w:rsidRDefault="00D1308F" w:rsidP="00D14F6A">
            <w:pPr>
              <w:spacing w:after="0" w:line="240" w:lineRule="auto"/>
              <w:rPr>
                <w:rFonts w:ascii="Tahoma" w:eastAsia="Times New Roman" w:hAnsi="Tahoma" w:cs="Tahoma"/>
                <w:b/>
                <w:bCs/>
                <w:color w:val="0D0D0D" w:themeColor="text1" w:themeTint="F2"/>
                <w:kern w:val="0"/>
                <w:sz w:val="16"/>
                <w:szCs w:val="16"/>
                <w14:ligatures w14:val="none"/>
              </w:rPr>
            </w:pPr>
          </w:p>
        </w:tc>
        <w:tc>
          <w:tcPr>
            <w:tcW w:w="2145" w:type="dxa"/>
          </w:tcPr>
          <w:p w14:paraId="56A3F3AD" w14:textId="77777777" w:rsidR="00D1308F" w:rsidRPr="007342D2" w:rsidRDefault="00D1308F" w:rsidP="00D14F6A">
            <w:pPr>
              <w:spacing w:after="0" w:line="240" w:lineRule="auto"/>
              <w:rPr>
                <w:rFonts w:ascii="Tahoma" w:eastAsia="Times New Roman" w:hAnsi="Tahoma" w:cs="Tahoma"/>
                <w:b/>
                <w:bCs/>
                <w:color w:val="0D0D0D" w:themeColor="text1" w:themeTint="F2"/>
                <w:kern w:val="0"/>
                <w:sz w:val="16"/>
                <w:szCs w:val="16"/>
                <w14:ligatures w14:val="none"/>
              </w:rPr>
            </w:pPr>
          </w:p>
        </w:tc>
      </w:tr>
      <w:tr w:rsidR="007342D2" w:rsidRPr="007342D2" w14:paraId="13588447" w14:textId="77777777" w:rsidTr="00D14F6A">
        <w:trPr>
          <w:trHeight w:val="420"/>
        </w:trPr>
        <w:tc>
          <w:tcPr>
            <w:tcW w:w="391" w:type="dxa"/>
            <w:vMerge w:val="restart"/>
          </w:tcPr>
          <w:p w14:paraId="1AD5872D" w14:textId="77777777" w:rsidR="00D14F6A" w:rsidRPr="007342D2" w:rsidRDefault="00D14F6A" w:rsidP="00B203C9">
            <w:pPr>
              <w:spacing w:after="0" w:line="240" w:lineRule="auto"/>
              <w:jc w:val="right"/>
              <w:rPr>
                <w:rFonts w:ascii="Tahoma" w:eastAsia="Times New Roman" w:hAnsi="Tahoma" w:cs="Tahoma"/>
                <w:b/>
                <w:bCs/>
                <w:color w:val="0D0D0D" w:themeColor="text1" w:themeTint="F2"/>
                <w:kern w:val="0"/>
                <w:sz w:val="16"/>
                <w:szCs w:val="16"/>
                <w14:ligatures w14:val="none"/>
              </w:rPr>
            </w:pPr>
          </w:p>
        </w:tc>
        <w:tc>
          <w:tcPr>
            <w:tcW w:w="1846" w:type="dxa"/>
            <w:vMerge w:val="restart"/>
          </w:tcPr>
          <w:p w14:paraId="0CAF921B"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Verdana" w:eastAsia="Verdana" w:hAnsi="Verdana" w:cs="Verdana"/>
                <w:color w:val="0D0D0D" w:themeColor="text1" w:themeTint="F2"/>
                <w:sz w:val="18"/>
                <w:szCs w:val="18"/>
              </w:rPr>
              <w:t>Last mile smallholder farmers have improved economic well-being despite external shocks.</w:t>
            </w:r>
          </w:p>
        </w:tc>
        <w:tc>
          <w:tcPr>
            <w:tcW w:w="3118" w:type="dxa"/>
          </w:tcPr>
          <w:p w14:paraId="4684D798" w14:textId="7E09FCEA" w:rsidR="00D14F6A" w:rsidRPr="007342D2" w:rsidRDefault="00D14F6A" w:rsidP="00D14F6A">
            <w:pPr>
              <w:spacing w:after="0" w:line="240" w:lineRule="auto"/>
              <w:rPr>
                <w:rFonts w:ascii="Verdana" w:eastAsia="Verdana" w:hAnsi="Verdana" w:cs="Verdana"/>
                <w:color w:val="0D0D0D" w:themeColor="text1" w:themeTint="F2"/>
                <w:sz w:val="18"/>
                <w:szCs w:val="18"/>
              </w:rPr>
            </w:pPr>
            <w:r w:rsidRPr="007342D2">
              <w:rPr>
                <w:rFonts w:ascii="Verdana" w:eastAsia="Verdana" w:hAnsi="Verdana" w:cs="Verdana"/>
                <w:color w:val="0D0D0D" w:themeColor="text1" w:themeTint="F2"/>
                <w:sz w:val="18"/>
                <w:szCs w:val="18"/>
              </w:rPr>
              <w:t xml:space="preserve">By mid-2029, 5,000 families have:  </w:t>
            </w:r>
          </w:p>
          <w:p w14:paraId="714FCE7D" w14:textId="77777777" w:rsidR="00D14F6A" w:rsidRPr="007342D2" w:rsidRDefault="00D14F6A" w:rsidP="00D14F6A">
            <w:pPr>
              <w:spacing w:after="0" w:line="240" w:lineRule="auto"/>
              <w:rPr>
                <w:rFonts w:ascii="Verdana" w:eastAsia="Verdana" w:hAnsi="Verdana" w:cs="Verdana"/>
                <w:color w:val="0D0D0D" w:themeColor="text1" w:themeTint="F2"/>
                <w:sz w:val="10"/>
                <w:szCs w:val="18"/>
              </w:rPr>
            </w:pPr>
          </w:p>
          <w:p w14:paraId="3D2108C1" w14:textId="782D4430" w:rsidR="00D14F6A" w:rsidRPr="007342D2" w:rsidRDefault="00D14F6A" w:rsidP="00D14F6A">
            <w:pPr>
              <w:pBdr>
                <w:top w:val="nil"/>
                <w:left w:val="nil"/>
                <w:bottom w:val="nil"/>
                <w:right w:val="nil"/>
                <w:between w:val="nil"/>
              </w:pBdr>
              <w:spacing w:after="0" w:line="240" w:lineRule="auto"/>
              <w:rPr>
                <w:rFonts w:ascii="Verdana" w:eastAsia="Verdana" w:hAnsi="Verdana" w:cs="Verdana"/>
                <w:color w:val="0D0D0D" w:themeColor="text1" w:themeTint="F2"/>
                <w:sz w:val="18"/>
                <w:szCs w:val="18"/>
              </w:rPr>
            </w:pPr>
            <w:r w:rsidRPr="007342D2">
              <w:rPr>
                <w:rFonts w:ascii="Verdana" w:eastAsia="Verdana" w:hAnsi="Verdana" w:cs="Verdana"/>
                <w:color w:val="0D0D0D" w:themeColor="text1" w:themeTint="F2"/>
                <w:sz w:val="18"/>
                <w:szCs w:val="18"/>
              </w:rPr>
              <w:t>60% families have increased livelihood capital.</w:t>
            </w:r>
          </w:p>
        </w:tc>
        <w:tc>
          <w:tcPr>
            <w:tcW w:w="936" w:type="dxa"/>
          </w:tcPr>
          <w:p w14:paraId="3759B1C6"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p>
        </w:tc>
        <w:tc>
          <w:tcPr>
            <w:tcW w:w="647" w:type="dxa"/>
          </w:tcPr>
          <w:p w14:paraId="0705D4B8" w14:textId="79B49FBF" w:rsidR="00D14F6A" w:rsidRPr="007342D2" w:rsidRDefault="00D14F6A" w:rsidP="00D14F6A">
            <w:pPr>
              <w:pStyle w:val="NoSpacing"/>
              <w:rPr>
                <w:color w:val="0D0D0D" w:themeColor="text1" w:themeTint="F2"/>
              </w:rPr>
            </w:pPr>
            <w:r w:rsidRPr="007342D2">
              <w:rPr>
                <w:color w:val="0D0D0D" w:themeColor="text1" w:themeTint="F2"/>
              </w:rPr>
              <w:t>3,000 HHs</w:t>
            </w:r>
          </w:p>
          <w:p w14:paraId="05BE5DE1"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r w:rsidRPr="007342D2">
              <w:rPr>
                <w:color w:val="0D0D0D" w:themeColor="text1" w:themeTint="F2"/>
              </w:rPr>
              <w:t xml:space="preserve">   (60%)</w:t>
            </w:r>
          </w:p>
        </w:tc>
        <w:tc>
          <w:tcPr>
            <w:tcW w:w="1257" w:type="dxa"/>
            <w:vMerge w:val="restart"/>
          </w:tcPr>
          <w:p w14:paraId="73243BB4"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Verdana" w:hAnsi="Tahoma" w:cs="Tahoma"/>
                <w:color w:val="0D0D0D" w:themeColor="text1" w:themeTint="F2"/>
                <w:sz w:val="16"/>
                <w:szCs w:val="16"/>
              </w:rPr>
              <w:t>Mixed-method internal MEL system e.g. surveys, case studies, etc.</w:t>
            </w:r>
          </w:p>
        </w:tc>
        <w:tc>
          <w:tcPr>
            <w:tcW w:w="2145" w:type="dxa"/>
            <w:vMerge w:val="restart"/>
          </w:tcPr>
          <w:p w14:paraId="501366B8"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p>
        </w:tc>
      </w:tr>
      <w:tr w:rsidR="007342D2" w:rsidRPr="007342D2" w14:paraId="0DA82FC4" w14:textId="77777777" w:rsidTr="00D14F6A">
        <w:trPr>
          <w:trHeight w:val="420"/>
        </w:trPr>
        <w:tc>
          <w:tcPr>
            <w:tcW w:w="391" w:type="dxa"/>
            <w:vMerge/>
          </w:tcPr>
          <w:p w14:paraId="18BCE358" w14:textId="77777777" w:rsidR="00D14F6A" w:rsidRPr="007342D2" w:rsidRDefault="00D14F6A" w:rsidP="00B203C9">
            <w:pPr>
              <w:spacing w:after="0" w:line="240" w:lineRule="auto"/>
              <w:jc w:val="right"/>
              <w:rPr>
                <w:rFonts w:ascii="Tahoma" w:eastAsia="Times New Roman" w:hAnsi="Tahoma" w:cs="Tahoma"/>
                <w:b/>
                <w:bCs/>
                <w:color w:val="0D0D0D" w:themeColor="text1" w:themeTint="F2"/>
                <w:kern w:val="0"/>
                <w:sz w:val="16"/>
                <w:szCs w:val="16"/>
                <w14:ligatures w14:val="none"/>
              </w:rPr>
            </w:pPr>
          </w:p>
        </w:tc>
        <w:tc>
          <w:tcPr>
            <w:tcW w:w="1846" w:type="dxa"/>
            <w:vMerge/>
          </w:tcPr>
          <w:p w14:paraId="216A5E91" w14:textId="77777777" w:rsidR="00D14F6A" w:rsidRPr="007342D2" w:rsidRDefault="00D14F6A" w:rsidP="00D14F6A">
            <w:pPr>
              <w:spacing w:after="0" w:line="240" w:lineRule="auto"/>
              <w:rPr>
                <w:rFonts w:ascii="Verdana" w:eastAsia="Verdana" w:hAnsi="Verdana" w:cs="Verdana"/>
                <w:color w:val="0D0D0D" w:themeColor="text1" w:themeTint="F2"/>
                <w:sz w:val="18"/>
                <w:szCs w:val="18"/>
              </w:rPr>
            </w:pPr>
          </w:p>
        </w:tc>
        <w:tc>
          <w:tcPr>
            <w:tcW w:w="3118" w:type="dxa"/>
          </w:tcPr>
          <w:p w14:paraId="08BAB1FA" w14:textId="21D87D2E" w:rsidR="00D14F6A" w:rsidRPr="007342D2" w:rsidRDefault="00D14F6A" w:rsidP="00D14F6A">
            <w:pPr>
              <w:spacing w:after="0" w:line="240" w:lineRule="auto"/>
              <w:rPr>
                <w:rFonts w:ascii="Verdana" w:eastAsia="Verdana" w:hAnsi="Verdana" w:cs="Verdana"/>
                <w:color w:val="0D0D0D" w:themeColor="text1" w:themeTint="F2"/>
                <w:sz w:val="18"/>
                <w:szCs w:val="18"/>
              </w:rPr>
            </w:pPr>
            <w:r w:rsidRPr="007342D2">
              <w:rPr>
                <w:rFonts w:ascii="Verdana" w:eastAsia="Verdana" w:hAnsi="Verdana" w:cs="Verdana"/>
                <w:color w:val="0D0D0D" w:themeColor="text1" w:themeTint="F2"/>
                <w:sz w:val="18"/>
                <w:szCs w:val="18"/>
              </w:rPr>
              <w:t>60% families able to meet their basic needs despite external shocks.</w:t>
            </w:r>
          </w:p>
        </w:tc>
        <w:tc>
          <w:tcPr>
            <w:tcW w:w="936" w:type="dxa"/>
          </w:tcPr>
          <w:p w14:paraId="7D4A7A5D"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p>
        </w:tc>
        <w:tc>
          <w:tcPr>
            <w:tcW w:w="647" w:type="dxa"/>
          </w:tcPr>
          <w:p w14:paraId="2D454AFB" w14:textId="0B085E5B" w:rsidR="00D14F6A" w:rsidRPr="007342D2" w:rsidRDefault="00D14F6A" w:rsidP="00D14F6A">
            <w:pPr>
              <w:pStyle w:val="NoSpacing"/>
              <w:rPr>
                <w:color w:val="0D0D0D" w:themeColor="text1" w:themeTint="F2"/>
              </w:rPr>
            </w:pPr>
            <w:r w:rsidRPr="007342D2">
              <w:rPr>
                <w:color w:val="0D0D0D" w:themeColor="text1" w:themeTint="F2"/>
              </w:rPr>
              <w:t>60%</w:t>
            </w:r>
          </w:p>
        </w:tc>
        <w:tc>
          <w:tcPr>
            <w:tcW w:w="1257" w:type="dxa"/>
            <w:vMerge/>
          </w:tcPr>
          <w:p w14:paraId="565A4923" w14:textId="77777777" w:rsidR="00D14F6A" w:rsidRPr="007342D2" w:rsidRDefault="00D14F6A" w:rsidP="00D14F6A">
            <w:pPr>
              <w:spacing w:after="0" w:line="240" w:lineRule="auto"/>
              <w:rPr>
                <w:rFonts w:ascii="Verdana" w:eastAsia="Verdana" w:hAnsi="Verdana" w:cs="Verdana"/>
                <w:color w:val="0D0D0D" w:themeColor="text1" w:themeTint="F2"/>
                <w:sz w:val="18"/>
                <w:szCs w:val="18"/>
              </w:rPr>
            </w:pPr>
          </w:p>
        </w:tc>
        <w:tc>
          <w:tcPr>
            <w:tcW w:w="2145" w:type="dxa"/>
            <w:vMerge/>
          </w:tcPr>
          <w:p w14:paraId="60B4A844" w14:textId="77777777" w:rsidR="00D14F6A" w:rsidRPr="007342D2" w:rsidRDefault="00D14F6A" w:rsidP="00D14F6A">
            <w:pPr>
              <w:spacing w:after="0" w:line="240" w:lineRule="auto"/>
              <w:rPr>
                <w:rFonts w:ascii="Tahoma" w:eastAsia="Times New Roman" w:hAnsi="Tahoma" w:cs="Tahoma"/>
                <w:b/>
                <w:bCs/>
                <w:color w:val="0D0D0D" w:themeColor="text1" w:themeTint="F2"/>
                <w:kern w:val="0"/>
                <w:sz w:val="16"/>
                <w:szCs w:val="16"/>
                <w14:ligatures w14:val="none"/>
              </w:rPr>
            </w:pPr>
          </w:p>
        </w:tc>
      </w:tr>
      <w:tr w:rsidR="007342D2" w:rsidRPr="007342D2" w14:paraId="0E2AE2A2" w14:textId="77777777" w:rsidTr="00912F36">
        <w:trPr>
          <w:trHeight w:val="278"/>
        </w:trPr>
        <w:tc>
          <w:tcPr>
            <w:tcW w:w="391" w:type="dxa"/>
          </w:tcPr>
          <w:p w14:paraId="20C1B852" w14:textId="77777777" w:rsidR="00912F36" w:rsidRPr="007342D2" w:rsidRDefault="00912F36"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846" w:type="dxa"/>
          </w:tcPr>
          <w:p w14:paraId="42C8F795" w14:textId="24DBB01D" w:rsidR="00912F36" w:rsidRPr="007342D2" w:rsidRDefault="00912F36" w:rsidP="00B203C9">
            <w:pPr>
              <w:spacing w:after="0" w:line="240" w:lineRule="auto"/>
              <w:rPr>
                <w:rFonts w:ascii="Tahoma" w:eastAsia="Times New Roman" w:hAnsi="Tahoma" w:cs="Tahoma"/>
                <w:b/>
                <w:bCs/>
                <w:color w:val="0D0D0D" w:themeColor="text1" w:themeTint="F2"/>
                <w:kern w:val="0"/>
                <w:sz w:val="18"/>
                <w:szCs w:val="18"/>
                <w14:ligatures w14:val="none"/>
              </w:rPr>
            </w:pPr>
            <w:r w:rsidRPr="007342D2">
              <w:rPr>
                <w:rFonts w:ascii="Tahoma" w:eastAsia="Times New Roman" w:hAnsi="Tahoma" w:cs="Tahoma"/>
                <w:b/>
                <w:bCs/>
                <w:color w:val="0D0D0D" w:themeColor="text1" w:themeTint="F2"/>
                <w:kern w:val="0"/>
                <w:sz w:val="18"/>
                <w:szCs w:val="18"/>
                <w14:ligatures w14:val="none"/>
              </w:rPr>
              <w:t>Outcome</w:t>
            </w:r>
          </w:p>
        </w:tc>
        <w:tc>
          <w:tcPr>
            <w:tcW w:w="3118" w:type="dxa"/>
          </w:tcPr>
          <w:p w14:paraId="32CEE825" w14:textId="6DEBFA16" w:rsidR="00912F36" w:rsidRPr="007342D2" w:rsidRDefault="00912F36" w:rsidP="00B203C9">
            <w:pPr>
              <w:spacing w:after="0" w:line="240" w:lineRule="auto"/>
              <w:rPr>
                <w:rFonts w:ascii="Tahoma" w:eastAsia="Times New Roman" w:hAnsi="Tahoma" w:cs="Tahoma"/>
                <w:b/>
                <w:bCs/>
                <w:color w:val="0D0D0D" w:themeColor="text1" w:themeTint="F2"/>
                <w:kern w:val="0"/>
                <w:sz w:val="18"/>
                <w:szCs w:val="18"/>
                <w14:ligatures w14:val="none"/>
              </w:rPr>
            </w:pPr>
            <w:r w:rsidRPr="007342D2">
              <w:rPr>
                <w:rFonts w:ascii="Tahoma" w:eastAsia="Times New Roman" w:hAnsi="Tahoma" w:cs="Tahoma"/>
                <w:b/>
                <w:bCs/>
                <w:color w:val="0D0D0D" w:themeColor="text1" w:themeTint="F2"/>
                <w:kern w:val="0"/>
                <w:sz w:val="18"/>
                <w:szCs w:val="18"/>
                <w14:ligatures w14:val="none"/>
              </w:rPr>
              <w:t>Outcome Indicator</w:t>
            </w:r>
          </w:p>
        </w:tc>
        <w:tc>
          <w:tcPr>
            <w:tcW w:w="936" w:type="dxa"/>
          </w:tcPr>
          <w:p w14:paraId="46ACA530" w14:textId="77777777" w:rsidR="00912F36" w:rsidRPr="007342D2" w:rsidRDefault="00912F36"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647" w:type="dxa"/>
          </w:tcPr>
          <w:p w14:paraId="684A02CB" w14:textId="77777777" w:rsidR="00912F36" w:rsidRPr="007342D2" w:rsidRDefault="00912F36"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1257" w:type="dxa"/>
          </w:tcPr>
          <w:p w14:paraId="7A5A1636" w14:textId="77777777" w:rsidR="00912F36" w:rsidRPr="007342D2" w:rsidRDefault="00912F36" w:rsidP="00B203C9">
            <w:pPr>
              <w:spacing w:after="0" w:line="240" w:lineRule="auto"/>
              <w:rPr>
                <w:rFonts w:ascii="Tahoma" w:eastAsia="Times New Roman" w:hAnsi="Tahoma" w:cs="Tahoma"/>
                <w:color w:val="0D0D0D" w:themeColor="text1" w:themeTint="F2"/>
                <w:kern w:val="0"/>
                <w:sz w:val="16"/>
                <w:szCs w:val="16"/>
                <w14:ligatures w14:val="none"/>
              </w:rPr>
            </w:pPr>
          </w:p>
        </w:tc>
        <w:tc>
          <w:tcPr>
            <w:tcW w:w="2145" w:type="dxa"/>
          </w:tcPr>
          <w:p w14:paraId="6D13081B" w14:textId="77777777" w:rsidR="00912F36" w:rsidRPr="007342D2" w:rsidRDefault="00912F36" w:rsidP="00B203C9">
            <w:pPr>
              <w:spacing w:after="0" w:line="240" w:lineRule="auto"/>
              <w:rPr>
                <w:rFonts w:ascii="Tahoma" w:hAnsi="Tahoma" w:cs="Tahoma"/>
                <w:color w:val="0D0D0D" w:themeColor="text1" w:themeTint="F2"/>
                <w:sz w:val="16"/>
                <w:szCs w:val="16"/>
              </w:rPr>
            </w:pPr>
          </w:p>
        </w:tc>
      </w:tr>
      <w:tr w:rsidR="007342D2" w:rsidRPr="007342D2" w14:paraId="083365A5" w14:textId="77777777" w:rsidTr="00D14F6A">
        <w:trPr>
          <w:trHeight w:val="692"/>
        </w:trPr>
        <w:tc>
          <w:tcPr>
            <w:tcW w:w="391" w:type="dxa"/>
            <w:vMerge w:val="restart"/>
            <w:hideMark/>
          </w:tcPr>
          <w:p w14:paraId="45D74CB1"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w:t>
            </w:r>
          </w:p>
          <w:p w14:paraId="6FA60547"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4F2572F9"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6AB88FCC"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1846" w:type="dxa"/>
            <w:vMerge w:val="restart"/>
            <w:hideMark/>
          </w:tcPr>
          <w:p w14:paraId="4571810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Outcome 1: Increased agricultural production and income of targeted farmers</w:t>
            </w:r>
          </w:p>
        </w:tc>
        <w:tc>
          <w:tcPr>
            <w:tcW w:w="3118" w:type="dxa"/>
            <w:hideMark/>
          </w:tcPr>
          <w:p w14:paraId="2E70471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of HHs have increased annual agricultural income at least 30% (disaggregated by crop/ livestock) compared to baseline</w:t>
            </w:r>
          </w:p>
          <w:p w14:paraId="2464B4EC" w14:textId="77777777" w:rsidR="00D1308F" w:rsidRPr="007342D2" w:rsidRDefault="00D1308F" w:rsidP="00B203C9">
            <w:pPr>
              <w:spacing w:after="0" w:line="240" w:lineRule="auto"/>
              <w:rPr>
                <w:rFonts w:ascii="Tahoma" w:eastAsia="Times New Roman" w:hAnsi="Tahoma" w:cs="Tahoma"/>
                <w:i/>
                <w:iCs/>
                <w:color w:val="0D0D0D" w:themeColor="text1" w:themeTint="F2"/>
                <w:kern w:val="0"/>
                <w:sz w:val="18"/>
                <w:szCs w:val="18"/>
                <w14:ligatures w14:val="none"/>
              </w:rPr>
            </w:pPr>
          </w:p>
        </w:tc>
        <w:tc>
          <w:tcPr>
            <w:tcW w:w="936" w:type="dxa"/>
            <w:hideMark/>
          </w:tcPr>
          <w:p w14:paraId="467D7A9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45%</w:t>
            </w:r>
          </w:p>
        </w:tc>
        <w:tc>
          <w:tcPr>
            <w:tcW w:w="647" w:type="dxa"/>
            <w:hideMark/>
          </w:tcPr>
          <w:p w14:paraId="56D560FA" w14:textId="77777777" w:rsidR="00D1308F" w:rsidRPr="007342D2" w:rsidRDefault="00D1308F" w:rsidP="00B203C9">
            <w:pPr>
              <w:spacing w:after="0" w:line="240" w:lineRule="auto"/>
              <w:jc w:val="center"/>
              <w:rPr>
                <w:rFonts w:ascii="Tahoma" w:eastAsia="Times New Roman" w:hAnsi="Tahoma" w:cs="Tahoma"/>
                <w:strike/>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65%</w:t>
            </w:r>
          </w:p>
        </w:tc>
        <w:tc>
          <w:tcPr>
            <w:tcW w:w="1257" w:type="dxa"/>
            <w:vMerge w:val="restart"/>
            <w:hideMark/>
          </w:tcPr>
          <w:p w14:paraId="52F63A6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6"/>
                <w:szCs w:val="16"/>
                <w14:ligatures w14:val="none"/>
              </w:rPr>
              <w:t>Mix Method, Internal MEL System and External Consultant (e.g. Survey, Case study etc.)</w:t>
            </w:r>
          </w:p>
        </w:tc>
        <w:tc>
          <w:tcPr>
            <w:tcW w:w="2145" w:type="dxa"/>
            <w:vMerge w:val="restart"/>
            <w:hideMark/>
          </w:tcPr>
          <w:p w14:paraId="4B2B4441"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Farmers adopt and sustain improved agricultural practices.</w:t>
            </w:r>
          </w:p>
          <w:p w14:paraId="55E64C5A"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Favorable weather conditions and market prices support income growth.</w:t>
            </w:r>
          </w:p>
          <w:p w14:paraId="7F0BF142"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Inputs (seeds, fertilizers) are accessible and affordable.</w:t>
            </w:r>
            <w:r w:rsidRPr="007342D2">
              <w:rPr>
                <w:rFonts w:ascii="Tahoma" w:eastAsia="Times New Roman" w:hAnsi="Tahoma" w:cs="Tahoma"/>
                <w:color w:val="0D0D0D" w:themeColor="text1" w:themeTint="F2"/>
                <w:kern w:val="0"/>
                <w:sz w:val="16"/>
                <w:szCs w:val="16"/>
                <w14:ligatures w14:val="none"/>
              </w:rPr>
              <w:t> </w:t>
            </w:r>
          </w:p>
        </w:tc>
      </w:tr>
      <w:tr w:rsidR="007342D2" w:rsidRPr="007342D2" w14:paraId="0C0F327D" w14:textId="77777777" w:rsidTr="00D14F6A">
        <w:trPr>
          <w:trHeight w:val="719"/>
        </w:trPr>
        <w:tc>
          <w:tcPr>
            <w:tcW w:w="391" w:type="dxa"/>
            <w:vMerge/>
            <w:hideMark/>
          </w:tcPr>
          <w:p w14:paraId="36CF176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846" w:type="dxa"/>
            <w:vMerge/>
            <w:hideMark/>
          </w:tcPr>
          <w:p w14:paraId="41C08CB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3118" w:type="dxa"/>
            <w:hideMark/>
          </w:tcPr>
          <w:p w14:paraId="12E28C2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of HHs have increased annual agriculture production at least 30% (disaggregated by crop/ livestock) compared to baseline s.</w:t>
            </w:r>
          </w:p>
        </w:tc>
        <w:tc>
          <w:tcPr>
            <w:tcW w:w="936" w:type="dxa"/>
          </w:tcPr>
          <w:p w14:paraId="1827F8A2"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hAnsi="Tahoma" w:cs="Tahoma"/>
                <w:color w:val="0D0D0D" w:themeColor="text1" w:themeTint="F2"/>
                <w:sz w:val="18"/>
                <w:szCs w:val="18"/>
              </w:rPr>
              <w:t>38%</w:t>
            </w:r>
          </w:p>
        </w:tc>
        <w:tc>
          <w:tcPr>
            <w:tcW w:w="647" w:type="dxa"/>
          </w:tcPr>
          <w:p w14:paraId="507A1C5E"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hAnsi="Tahoma" w:cs="Tahoma"/>
                <w:color w:val="0D0D0D" w:themeColor="text1" w:themeTint="F2"/>
                <w:sz w:val="18"/>
                <w:szCs w:val="18"/>
              </w:rPr>
              <w:t>65%</w:t>
            </w:r>
          </w:p>
        </w:tc>
        <w:tc>
          <w:tcPr>
            <w:tcW w:w="1257" w:type="dxa"/>
            <w:vMerge/>
            <w:hideMark/>
          </w:tcPr>
          <w:p w14:paraId="779F20D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2145" w:type="dxa"/>
            <w:vMerge/>
            <w:hideMark/>
          </w:tcPr>
          <w:p w14:paraId="2EBC622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6"/>
                <w:szCs w:val="16"/>
                <w14:ligatures w14:val="none"/>
              </w:rPr>
            </w:pPr>
          </w:p>
        </w:tc>
      </w:tr>
      <w:tr w:rsidR="007342D2" w:rsidRPr="007342D2" w14:paraId="0D29BAC7" w14:textId="77777777" w:rsidTr="00D14F6A">
        <w:trPr>
          <w:trHeight w:val="629"/>
        </w:trPr>
        <w:tc>
          <w:tcPr>
            <w:tcW w:w="391" w:type="dxa"/>
            <w:vMerge w:val="restart"/>
          </w:tcPr>
          <w:p w14:paraId="3E10AC98"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w:t>
            </w:r>
          </w:p>
          <w:p w14:paraId="20BA0C2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1C6FF75A"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1846" w:type="dxa"/>
            <w:vMerge w:val="restart"/>
          </w:tcPr>
          <w:p w14:paraId="0E70F55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Outcome 2: Improved community (especially women and youth) access to business development and support services.</w:t>
            </w:r>
          </w:p>
        </w:tc>
        <w:tc>
          <w:tcPr>
            <w:tcW w:w="3118" w:type="dxa"/>
          </w:tcPr>
          <w:p w14:paraId="1E81B712"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Style w:val="cf01"/>
                <w:i/>
                <w:iCs/>
                <w:color w:val="0D0D0D" w:themeColor="text1" w:themeTint="F2"/>
              </w:rPr>
              <w:t>% of HH with access to credit from MFI or FI</w:t>
            </w:r>
          </w:p>
        </w:tc>
        <w:tc>
          <w:tcPr>
            <w:tcW w:w="936" w:type="dxa"/>
          </w:tcPr>
          <w:p w14:paraId="7158EF8C"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38%</w:t>
            </w:r>
          </w:p>
        </w:tc>
        <w:tc>
          <w:tcPr>
            <w:tcW w:w="647" w:type="dxa"/>
          </w:tcPr>
          <w:p w14:paraId="7BEACF0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60%</w:t>
            </w:r>
          </w:p>
        </w:tc>
        <w:tc>
          <w:tcPr>
            <w:tcW w:w="1257" w:type="dxa"/>
            <w:vMerge w:val="restart"/>
          </w:tcPr>
          <w:p w14:paraId="7A156BC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22D5881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74D2B47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2145" w:type="dxa"/>
            <w:vMerge w:val="restart"/>
          </w:tcPr>
          <w:p w14:paraId="52633351"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Financial institutions continue to offer accessible loans and insurance.</w:t>
            </w:r>
          </w:p>
          <w:p w14:paraId="42B499D8"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Digital platforms remain functional and user-friendly for farmers.</w:t>
            </w:r>
          </w:p>
          <w:p w14:paraId="257ED122"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Local infrastructure (transport, markets) supports business growth.</w:t>
            </w:r>
          </w:p>
        </w:tc>
      </w:tr>
      <w:tr w:rsidR="007342D2" w:rsidRPr="007342D2" w14:paraId="5061185E" w14:textId="77777777" w:rsidTr="00D14F6A">
        <w:trPr>
          <w:trHeight w:val="1052"/>
        </w:trPr>
        <w:tc>
          <w:tcPr>
            <w:tcW w:w="391" w:type="dxa"/>
            <w:vMerge/>
          </w:tcPr>
          <w:p w14:paraId="14EF2B5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846" w:type="dxa"/>
            <w:vMerge/>
          </w:tcPr>
          <w:p w14:paraId="365DF07C"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8"/>
                <w:szCs w:val="18"/>
                <w14:ligatures w14:val="none"/>
              </w:rPr>
            </w:pPr>
          </w:p>
        </w:tc>
        <w:tc>
          <w:tcPr>
            <w:tcW w:w="3118" w:type="dxa"/>
          </w:tcPr>
          <w:p w14:paraId="4CDF9D0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increase in youth, women and PWD who report making business decisions independently or jointly with others.</w:t>
            </w:r>
          </w:p>
        </w:tc>
        <w:tc>
          <w:tcPr>
            <w:tcW w:w="936" w:type="dxa"/>
          </w:tcPr>
          <w:p w14:paraId="39975F5F"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647" w:type="dxa"/>
          </w:tcPr>
          <w:p w14:paraId="7F328CD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w:t>
            </w:r>
          </w:p>
        </w:tc>
        <w:tc>
          <w:tcPr>
            <w:tcW w:w="1257" w:type="dxa"/>
            <w:vMerge/>
          </w:tcPr>
          <w:p w14:paraId="5151D8F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2145" w:type="dxa"/>
            <w:vMerge/>
          </w:tcPr>
          <w:p w14:paraId="4BFD52D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08DA3234" w14:textId="77777777" w:rsidTr="00D14F6A">
        <w:trPr>
          <w:trHeight w:val="188"/>
        </w:trPr>
        <w:tc>
          <w:tcPr>
            <w:tcW w:w="391" w:type="dxa"/>
            <w:vMerge w:val="restart"/>
          </w:tcPr>
          <w:p w14:paraId="37F0A27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w:t>
            </w:r>
          </w:p>
        </w:tc>
        <w:tc>
          <w:tcPr>
            <w:tcW w:w="1846" w:type="dxa"/>
            <w:vMerge w:val="restart"/>
          </w:tcPr>
          <w:p w14:paraId="2594B027"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Outcome 3: Improved inclusion, equity and rights of children, women, people with disability and youth.</w:t>
            </w:r>
          </w:p>
        </w:tc>
        <w:tc>
          <w:tcPr>
            <w:tcW w:w="3118" w:type="dxa"/>
          </w:tcPr>
          <w:p w14:paraId="54369F9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of  youth, women, children and PwD felt respected and protected from harms in the community</w:t>
            </w:r>
          </w:p>
          <w:p w14:paraId="4E95FC8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936" w:type="dxa"/>
          </w:tcPr>
          <w:p w14:paraId="6B05FDF1"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40%</w:t>
            </w:r>
          </w:p>
        </w:tc>
        <w:tc>
          <w:tcPr>
            <w:tcW w:w="647" w:type="dxa"/>
          </w:tcPr>
          <w:p w14:paraId="5FEBEF2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80%</w:t>
            </w:r>
          </w:p>
        </w:tc>
        <w:tc>
          <w:tcPr>
            <w:tcW w:w="1257" w:type="dxa"/>
            <w:vMerge w:val="restart"/>
          </w:tcPr>
          <w:p w14:paraId="7942748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057D0BD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293C75A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2145" w:type="dxa"/>
            <w:vMerge w:val="restart"/>
          </w:tcPr>
          <w:p w14:paraId="0F7A37C6"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Community leaders and institutions actively promote gender and disability inclusion.</w:t>
            </w:r>
          </w:p>
          <w:p w14:paraId="5EBA71EE"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Cultural norms do not hinder participation of marginalized groups.</w:t>
            </w:r>
          </w:p>
          <w:p w14:paraId="31B1B0D9"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Government policies support rights-based initiatives.</w:t>
            </w:r>
          </w:p>
        </w:tc>
      </w:tr>
      <w:tr w:rsidR="007342D2" w:rsidRPr="007342D2" w14:paraId="359E436C" w14:textId="77777777" w:rsidTr="00D14F6A">
        <w:trPr>
          <w:trHeight w:val="728"/>
        </w:trPr>
        <w:tc>
          <w:tcPr>
            <w:tcW w:w="391" w:type="dxa"/>
            <w:vMerge/>
            <w:vAlign w:val="center"/>
          </w:tcPr>
          <w:p w14:paraId="35C49F4D"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846" w:type="dxa"/>
            <w:vMerge/>
            <w:vAlign w:val="center"/>
          </w:tcPr>
          <w:p w14:paraId="53201F78"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8"/>
                <w:szCs w:val="18"/>
                <w14:ligatures w14:val="none"/>
              </w:rPr>
            </w:pPr>
          </w:p>
        </w:tc>
        <w:tc>
          <w:tcPr>
            <w:tcW w:w="3118" w:type="dxa"/>
          </w:tcPr>
          <w:p w14:paraId="126417E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increase in women, youth and PwD holding leadership positions in community structures and business grs</w:t>
            </w:r>
          </w:p>
        </w:tc>
        <w:tc>
          <w:tcPr>
            <w:tcW w:w="936" w:type="dxa"/>
            <w:vAlign w:val="bottom"/>
          </w:tcPr>
          <w:p w14:paraId="24F60CE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647" w:type="dxa"/>
          </w:tcPr>
          <w:p w14:paraId="0E59C9C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60%</w:t>
            </w:r>
          </w:p>
        </w:tc>
        <w:tc>
          <w:tcPr>
            <w:tcW w:w="1257" w:type="dxa"/>
            <w:vMerge/>
          </w:tcPr>
          <w:p w14:paraId="259F3C5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2145" w:type="dxa"/>
            <w:vMerge/>
          </w:tcPr>
          <w:p w14:paraId="68DB06B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B43E20A" w14:textId="77777777" w:rsidTr="00D14F6A">
        <w:trPr>
          <w:cantSplit/>
          <w:trHeight w:val="728"/>
        </w:trPr>
        <w:tc>
          <w:tcPr>
            <w:tcW w:w="391" w:type="dxa"/>
            <w:vMerge w:val="restart"/>
          </w:tcPr>
          <w:p w14:paraId="138D5A0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w:t>
            </w:r>
          </w:p>
          <w:p w14:paraId="30C2B50D"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1846" w:type="dxa"/>
            <w:vMerge w:val="restart"/>
          </w:tcPr>
          <w:p w14:paraId="38A881A6"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Outcome 4: Improved community resilience to climate change and disaster</w:t>
            </w:r>
            <w:r w:rsidRPr="007342D2">
              <w:rPr>
                <w:rFonts w:ascii="Tahoma" w:eastAsia="Times New Roman" w:hAnsi="Tahoma" w:cs="Tahoma"/>
                <w:b/>
                <w:bCs/>
                <w:color w:val="0D0D0D" w:themeColor="text1" w:themeTint="F2"/>
                <w:kern w:val="0"/>
                <w:sz w:val="18"/>
                <w:szCs w:val="18"/>
                <w14:ligatures w14:val="none"/>
              </w:rPr>
              <w:t xml:space="preserve"> </w:t>
            </w:r>
          </w:p>
        </w:tc>
        <w:tc>
          <w:tcPr>
            <w:tcW w:w="3118" w:type="dxa"/>
          </w:tcPr>
          <w:p w14:paraId="3382938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of HHs adopted minimum 3 climate change adaptation and disaster risk reduction practices</w:t>
            </w:r>
          </w:p>
        </w:tc>
        <w:tc>
          <w:tcPr>
            <w:tcW w:w="936" w:type="dxa"/>
          </w:tcPr>
          <w:p w14:paraId="33633E52"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647" w:type="dxa"/>
          </w:tcPr>
          <w:p w14:paraId="015AAF2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60%</w:t>
            </w:r>
          </w:p>
        </w:tc>
        <w:tc>
          <w:tcPr>
            <w:tcW w:w="1257" w:type="dxa"/>
            <w:vMerge w:val="restart"/>
          </w:tcPr>
          <w:p w14:paraId="0EFF0D9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69B93531"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2145" w:type="dxa"/>
            <w:vMerge w:val="restart"/>
          </w:tcPr>
          <w:p w14:paraId="013A8E41"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Local governments integrate DRR and climate adaptation plans into policies.</w:t>
            </w:r>
          </w:p>
          <w:p w14:paraId="3E700F8E"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Communities maintain and replicate youth-led eco-initiatives.</w:t>
            </w:r>
          </w:p>
          <w:p w14:paraId="6C11A06A"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Climate-related shocks (e.g., floods) do not exceed adaptive capacities.</w:t>
            </w:r>
          </w:p>
        </w:tc>
      </w:tr>
      <w:tr w:rsidR="00D1308F" w:rsidRPr="007342D2" w14:paraId="684BF96B" w14:textId="77777777" w:rsidTr="00D14F6A">
        <w:trPr>
          <w:trHeight w:val="917"/>
        </w:trPr>
        <w:tc>
          <w:tcPr>
            <w:tcW w:w="391" w:type="dxa"/>
            <w:vMerge/>
          </w:tcPr>
          <w:p w14:paraId="76438A3F"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846" w:type="dxa"/>
            <w:vMerge/>
          </w:tcPr>
          <w:p w14:paraId="181B9364"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8"/>
                <w:szCs w:val="18"/>
                <w14:ligatures w14:val="none"/>
              </w:rPr>
            </w:pPr>
          </w:p>
        </w:tc>
        <w:tc>
          <w:tcPr>
            <w:tcW w:w="3118" w:type="dxa"/>
          </w:tcPr>
          <w:p w14:paraId="74F22A9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of women and PwD with access to early warning system.</w:t>
            </w:r>
          </w:p>
        </w:tc>
        <w:tc>
          <w:tcPr>
            <w:tcW w:w="936" w:type="dxa"/>
          </w:tcPr>
          <w:p w14:paraId="09588C5F"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647" w:type="dxa"/>
          </w:tcPr>
          <w:p w14:paraId="250DBDE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80%</w:t>
            </w:r>
          </w:p>
        </w:tc>
        <w:tc>
          <w:tcPr>
            <w:tcW w:w="1257" w:type="dxa"/>
            <w:vMerge/>
          </w:tcPr>
          <w:p w14:paraId="1B3B12E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2145" w:type="dxa"/>
            <w:vMerge/>
          </w:tcPr>
          <w:p w14:paraId="4450BC1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bl>
    <w:p w14:paraId="45AC79E1" w14:textId="77777777" w:rsidR="00D1308F" w:rsidRPr="007342D2" w:rsidRDefault="00D1308F" w:rsidP="00D1308F">
      <w:pPr>
        <w:spacing w:after="0" w:line="240" w:lineRule="auto"/>
        <w:rPr>
          <w:color w:val="0D0D0D" w:themeColor="text1" w:themeTint="F2"/>
          <w:sz w:val="12"/>
          <w:szCs w:val="12"/>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77"/>
        <w:gridCol w:w="1676"/>
        <w:gridCol w:w="1573"/>
        <w:gridCol w:w="908"/>
        <w:gridCol w:w="954"/>
        <w:gridCol w:w="437"/>
        <w:gridCol w:w="1661"/>
        <w:gridCol w:w="1016"/>
        <w:gridCol w:w="1738"/>
      </w:tblGrid>
      <w:tr w:rsidR="007342D2" w:rsidRPr="007342D2" w14:paraId="172ED1B3" w14:textId="77777777" w:rsidTr="00B203C9">
        <w:trPr>
          <w:trHeight w:val="188"/>
          <w:tblHeader/>
        </w:trPr>
        <w:tc>
          <w:tcPr>
            <w:tcW w:w="362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CC77D2"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lastRenderedPageBreak/>
              <w:t>Output</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31D66EA" w14:textId="77777777" w:rsidR="00D1308F" w:rsidRPr="007342D2" w:rsidRDefault="00D1308F" w:rsidP="00B203C9">
            <w:pPr>
              <w:spacing w:after="0" w:line="240" w:lineRule="auto"/>
              <w:jc w:val="center"/>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Baseline/</w:t>
            </w:r>
          </w:p>
          <w:p w14:paraId="0A01FE9F" w14:textId="77777777" w:rsidR="00D1308F" w:rsidRPr="007342D2" w:rsidRDefault="00D1308F" w:rsidP="00B203C9">
            <w:pPr>
              <w:spacing w:after="0" w:line="240" w:lineRule="auto"/>
              <w:jc w:val="center"/>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Phase-1 Endline Evaluation</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91C48D" w14:textId="77777777" w:rsidR="00D1308F" w:rsidRPr="007342D2" w:rsidRDefault="00D1308F" w:rsidP="00B203C9">
            <w:pPr>
              <w:spacing w:after="0" w:line="240" w:lineRule="auto"/>
              <w:jc w:val="center"/>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Target</w:t>
            </w:r>
          </w:p>
        </w:tc>
        <w:tc>
          <w:tcPr>
            <w:tcW w:w="209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2DFDD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Intervention</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6FBF73"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Source &amp; Means of Verification</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108E45"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r w:rsidRPr="007342D2">
              <w:rPr>
                <w:rFonts w:ascii="Tahoma" w:eastAsia="Times New Roman" w:hAnsi="Tahoma" w:cs="Tahoma"/>
                <w:b/>
                <w:bCs/>
                <w:color w:val="0D0D0D" w:themeColor="text1" w:themeTint="F2"/>
                <w:kern w:val="0"/>
                <w:sz w:val="16"/>
                <w:szCs w:val="16"/>
                <w14:ligatures w14:val="none"/>
              </w:rPr>
              <w:t>Output Assumption</w:t>
            </w:r>
          </w:p>
        </w:tc>
      </w:tr>
      <w:tr w:rsidR="007342D2" w:rsidRPr="007342D2" w14:paraId="0F0AD504" w14:textId="77777777" w:rsidTr="00B203C9">
        <w:trPr>
          <w:trHeight w:val="188"/>
          <w:tblHeader/>
        </w:trPr>
        <w:tc>
          <w:tcPr>
            <w:tcW w:w="37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2F716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w:t>
            </w:r>
          </w:p>
        </w:tc>
        <w:tc>
          <w:tcPr>
            <w:tcW w:w="16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1E712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Output</w:t>
            </w:r>
          </w:p>
        </w:tc>
        <w:tc>
          <w:tcPr>
            <w:tcW w:w="157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FE7E55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Output Indicator</w:t>
            </w:r>
          </w:p>
        </w:tc>
        <w:tc>
          <w:tcPr>
            <w:tcW w:w="90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573F2F" w14:textId="77777777" w:rsidR="00D1308F" w:rsidRPr="007342D2" w:rsidRDefault="00D1308F" w:rsidP="00B203C9">
            <w:pPr>
              <w:spacing w:after="0" w:line="240" w:lineRule="auto"/>
              <w:jc w:val="center"/>
              <w:rPr>
                <w:rFonts w:ascii="Tahoma" w:eastAsia="Times New Roman" w:hAnsi="Tahoma" w:cs="Tahoma"/>
                <w:b/>
                <w:bCs/>
                <w:color w:val="0D0D0D" w:themeColor="text1" w:themeTint="F2"/>
                <w:kern w:val="0"/>
                <w:sz w:val="16"/>
                <w:szCs w:val="16"/>
                <w14:ligatures w14:val="none"/>
              </w:rPr>
            </w:pPr>
          </w:p>
        </w:tc>
        <w:tc>
          <w:tcPr>
            <w:tcW w:w="954"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41FC79D" w14:textId="77777777" w:rsidR="00D1308F" w:rsidRPr="007342D2" w:rsidRDefault="00D1308F" w:rsidP="00B203C9">
            <w:pPr>
              <w:spacing w:after="0" w:line="240" w:lineRule="auto"/>
              <w:jc w:val="center"/>
              <w:rPr>
                <w:rFonts w:ascii="Tahoma" w:eastAsia="Times New Roman" w:hAnsi="Tahoma" w:cs="Tahoma"/>
                <w:b/>
                <w:bCs/>
                <w:color w:val="0D0D0D" w:themeColor="text1" w:themeTint="F2"/>
                <w:kern w:val="0"/>
                <w:sz w:val="16"/>
                <w:szCs w:val="16"/>
                <w14:ligatures w14:val="none"/>
              </w:rPr>
            </w:pPr>
          </w:p>
        </w:tc>
        <w:tc>
          <w:tcPr>
            <w:tcW w:w="43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239AE3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w:t>
            </w:r>
          </w:p>
        </w:tc>
        <w:tc>
          <w:tcPr>
            <w:tcW w:w="166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tcPr>
          <w:p w14:paraId="69DC9E0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Head</w:t>
            </w:r>
          </w:p>
        </w:tc>
        <w:tc>
          <w:tcPr>
            <w:tcW w:w="1016"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A7B25C"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p>
        </w:tc>
        <w:tc>
          <w:tcPr>
            <w:tcW w:w="173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F724D42" w14:textId="77777777" w:rsidR="00D1308F" w:rsidRPr="007342D2" w:rsidRDefault="00D1308F" w:rsidP="00B203C9">
            <w:pPr>
              <w:spacing w:after="0" w:line="240" w:lineRule="auto"/>
              <w:rPr>
                <w:rFonts w:ascii="Tahoma" w:eastAsia="Times New Roman" w:hAnsi="Tahoma" w:cs="Tahoma"/>
                <w:b/>
                <w:bCs/>
                <w:color w:val="0D0D0D" w:themeColor="text1" w:themeTint="F2"/>
                <w:kern w:val="0"/>
                <w:sz w:val="16"/>
                <w:szCs w:val="16"/>
                <w14:ligatures w14:val="none"/>
              </w:rPr>
            </w:pPr>
          </w:p>
        </w:tc>
      </w:tr>
      <w:tr w:rsidR="007342D2" w:rsidRPr="007342D2" w14:paraId="4B00AE31" w14:textId="77777777" w:rsidTr="00B203C9">
        <w:trPr>
          <w:trHeight w:val="494"/>
        </w:trPr>
        <w:tc>
          <w:tcPr>
            <w:tcW w:w="377" w:type="dxa"/>
            <w:vMerge w:val="restart"/>
            <w:tcBorders>
              <w:top w:val="single" w:sz="4" w:space="0" w:color="auto"/>
            </w:tcBorders>
            <w:hideMark/>
          </w:tcPr>
          <w:p w14:paraId="2D9AADA1"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1.1</w:t>
            </w:r>
          </w:p>
          <w:p w14:paraId="2203D5A7"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1676" w:type="dxa"/>
            <w:vMerge w:val="restart"/>
            <w:tcBorders>
              <w:top w:val="single" w:sz="4" w:space="0" w:color="auto"/>
            </w:tcBorders>
            <w:hideMark/>
          </w:tcPr>
          <w:p w14:paraId="08282B2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Farmers are trained and supported of agricultural practices</w:t>
            </w:r>
          </w:p>
        </w:tc>
        <w:tc>
          <w:tcPr>
            <w:tcW w:w="1573" w:type="dxa"/>
            <w:tcBorders>
              <w:top w:val="single" w:sz="4" w:space="0" w:color="auto"/>
            </w:tcBorders>
            <w:hideMark/>
          </w:tcPr>
          <w:p w14:paraId="080D5071"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farmers trained on agriculture practices (crop and livestock)</w:t>
            </w:r>
          </w:p>
        </w:tc>
        <w:tc>
          <w:tcPr>
            <w:tcW w:w="908" w:type="dxa"/>
            <w:tcBorders>
              <w:top w:val="single" w:sz="4" w:space="0" w:color="auto"/>
            </w:tcBorders>
            <w:hideMark/>
          </w:tcPr>
          <w:p w14:paraId="01D3B28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2,670 </w:t>
            </w:r>
          </w:p>
        </w:tc>
        <w:tc>
          <w:tcPr>
            <w:tcW w:w="954" w:type="dxa"/>
            <w:tcBorders>
              <w:top w:val="single" w:sz="4" w:space="0" w:color="auto"/>
            </w:tcBorders>
            <w:hideMark/>
          </w:tcPr>
          <w:p w14:paraId="3174B6B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highlight w:val="yellow"/>
                <w14:ligatures w14:val="none"/>
              </w:rPr>
              <w:t>5,000</w:t>
            </w:r>
            <w:r w:rsidRPr="007342D2">
              <w:rPr>
                <w:rFonts w:ascii="Tahoma" w:eastAsia="Times New Roman" w:hAnsi="Tahoma" w:cs="Tahoma"/>
                <w:color w:val="0D0D0D" w:themeColor="text1" w:themeTint="F2"/>
                <w:kern w:val="0"/>
                <w:sz w:val="18"/>
                <w:szCs w:val="18"/>
                <w14:ligatures w14:val="none"/>
              </w:rPr>
              <w:t xml:space="preserve"> </w:t>
            </w:r>
          </w:p>
        </w:tc>
        <w:tc>
          <w:tcPr>
            <w:tcW w:w="437" w:type="dxa"/>
            <w:tcBorders>
              <w:top w:val="single" w:sz="4" w:space="0" w:color="auto"/>
            </w:tcBorders>
            <w:shd w:val="clear" w:color="auto" w:fill="FFFF99"/>
            <w:hideMark/>
          </w:tcPr>
          <w:p w14:paraId="659263DF"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xml:space="preserve">1.1.1 </w:t>
            </w:r>
          </w:p>
          <w:p w14:paraId="3C0E473E"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w:t>
            </w:r>
          </w:p>
        </w:tc>
        <w:tc>
          <w:tcPr>
            <w:tcW w:w="1661" w:type="dxa"/>
            <w:tcBorders>
              <w:top w:val="single" w:sz="4" w:space="0" w:color="auto"/>
            </w:tcBorders>
            <w:shd w:val="clear" w:color="auto" w:fill="FFFF99"/>
            <w:noWrap/>
            <w:hideMark/>
          </w:tcPr>
          <w:p w14:paraId="0ACFD83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Productive Capacity Building</w:t>
            </w:r>
          </w:p>
          <w:p w14:paraId="62A65C6B"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tc>
        <w:tc>
          <w:tcPr>
            <w:tcW w:w="1016" w:type="dxa"/>
            <w:vMerge w:val="restart"/>
            <w:tcBorders>
              <w:top w:val="single" w:sz="4" w:space="0" w:color="auto"/>
            </w:tcBorders>
            <w:hideMark/>
          </w:tcPr>
          <w:p w14:paraId="233455A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Mix method internal MEL system e.g. case studies, survey, FGD, quarterly and annual report, online dashboard.</w:t>
            </w:r>
          </w:p>
        </w:tc>
        <w:tc>
          <w:tcPr>
            <w:tcW w:w="1738" w:type="dxa"/>
            <w:vMerge w:val="restart"/>
            <w:tcBorders>
              <w:top w:val="single" w:sz="4" w:space="0" w:color="auto"/>
            </w:tcBorders>
            <w:hideMark/>
          </w:tcPr>
          <w:p w14:paraId="29C7C1C3"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Training participants apply learned techniques effectively.</w:t>
            </w:r>
          </w:p>
          <w:p w14:paraId="6F612F9A"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Demonstration farms are accessible and well-maintained.</w:t>
            </w:r>
          </w:p>
          <w:p w14:paraId="7E6C1802"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Extension services provide ongoing support to farmers.</w:t>
            </w:r>
          </w:p>
          <w:p w14:paraId="13E208A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p w14:paraId="6173A9B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p w14:paraId="2D43B025"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p w14:paraId="18C95848"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p w14:paraId="7F4C77A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p w14:paraId="33973608"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w:t>
            </w:r>
          </w:p>
        </w:tc>
      </w:tr>
      <w:tr w:rsidR="007342D2" w:rsidRPr="007342D2" w14:paraId="094F22C1" w14:textId="77777777" w:rsidTr="00B203C9">
        <w:trPr>
          <w:trHeight w:val="251"/>
        </w:trPr>
        <w:tc>
          <w:tcPr>
            <w:tcW w:w="377" w:type="dxa"/>
            <w:vMerge/>
            <w:hideMark/>
          </w:tcPr>
          <w:p w14:paraId="74276D1B"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hideMark/>
          </w:tcPr>
          <w:p w14:paraId="2791A6D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19B932B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farmers got support</w:t>
            </w:r>
          </w:p>
        </w:tc>
        <w:tc>
          <w:tcPr>
            <w:tcW w:w="908" w:type="dxa"/>
            <w:hideMark/>
          </w:tcPr>
          <w:p w14:paraId="70DC207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1400</w:t>
            </w:r>
          </w:p>
        </w:tc>
        <w:tc>
          <w:tcPr>
            <w:tcW w:w="954" w:type="dxa"/>
            <w:hideMark/>
          </w:tcPr>
          <w:p w14:paraId="47D6BB6A"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1500</w:t>
            </w:r>
          </w:p>
        </w:tc>
        <w:tc>
          <w:tcPr>
            <w:tcW w:w="437" w:type="dxa"/>
            <w:shd w:val="clear" w:color="auto" w:fill="FFFF99"/>
            <w:hideMark/>
          </w:tcPr>
          <w:p w14:paraId="13E0BC49"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1.1.2</w:t>
            </w:r>
          </w:p>
        </w:tc>
        <w:tc>
          <w:tcPr>
            <w:tcW w:w="1661" w:type="dxa"/>
            <w:shd w:val="clear" w:color="auto" w:fill="FFFF99"/>
            <w:noWrap/>
            <w:hideMark/>
          </w:tcPr>
          <w:p w14:paraId="2FA3E9C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Targeted support</w:t>
            </w:r>
          </w:p>
        </w:tc>
        <w:tc>
          <w:tcPr>
            <w:tcW w:w="1016" w:type="dxa"/>
            <w:vMerge/>
            <w:hideMark/>
          </w:tcPr>
          <w:p w14:paraId="3E4C460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0F27EA2B"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A8D9C30" w14:textId="77777777" w:rsidTr="00B203C9">
        <w:trPr>
          <w:trHeight w:val="503"/>
        </w:trPr>
        <w:tc>
          <w:tcPr>
            <w:tcW w:w="377" w:type="dxa"/>
            <w:vMerge w:val="restart"/>
            <w:hideMark/>
          </w:tcPr>
          <w:p w14:paraId="3BF50341"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1.2</w:t>
            </w:r>
          </w:p>
        </w:tc>
        <w:tc>
          <w:tcPr>
            <w:tcW w:w="1676" w:type="dxa"/>
            <w:vMerge w:val="restart"/>
            <w:hideMark/>
          </w:tcPr>
          <w:p w14:paraId="418AB6D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Community people are trained and support to diversify agricultural income</w:t>
            </w:r>
          </w:p>
        </w:tc>
        <w:tc>
          <w:tcPr>
            <w:tcW w:w="1573" w:type="dxa"/>
            <w:hideMark/>
          </w:tcPr>
          <w:p w14:paraId="01955B5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farmers trained and supported on diversified production</w:t>
            </w:r>
          </w:p>
        </w:tc>
        <w:tc>
          <w:tcPr>
            <w:tcW w:w="908" w:type="dxa"/>
            <w:hideMark/>
          </w:tcPr>
          <w:p w14:paraId="59DD7DB4"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212C5A94"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3,600</w:t>
            </w:r>
          </w:p>
        </w:tc>
        <w:tc>
          <w:tcPr>
            <w:tcW w:w="437" w:type="dxa"/>
            <w:shd w:val="clear" w:color="auto" w:fill="FFFF99"/>
            <w:hideMark/>
          </w:tcPr>
          <w:p w14:paraId="3D9BAC31"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1.2.1</w:t>
            </w:r>
          </w:p>
        </w:tc>
        <w:tc>
          <w:tcPr>
            <w:tcW w:w="1661" w:type="dxa"/>
            <w:shd w:val="clear" w:color="auto" w:fill="FFFF99"/>
            <w:hideMark/>
          </w:tcPr>
          <w:p w14:paraId="1829B822"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Targeted support on diversified agricultural practices</w:t>
            </w:r>
          </w:p>
        </w:tc>
        <w:tc>
          <w:tcPr>
            <w:tcW w:w="1016" w:type="dxa"/>
            <w:vMerge/>
            <w:hideMark/>
          </w:tcPr>
          <w:p w14:paraId="1389AC2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239DDF56"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5808DAC" w14:textId="77777777" w:rsidTr="00B203C9">
        <w:trPr>
          <w:trHeight w:val="467"/>
        </w:trPr>
        <w:tc>
          <w:tcPr>
            <w:tcW w:w="377" w:type="dxa"/>
            <w:vMerge/>
            <w:vAlign w:val="center"/>
            <w:hideMark/>
          </w:tcPr>
          <w:p w14:paraId="25ADD54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18DABCD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1A8A32C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demo farmers trained on compost production</w:t>
            </w:r>
          </w:p>
        </w:tc>
        <w:tc>
          <w:tcPr>
            <w:tcW w:w="908" w:type="dxa"/>
            <w:hideMark/>
          </w:tcPr>
          <w:p w14:paraId="42CA02FC"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225</w:t>
            </w:r>
          </w:p>
        </w:tc>
        <w:tc>
          <w:tcPr>
            <w:tcW w:w="954" w:type="dxa"/>
            <w:hideMark/>
          </w:tcPr>
          <w:p w14:paraId="5AE1547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100</w:t>
            </w:r>
          </w:p>
        </w:tc>
        <w:tc>
          <w:tcPr>
            <w:tcW w:w="437" w:type="dxa"/>
            <w:shd w:val="clear" w:color="auto" w:fill="FFFF99"/>
            <w:hideMark/>
          </w:tcPr>
          <w:p w14:paraId="117227AF"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1.2.2</w:t>
            </w:r>
          </w:p>
          <w:p w14:paraId="63691EDE"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w:t>
            </w:r>
          </w:p>
          <w:p w14:paraId="52D210A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w:t>
            </w:r>
          </w:p>
        </w:tc>
        <w:tc>
          <w:tcPr>
            <w:tcW w:w="1661" w:type="dxa"/>
            <w:shd w:val="clear" w:color="auto" w:fill="FFFF99"/>
            <w:hideMark/>
          </w:tcPr>
          <w:p w14:paraId="5FD4AC21"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Capacity building and targeted support</w:t>
            </w:r>
          </w:p>
        </w:tc>
        <w:tc>
          <w:tcPr>
            <w:tcW w:w="1016" w:type="dxa"/>
            <w:vMerge/>
            <w:hideMark/>
          </w:tcPr>
          <w:p w14:paraId="7CDC5E4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2D1ABAE4"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3E1CB1D" w14:textId="77777777" w:rsidTr="00B203C9">
        <w:trPr>
          <w:trHeight w:val="422"/>
        </w:trPr>
        <w:tc>
          <w:tcPr>
            <w:tcW w:w="377" w:type="dxa"/>
            <w:vMerge/>
          </w:tcPr>
          <w:p w14:paraId="5FC7FF4F"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Pr>
          <w:p w14:paraId="169A756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tcPr>
          <w:p w14:paraId="3E96EC5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demons-tration conducted with farmers</w:t>
            </w:r>
          </w:p>
        </w:tc>
        <w:tc>
          <w:tcPr>
            <w:tcW w:w="908" w:type="dxa"/>
          </w:tcPr>
          <w:p w14:paraId="3EF5FCCE"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225</w:t>
            </w:r>
          </w:p>
        </w:tc>
        <w:tc>
          <w:tcPr>
            <w:tcW w:w="954" w:type="dxa"/>
          </w:tcPr>
          <w:p w14:paraId="7DF048F1"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100</w:t>
            </w:r>
          </w:p>
        </w:tc>
        <w:tc>
          <w:tcPr>
            <w:tcW w:w="437" w:type="dxa"/>
            <w:vMerge w:val="restart"/>
            <w:shd w:val="clear" w:color="auto" w:fill="FFFF99"/>
          </w:tcPr>
          <w:p w14:paraId="062B4B27"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1.2.3</w:t>
            </w:r>
          </w:p>
        </w:tc>
        <w:tc>
          <w:tcPr>
            <w:tcW w:w="1661" w:type="dxa"/>
            <w:vMerge w:val="restart"/>
            <w:shd w:val="clear" w:color="auto" w:fill="FFFF99"/>
          </w:tcPr>
          <w:p w14:paraId="45EEC58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Value chain mapping and assessment</w:t>
            </w:r>
          </w:p>
        </w:tc>
        <w:tc>
          <w:tcPr>
            <w:tcW w:w="1016" w:type="dxa"/>
            <w:vMerge/>
          </w:tcPr>
          <w:p w14:paraId="741D766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295458D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35B43ADC" w14:textId="77777777" w:rsidTr="00B203C9">
        <w:trPr>
          <w:trHeight w:val="1088"/>
        </w:trPr>
        <w:tc>
          <w:tcPr>
            <w:tcW w:w="377" w:type="dxa"/>
            <w:vMerge/>
            <w:tcBorders>
              <w:bottom w:val="single" w:sz="4" w:space="0" w:color="auto"/>
            </w:tcBorders>
          </w:tcPr>
          <w:p w14:paraId="2839CD3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Borders>
              <w:bottom w:val="single" w:sz="4" w:space="0" w:color="auto"/>
            </w:tcBorders>
          </w:tcPr>
          <w:p w14:paraId="4C81600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tcBorders>
              <w:bottom w:val="single" w:sz="4" w:space="0" w:color="auto"/>
            </w:tcBorders>
          </w:tcPr>
          <w:p w14:paraId="1A4D281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assessment conducted to identify potential value chain in on-farm and off-farm</w:t>
            </w:r>
          </w:p>
        </w:tc>
        <w:tc>
          <w:tcPr>
            <w:tcW w:w="908" w:type="dxa"/>
            <w:tcBorders>
              <w:bottom w:val="single" w:sz="4" w:space="0" w:color="auto"/>
            </w:tcBorders>
          </w:tcPr>
          <w:p w14:paraId="1D06A08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tcBorders>
              <w:bottom w:val="single" w:sz="4" w:space="0" w:color="auto"/>
            </w:tcBorders>
          </w:tcPr>
          <w:p w14:paraId="2249A6DA"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w:t>
            </w:r>
          </w:p>
        </w:tc>
        <w:tc>
          <w:tcPr>
            <w:tcW w:w="437" w:type="dxa"/>
            <w:vMerge/>
            <w:tcBorders>
              <w:bottom w:val="single" w:sz="4" w:space="0" w:color="auto"/>
            </w:tcBorders>
            <w:shd w:val="clear" w:color="auto" w:fill="FFFF99"/>
          </w:tcPr>
          <w:p w14:paraId="7E92AF11"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tcBorders>
              <w:bottom w:val="single" w:sz="4" w:space="0" w:color="auto"/>
            </w:tcBorders>
            <w:shd w:val="clear" w:color="auto" w:fill="FFFF99"/>
          </w:tcPr>
          <w:p w14:paraId="5C531004"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tcBorders>
              <w:bottom w:val="single" w:sz="4" w:space="0" w:color="auto"/>
            </w:tcBorders>
          </w:tcPr>
          <w:p w14:paraId="799A589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Borders>
              <w:bottom w:val="single" w:sz="4" w:space="0" w:color="auto"/>
            </w:tcBorders>
          </w:tcPr>
          <w:p w14:paraId="3144C131"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1C6AA032" w14:textId="77777777" w:rsidTr="00B203C9">
        <w:trPr>
          <w:trHeight w:val="485"/>
        </w:trPr>
        <w:tc>
          <w:tcPr>
            <w:tcW w:w="377" w:type="dxa"/>
            <w:tcBorders>
              <w:bottom w:val="single" w:sz="4" w:space="0" w:color="auto"/>
            </w:tcBorders>
            <w:hideMark/>
          </w:tcPr>
          <w:p w14:paraId="5E42DD6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2.1</w:t>
            </w:r>
          </w:p>
        </w:tc>
        <w:tc>
          <w:tcPr>
            <w:tcW w:w="1676" w:type="dxa"/>
            <w:tcBorders>
              <w:bottom w:val="single" w:sz="4" w:space="0" w:color="auto"/>
            </w:tcBorders>
            <w:hideMark/>
          </w:tcPr>
          <w:p w14:paraId="46342C81"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Community members linked to financial services</w:t>
            </w:r>
          </w:p>
        </w:tc>
        <w:tc>
          <w:tcPr>
            <w:tcW w:w="1573" w:type="dxa"/>
            <w:tcBorders>
              <w:bottom w:val="single" w:sz="4" w:space="0" w:color="auto"/>
            </w:tcBorders>
            <w:hideMark/>
          </w:tcPr>
          <w:p w14:paraId="5A9C2F4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producers sensitized on the insurance or seasonal loans product from financial institutions </w:t>
            </w:r>
          </w:p>
        </w:tc>
        <w:tc>
          <w:tcPr>
            <w:tcW w:w="908" w:type="dxa"/>
            <w:tcBorders>
              <w:bottom w:val="single" w:sz="4" w:space="0" w:color="auto"/>
            </w:tcBorders>
            <w:hideMark/>
          </w:tcPr>
          <w:p w14:paraId="34CE652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tcBorders>
              <w:bottom w:val="single" w:sz="4" w:space="0" w:color="auto"/>
            </w:tcBorders>
            <w:hideMark/>
          </w:tcPr>
          <w:p w14:paraId="6D0C338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1250</w:t>
            </w:r>
          </w:p>
        </w:tc>
        <w:tc>
          <w:tcPr>
            <w:tcW w:w="437" w:type="dxa"/>
            <w:tcBorders>
              <w:bottom w:val="single" w:sz="4" w:space="0" w:color="auto"/>
            </w:tcBorders>
            <w:shd w:val="clear" w:color="auto" w:fill="FFFF99"/>
            <w:hideMark/>
          </w:tcPr>
          <w:p w14:paraId="0821CD7D"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2.1.1</w:t>
            </w:r>
          </w:p>
        </w:tc>
        <w:tc>
          <w:tcPr>
            <w:tcW w:w="1661" w:type="dxa"/>
            <w:tcBorders>
              <w:bottom w:val="single" w:sz="4" w:space="0" w:color="auto"/>
            </w:tcBorders>
            <w:shd w:val="clear" w:color="auto" w:fill="FFFF99"/>
            <w:hideMark/>
          </w:tcPr>
          <w:p w14:paraId="13D4E93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MFI services and insurance promotion</w:t>
            </w:r>
          </w:p>
        </w:tc>
        <w:tc>
          <w:tcPr>
            <w:tcW w:w="1016" w:type="dxa"/>
            <w:vMerge w:val="restart"/>
            <w:hideMark/>
          </w:tcPr>
          <w:p w14:paraId="6A047EC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Mix method internal MEL system e.g., case studies, survey, FGD, quarterly and annual report, online dashboard. </w:t>
            </w:r>
          </w:p>
        </w:tc>
        <w:tc>
          <w:tcPr>
            <w:tcW w:w="1738" w:type="dxa"/>
            <w:vMerge w:val="restart"/>
            <w:hideMark/>
          </w:tcPr>
          <w:p w14:paraId="4981A723"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Partner institutions (MFIs, private sector) remain engaged.</w:t>
            </w:r>
          </w:p>
          <w:p w14:paraId="0DF5BEB0"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Entrepreneurs have access to startup capital post-training.</w:t>
            </w:r>
          </w:p>
          <w:p w14:paraId="27A118AA"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Digital tools (apps, platforms) are regularly updated.</w:t>
            </w:r>
          </w:p>
          <w:p w14:paraId="6A3C0A78"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5BDA81E" w14:textId="77777777" w:rsidTr="00B203C9">
        <w:trPr>
          <w:trHeight w:val="300"/>
        </w:trPr>
        <w:tc>
          <w:tcPr>
            <w:tcW w:w="377" w:type="dxa"/>
            <w:vMerge w:val="restart"/>
            <w:hideMark/>
          </w:tcPr>
          <w:p w14:paraId="419068A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2.2</w:t>
            </w:r>
          </w:p>
        </w:tc>
        <w:tc>
          <w:tcPr>
            <w:tcW w:w="1676" w:type="dxa"/>
            <w:vMerge w:val="restart"/>
            <w:hideMark/>
          </w:tcPr>
          <w:p w14:paraId="5C0B4A8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Community members supported to access to business information and services. </w:t>
            </w:r>
          </w:p>
        </w:tc>
        <w:tc>
          <w:tcPr>
            <w:tcW w:w="1573" w:type="dxa"/>
            <w:hideMark/>
          </w:tcPr>
          <w:p w14:paraId="3837B71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assessment conducted to improve services</w:t>
            </w:r>
          </w:p>
        </w:tc>
        <w:tc>
          <w:tcPr>
            <w:tcW w:w="908" w:type="dxa"/>
            <w:hideMark/>
          </w:tcPr>
          <w:p w14:paraId="4C77220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116237E0"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w:t>
            </w:r>
          </w:p>
        </w:tc>
        <w:tc>
          <w:tcPr>
            <w:tcW w:w="437" w:type="dxa"/>
            <w:shd w:val="clear" w:color="auto" w:fill="FFFF99"/>
            <w:hideMark/>
          </w:tcPr>
          <w:p w14:paraId="0006361D"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2.2.1</w:t>
            </w:r>
          </w:p>
        </w:tc>
        <w:tc>
          <w:tcPr>
            <w:tcW w:w="1661" w:type="dxa"/>
            <w:shd w:val="clear" w:color="auto" w:fill="FFFF99"/>
            <w:hideMark/>
          </w:tcPr>
          <w:p w14:paraId="0956B0A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xml:space="preserve"> Feasibility study of business services (i.e. storage, transportation facilities, market information)</w:t>
            </w:r>
          </w:p>
        </w:tc>
        <w:tc>
          <w:tcPr>
            <w:tcW w:w="1016" w:type="dxa"/>
            <w:vMerge/>
            <w:hideMark/>
          </w:tcPr>
          <w:p w14:paraId="5DC4DB4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641C1E2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3C5FF567" w14:textId="77777777" w:rsidTr="00B203C9">
        <w:trPr>
          <w:trHeight w:val="555"/>
        </w:trPr>
        <w:tc>
          <w:tcPr>
            <w:tcW w:w="377" w:type="dxa"/>
            <w:vMerge/>
            <w:vAlign w:val="center"/>
            <w:hideMark/>
          </w:tcPr>
          <w:p w14:paraId="77E75A97"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018B4EF1"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58601F3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community members accessing weather, market, and technical information</w:t>
            </w:r>
          </w:p>
        </w:tc>
        <w:tc>
          <w:tcPr>
            <w:tcW w:w="908" w:type="dxa"/>
            <w:hideMark/>
          </w:tcPr>
          <w:p w14:paraId="7A9B16AA"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2AC16335"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425</w:t>
            </w:r>
          </w:p>
        </w:tc>
        <w:tc>
          <w:tcPr>
            <w:tcW w:w="437" w:type="dxa"/>
            <w:vMerge w:val="restart"/>
            <w:shd w:val="clear" w:color="auto" w:fill="FFFF99"/>
            <w:hideMark/>
          </w:tcPr>
          <w:p w14:paraId="5807AE0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2.2.2</w:t>
            </w:r>
          </w:p>
        </w:tc>
        <w:tc>
          <w:tcPr>
            <w:tcW w:w="1661" w:type="dxa"/>
            <w:vMerge w:val="restart"/>
            <w:shd w:val="clear" w:color="auto" w:fill="FFFF99"/>
            <w:hideMark/>
          </w:tcPr>
          <w:p w14:paraId="39AB870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Strengthen and Development of viable business support services.</w:t>
            </w:r>
          </w:p>
        </w:tc>
        <w:tc>
          <w:tcPr>
            <w:tcW w:w="1016" w:type="dxa"/>
            <w:vMerge/>
            <w:hideMark/>
          </w:tcPr>
          <w:p w14:paraId="0468CF0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43DACFBA"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E18F5D7" w14:textId="77777777" w:rsidTr="00B203C9">
        <w:trPr>
          <w:trHeight w:val="323"/>
        </w:trPr>
        <w:tc>
          <w:tcPr>
            <w:tcW w:w="377" w:type="dxa"/>
            <w:vMerge/>
            <w:vAlign w:val="center"/>
            <w:hideMark/>
          </w:tcPr>
          <w:p w14:paraId="48563A4C"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2F07533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470F79F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business services initiatives supported</w:t>
            </w:r>
          </w:p>
        </w:tc>
        <w:tc>
          <w:tcPr>
            <w:tcW w:w="908" w:type="dxa"/>
            <w:hideMark/>
          </w:tcPr>
          <w:p w14:paraId="37C783B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7C144AF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10</w:t>
            </w:r>
          </w:p>
        </w:tc>
        <w:tc>
          <w:tcPr>
            <w:tcW w:w="437" w:type="dxa"/>
            <w:vMerge/>
            <w:shd w:val="clear" w:color="auto" w:fill="FFFF99"/>
            <w:vAlign w:val="center"/>
            <w:hideMark/>
          </w:tcPr>
          <w:p w14:paraId="318D8109"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vAlign w:val="center"/>
            <w:hideMark/>
          </w:tcPr>
          <w:p w14:paraId="1C9C07D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hideMark/>
          </w:tcPr>
          <w:p w14:paraId="28E6A21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32E45EE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EF2E471" w14:textId="77777777" w:rsidTr="00B203C9">
        <w:trPr>
          <w:trHeight w:val="503"/>
        </w:trPr>
        <w:tc>
          <w:tcPr>
            <w:tcW w:w="377" w:type="dxa"/>
            <w:vMerge/>
            <w:vAlign w:val="center"/>
            <w:hideMark/>
          </w:tcPr>
          <w:p w14:paraId="1E9C2EF8"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68C2AF4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0FCBA9D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people access the target business services</w:t>
            </w:r>
          </w:p>
        </w:tc>
        <w:tc>
          <w:tcPr>
            <w:tcW w:w="908" w:type="dxa"/>
            <w:hideMark/>
          </w:tcPr>
          <w:p w14:paraId="1340400E"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22E6187A"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3,000</w:t>
            </w:r>
          </w:p>
        </w:tc>
        <w:tc>
          <w:tcPr>
            <w:tcW w:w="437" w:type="dxa"/>
            <w:vMerge/>
            <w:shd w:val="clear" w:color="auto" w:fill="FFFF99"/>
            <w:vAlign w:val="center"/>
            <w:hideMark/>
          </w:tcPr>
          <w:p w14:paraId="7045CD6B"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vAlign w:val="center"/>
            <w:hideMark/>
          </w:tcPr>
          <w:p w14:paraId="40E67E8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hideMark/>
          </w:tcPr>
          <w:p w14:paraId="6591CAA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251843E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5C000213" w14:textId="77777777" w:rsidTr="00B203C9">
        <w:trPr>
          <w:trHeight w:val="422"/>
        </w:trPr>
        <w:tc>
          <w:tcPr>
            <w:tcW w:w="377" w:type="dxa"/>
            <w:vMerge w:val="restart"/>
            <w:hideMark/>
          </w:tcPr>
          <w:p w14:paraId="37329ADE"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2.3</w:t>
            </w:r>
          </w:p>
        </w:tc>
        <w:tc>
          <w:tcPr>
            <w:tcW w:w="1676" w:type="dxa"/>
            <w:vMerge w:val="restart"/>
            <w:hideMark/>
          </w:tcPr>
          <w:p w14:paraId="2B6C0BF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Community members (especially the youth and female) trained and supported on </w:t>
            </w:r>
            <w:r w:rsidRPr="007342D2">
              <w:rPr>
                <w:rFonts w:ascii="Tahoma" w:eastAsia="Times New Roman" w:hAnsi="Tahoma" w:cs="Tahoma"/>
                <w:color w:val="0D0D0D" w:themeColor="text1" w:themeTint="F2"/>
                <w:kern w:val="0"/>
                <w:sz w:val="18"/>
                <w:szCs w:val="18"/>
                <w14:ligatures w14:val="none"/>
              </w:rPr>
              <w:lastRenderedPageBreak/>
              <w:t>business and job development</w:t>
            </w:r>
          </w:p>
        </w:tc>
        <w:tc>
          <w:tcPr>
            <w:tcW w:w="1573" w:type="dxa"/>
            <w:hideMark/>
          </w:tcPr>
          <w:p w14:paraId="6B14E4D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lastRenderedPageBreak/>
              <w:t>No. of youth trained and actively engaged in agricultural trades/services</w:t>
            </w:r>
          </w:p>
        </w:tc>
        <w:tc>
          <w:tcPr>
            <w:tcW w:w="908" w:type="dxa"/>
            <w:hideMark/>
          </w:tcPr>
          <w:p w14:paraId="1B9BF695"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494F69F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300</w:t>
            </w:r>
          </w:p>
        </w:tc>
        <w:tc>
          <w:tcPr>
            <w:tcW w:w="437" w:type="dxa"/>
            <w:vMerge w:val="restart"/>
            <w:shd w:val="clear" w:color="auto" w:fill="FFFF99"/>
            <w:hideMark/>
          </w:tcPr>
          <w:p w14:paraId="06A0757C"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2.3.1</w:t>
            </w:r>
          </w:p>
        </w:tc>
        <w:tc>
          <w:tcPr>
            <w:tcW w:w="1661" w:type="dxa"/>
            <w:vMerge w:val="restart"/>
            <w:shd w:val="clear" w:color="auto" w:fill="FFFF99"/>
            <w:hideMark/>
          </w:tcPr>
          <w:p w14:paraId="54C7C03B"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Financial and or digital literacy capacity building</w:t>
            </w:r>
          </w:p>
        </w:tc>
        <w:tc>
          <w:tcPr>
            <w:tcW w:w="1016" w:type="dxa"/>
            <w:vMerge/>
            <w:hideMark/>
          </w:tcPr>
          <w:p w14:paraId="0E267B6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75586AA4"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496D6168" w14:textId="77777777" w:rsidTr="00B203C9">
        <w:trPr>
          <w:trHeight w:val="422"/>
        </w:trPr>
        <w:tc>
          <w:tcPr>
            <w:tcW w:w="377" w:type="dxa"/>
            <w:vMerge/>
          </w:tcPr>
          <w:p w14:paraId="075C6D58"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Pr>
          <w:p w14:paraId="7FDB85A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tcPr>
          <w:p w14:paraId="23A3832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farmers trained on </w:t>
            </w:r>
            <w:r w:rsidRPr="007342D2">
              <w:rPr>
                <w:rFonts w:ascii="Tahoma" w:eastAsia="Times New Roman" w:hAnsi="Tahoma" w:cs="Tahoma"/>
                <w:color w:val="0D0D0D" w:themeColor="text1" w:themeTint="F2"/>
                <w:kern w:val="0"/>
                <w:sz w:val="18"/>
                <w:szCs w:val="18"/>
                <w14:ligatures w14:val="none"/>
              </w:rPr>
              <w:lastRenderedPageBreak/>
              <w:t>financial literacy or digital literacy</w:t>
            </w:r>
          </w:p>
        </w:tc>
        <w:tc>
          <w:tcPr>
            <w:tcW w:w="908" w:type="dxa"/>
          </w:tcPr>
          <w:p w14:paraId="52EC4D02"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tcPr>
          <w:p w14:paraId="4E5322A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300</w:t>
            </w:r>
          </w:p>
        </w:tc>
        <w:tc>
          <w:tcPr>
            <w:tcW w:w="437" w:type="dxa"/>
            <w:vMerge/>
            <w:shd w:val="clear" w:color="auto" w:fill="FFFF99"/>
          </w:tcPr>
          <w:p w14:paraId="6664AA0B"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tcPr>
          <w:p w14:paraId="3EDC583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tcPr>
          <w:p w14:paraId="2631F9B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6646E934"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0EDCE77B" w14:textId="77777777" w:rsidTr="00B203C9">
        <w:trPr>
          <w:trHeight w:val="555"/>
        </w:trPr>
        <w:tc>
          <w:tcPr>
            <w:tcW w:w="377" w:type="dxa"/>
            <w:vMerge/>
            <w:vAlign w:val="center"/>
            <w:hideMark/>
          </w:tcPr>
          <w:p w14:paraId="043EB3BE"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7482352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423DC45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individuals (youth, PwD and women) trained on entrepreneur skills, business and/or marketing skills </w:t>
            </w:r>
          </w:p>
        </w:tc>
        <w:tc>
          <w:tcPr>
            <w:tcW w:w="908" w:type="dxa"/>
            <w:hideMark/>
          </w:tcPr>
          <w:p w14:paraId="56A195F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10032190"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625</w:t>
            </w:r>
          </w:p>
        </w:tc>
        <w:tc>
          <w:tcPr>
            <w:tcW w:w="437" w:type="dxa"/>
            <w:shd w:val="clear" w:color="auto" w:fill="FFFF99"/>
            <w:hideMark/>
          </w:tcPr>
          <w:p w14:paraId="632B5C5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2.3.2</w:t>
            </w:r>
          </w:p>
        </w:tc>
        <w:tc>
          <w:tcPr>
            <w:tcW w:w="1661" w:type="dxa"/>
            <w:shd w:val="clear" w:color="auto" w:fill="FFFF99"/>
            <w:hideMark/>
          </w:tcPr>
          <w:p w14:paraId="1181627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Entrepreneur skills, business and marketing skills training</w:t>
            </w:r>
          </w:p>
        </w:tc>
        <w:tc>
          <w:tcPr>
            <w:tcW w:w="1016" w:type="dxa"/>
            <w:vMerge/>
            <w:hideMark/>
          </w:tcPr>
          <w:p w14:paraId="2BAA932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49DBC33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1875625" w14:textId="77777777" w:rsidTr="00B203C9">
        <w:trPr>
          <w:trHeight w:val="555"/>
        </w:trPr>
        <w:tc>
          <w:tcPr>
            <w:tcW w:w="377" w:type="dxa"/>
            <w:vMerge/>
            <w:vAlign w:val="center"/>
            <w:hideMark/>
          </w:tcPr>
          <w:p w14:paraId="4BA90CA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2F56907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26F141D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No. of individuals (youth, PwD and women) supported on business and job development.</w:t>
            </w:r>
          </w:p>
        </w:tc>
        <w:tc>
          <w:tcPr>
            <w:tcW w:w="908" w:type="dxa"/>
            <w:hideMark/>
          </w:tcPr>
          <w:p w14:paraId="107753FC"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4CDDA89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125</w:t>
            </w:r>
          </w:p>
        </w:tc>
        <w:tc>
          <w:tcPr>
            <w:tcW w:w="437" w:type="dxa"/>
            <w:shd w:val="clear" w:color="auto" w:fill="FFFF99"/>
            <w:hideMark/>
          </w:tcPr>
          <w:p w14:paraId="6E996B9D"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2.3.3</w:t>
            </w:r>
          </w:p>
        </w:tc>
        <w:tc>
          <w:tcPr>
            <w:tcW w:w="1661" w:type="dxa"/>
            <w:shd w:val="clear" w:color="auto" w:fill="FFFF99"/>
            <w:hideMark/>
          </w:tcPr>
          <w:p w14:paraId="0EC2602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Seed support to entrepreneurs (likely in Y2 or after)</w:t>
            </w:r>
          </w:p>
        </w:tc>
        <w:tc>
          <w:tcPr>
            <w:tcW w:w="1016" w:type="dxa"/>
            <w:vMerge/>
            <w:hideMark/>
          </w:tcPr>
          <w:p w14:paraId="51F02E7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06331A5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11C46090" w14:textId="77777777" w:rsidTr="00B203C9">
        <w:trPr>
          <w:trHeight w:val="845"/>
        </w:trPr>
        <w:tc>
          <w:tcPr>
            <w:tcW w:w="377" w:type="dxa"/>
            <w:vMerge w:val="restart"/>
            <w:hideMark/>
          </w:tcPr>
          <w:p w14:paraId="7000CD0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2.4</w:t>
            </w:r>
          </w:p>
        </w:tc>
        <w:tc>
          <w:tcPr>
            <w:tcW w:w="1676" w:type="dxa"/>
            <w:vMerge w:val="restart"/>
            <w:hideMark/>
          </w:tcPr>
          <w:p w14:paraId="69C5EAC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 Private Sectors supported to adopt inclusive and sustainable business practices</w:t>
            </w:r>
          </w:p>
        </w:tc>
        <w:tc>
          <w:tcPr>
            <w:tcW w:w="1573" w:type="dxa"/>
            <w:hideMark/>
          </w:tcPr>
          <w:p w14:paraId="68CD4D9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meeting/ events to link farmers with market actors.</w:t>
            </w:r>
          </w:p>
        </w:tc>
        <w:tc>
          <w:tcPr>
            <w:tcW w:w="908" w:type="dxa"/>
            <w:hideMark/>
          </w:tcPr>
          <w:p w14:paraId="27260CD2"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hideMark/>
          </w:tcPr>
          <w:p w14:paraId="79C696E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highlight w:val="yellow"/>
                <w14:ligatures w14:val="none"/>
              </w:rPr>
              <w:t>24</w:t>
            </w:r>
          </w:p>
        </w:tc>
        <w:tc>
          <w:tcPr>
            <w:tcW w:w="437" w:type="dxa"/>
            <w:shd w:val="clear" w:color="auto" w:fill="FFFF99"/>
            <w:hideMark/>
          </w:tcPr>
          <w:p w14:paraId="5297E1C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xml:space="preserve">2.4.1 </w:t>
            </w:r>
          </w:p>
        </w:tc>
        <w:tc>
          <w:tcPr>
            <w:tcW w:w="1661" w:type="dxa"/>
            <w:shd w:val="clear" w:color="auto" w:fill="FFFF99"/>
            <w:hideMark/>
          </w:tcPr>
          <w:p w14:paraId="27BC67A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Strengthened market linkages and networks between farmers and private sector actors (i.e. linkage meeting)</w:t>
            </w:r>
          </w:p>
        </w:tc>
        <w:tc>
          <w:tcPr>
            <w:tcW w:w="1016" w:type="dxa"/>
            <w:vMerge/>
            <w:hideMark/>
          </w:tcPr>
          <w:p w14:paraId="01E24B6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6172F240"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05EC5694" w14:textId="77777777" w:rsidTr="00B203C9">
        <w:trPr>
          <w:trHeight w:val="629"/>
        </w:trPr>
        <w:tc>
          <w:tcPr>
            <w:tcW w:w="377" w:type="dxa"/>
            <w:vMerge/>
            <w:vAlign w:val="center"/>
          </w:tcPr>
          <w:p w14:paraId="35B94097"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tcPr>
          <w:p w14:paraId="1EEFB74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val="restart"/>
          </w:tcPr>
          <w:p w14:paraId="6D55D64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people from private sectors trained to improve business practices </w:t>
            </w:r>
          </w:p>
        </w:tc>
        <w:tc>
          <w:tcPr>
            <w:tcW w:w="908" w:type="dxa"/>
            <w:vMerge w:val="restart"/>
          </w:tcPr>
          <w:p w14:paraId="110A85AA"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highlight w:val="yellow"/>
                <w14:ligatures w14:val="none"/>
              </w:rPr>
            </w:pPr>
            <w:r w:rsidRPr="007342D2">
              <w:rPr>
                <w:rFonts w:ascii="Tahoma" w:eastAsia="Times New Roman" w:hAnsi="Tahoma" w:cs="Tahoma"/>
                <w:color w:val="0D0D0D" w:themeColor="text1" w:themeTint="F2"/>
                <w:kern w:val="0"/>
                <w:sz w:val="18"/>
                <w:szCs w:val="18"/>
                <w:highlight w:val="yellow"/>
                <w14:ligatures w14:val="none"/>
              </w:rPr>
              <w:t>125</w:t>
            </w:r>
          </w:p>
        </w:tc>
        <w:tc>
          <w:tcPr>
            <w:tcW w:w="954" w:type="dxa"/>
            <w:vMerge w:val="restart"/>
          </w:tcPr>
          <w:p w14:paraId="5BB687D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highlight w:val="yellow"/>
                <w14:ligatures w14:val="none"/>
              </w:rPr>
            </w:pPr>
            <w:r w:rsidRPr="007342D2">
              <w:rPr>
                <w:rFonts w:ascii="Tahoma" w:eastAsia="Times New Roman" w:hAnsi="Tahoma" w:cs="Tahoma"/>
                <w:color w:val="0D0D0D" w:themeColor="text1" w:themeTint="F2"/>
                <w:kern w:val="0"/>
                <w:sz w:val="18"/>
                <w:szCs w:val="18"/>
                <w:highlight w:val="yellow"/>
                <w14:ligatures w14:val="none"/>
              </w:rPr>
              <w:t>160</w:t>
            </w:r>
          </w:p>
        </w:tc>
        <w:tc>
          <w:tcPr>
            <w:tcW w:w="437" w:type="dxa"/>
            <w:shd w:val="clear" w:color="auto" w:fill="FFFF99"/>
          </w:tcPr>
          <w:p w14:paraId="048584EB"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2.4.2</w:t>
            </w:r>
          </w:p>
        </w:tc>
        <w:tc>
          <w:tcPr>
            <w:tcW w:w="1661" w:type="dxa"/>
            <w:shd w:val="clear" w:color="auto" w:fill="FFFF99"/>
          </w:tcPr>
          <w:p w14:paraId="1148E7F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Training (policy development, governance reform) to existing Collection Points</w:t>
            </w:r>
          </w:p>
        </w:tc>
        <w:tc>
          <w:tcPr>
            <w:tcW w:w="1016" w:type="dxa"/>
            <w:vMerge/>
          </w:tcPr>
          <w:p w14:paraId="34F8ACB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430730EA"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BFB2472" w14:textId="77777777" w:rsidTr="00B203C9">
        <w:trPr>
          <w:trHeight w:val="395"/>
        </w:trPr>
        <w:tc>
          <w:tcPr>
            <w:tcW w:w="377" w:type="dxa"/>
            <w:vMerge/>
            <w:vAlign w:val="center"/>
          </w:tcPr>
          <w:p w14:paraId="56C22FE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tcPr>
          <w:p w14:paraId="72B3827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tcPr>
          <w:p w14:paraId="6BA1AE47" w14:textId="77777777" w:rsidR="00D1308F" w:rsidRPr="007342D2" w:rsidDel="0027676F"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908" w:type="dxa"/>
            <w:vMerge/>
          </w:tcPr>
          <w:p w14:paraId="34A7D4E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vMerge/>
          </w:tcPr>
          <w:p w14:paraId="259F662E"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437" w:type="dxa"/>
            <w:shd w:val="clear" w:color="auto" w:fill="FFFF99"/>
          </w:tcPr>
          <w:p w14:paraId="6F1FB86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2.4.3</w:t>
            </w:r>
          </w:p>
        </w:tc>
        <w:tc>
          <w:tcPr>
            <w:tcW w:w="1661" w:type="dxa"/>
            <w:shd w:val="clear" w:color="auto" w:fill="FFFF99"/>
          </w:tcPr>
          <w:p w14:paraId="2EF1D1A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Training for Retailers, traders, buyers and other market actors except farmers.</w:t>
            </w:r>
          </w:p>
        </w:tc>
        <w:tc>
          <w:tcPr>
            <w:tcW w:w="1016" w:type="dxa"/>
            <w:vMerge/>
          </w:tcPr>
          <w:p w14:paraId="0E05FC1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16A3FBA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5B711401" w14:textId="77777777" w:rsidTr="00B203C9">
        <w:trPr>
          <w:trHeight w:val="395"/>
        </w:trPr>
        <w:tc>
          <w:tcPr>
            <w:tcW w:w="377" w:type="dxa"/>
            <w:vMerge/>
            <w:vAlign w:val="center"/>
          </w:tcPr>
          <w:p w14:paraId="5CB1E1E9"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tcPr>
          <w:p w14:paraId="2F347FD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tcPr>
          <w:p w14:paraId="0C190691" w14:textId="77777777" w:rsidR="00D1308F" w:rsidRPr="007342D2" w:rsidDel="0027676F"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908" w:type="dxa"/>
            <w:vMerge/>
          </w:tcPr>
          <w:p w14:paraId="371DA9A4"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vMerge/>
          </w:tcPr>
          <w:p w14:paraId="0801BE91"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437" w:type="dxa"/>
            <w:shd w:val="clear" w:color="auto" w:fill="FFFF99"/>
          </w:tcPr>
          <w:p w14:paraId="45F866D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2.4.4</w:t>
            </w:r>
          </w:p>
        </w:tc>
        <w:tc>
          <w:tcPr>
            <w:tcW w:w="1661" w:type="dxa"/>
            <w:shd w:val="clear" w:color="auto" w:fill="FFFF99"/>
          </w:tcPr>
          <w:p w14:paraId="658D24D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Training the social enterprises (in Yr 2-4)</w:t>
            </w:r>
          </w:p>
        </w:tc>
        <w:tc>
          <w:tcPr>
            <w:tcW w:w="1016" w:type="dxa"/>
            <w:vMerge/>
          </w:tcPr>
          <w:p w14:paraId="72CBE9F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13DB3446"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75FD16F" w14:textId="77777777" w:rsidTr="00B203C9">
        <w:trPr>
          <w:trHeight w:val="935"/>
        </w:trPr>
        <w:tc>
          <w:tcPr>
            <w:tcW w:w="377" w:type="dxa"/>
            <w:vMerge/>
            <w:tcBorders>
              <w:bottom w:val="single" w:sz="4" w:space="0" w:color="auto"/>
            </w:tcBorders>
            <w:vAlign w:val="center"/>
          </w:tcPr>
          <w:p w14:paraId="1C195B8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Borders>
              <w:bottom w:val="single" w:sz="4" w:space="0" w:color="auto"/>
            </w:tcBorders>
            <w:vAlign w:val="center"/>
          </w:tcPr>
          <w:p w14:paraId="13D8485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val="restart"/>
            <w:tcBorders>
              <w:bottom w:val="single" w:sz="4" w:space="0" w:color="auto"/>
            </w:tcBorders>
          </w:tcPr>
          <w:p w14:paraId="6B5C21B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business entity supported</w:t>
            </w:r>
          </w:p>
        </w:tc>
        <w:tc>
          <w:tcPr>
            <w:tcW w:w="908" w:type="dxa"/>
            <w:vMerge w:val="restart"/>
            <w:tcBorders>
              <w:bottom w:val="single" w:sz="4" w:space="0" w:color="auto"/>
            </w:tcBorders>
          </w:tcPr>
          <w:p w14:paraId="48859FA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p w14:paraId="494B8CFC"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vMerge w:val="restart"/>
            <w:tcBorders>
              <w:bottom w:val="single" w:sz="4" w:space="0" w:color="auto"/>
            </w:tcBorders>
          </w:tcPr>
          <w:p w14:paraId="726C70E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9</w:t>
            </w:r>
          </w:p>
        </w:tc>
        <w:tc>
          <w:tcPr>
            <w:tcW w:w="437" w:type="dxa"/>
            <w:tcBorders>
              <w:bottom w:val="single" w:sz="4" w:space="0" w:color="auto"/>
            </w:tcBorders>
            <w:shd w:val="clear" w:color="auto" w:fill="FFFF99"/>
          </w:tcPr>
          <w:p w14:paraId="4534CB4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2.4.5</w:t>
            </w:r>
          </w:p>
        </w:tc>
        <w:tc>
          <w:tcPr>
            <w:tcW w:w="1661" w:type="dxa"/>
            <w:tcBorders>
              <w:bottom w:val="single" w:sz="4" w:space="0" w:color="auto"/>
            </w:tcBorders>
            <w:shd w:val="clear" w:color="auto" w:fill="FFFF99"/>
          </w:tcPr>
          <w:p w14:paraId="1566350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support to develop/implement, business improvement plan. </w:t>
            </w:r>
          </w:p>
        </w:tc>
        <w:tc>
          <w:tcPr>
            <w:tcW w:w="1016" w:type="dxa"/>
            <w:vMerge/>
            <w:tcBorders>
              <w:bottom w:val="single" w:sz="4" w:space="0" w:color="auto"/>
            </w:tcBorders>
          </w:tcPr>
          <w:p w14:paraId="0D0D6B7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Borders>
              <w:bottom w:val="single" w:sz="4" w:space="0" w:color="auto"/>
            </w:tcBorders>
          </w:tcPr>
          <w:p w14:paraId="56E196B7"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650E7E8B" w14:textId="77777777" w:rsidTr="00B203C9">
        <w:trPr>
          <w:trHeight w:val="431"/>
        </w:trPr>
        <w:tc>
          <w:tcPr>
            <w:tcW w:w="377" w:type="dxa"/>
            <w:vMerge/>
            <w:vAlign w:val="center"/>
          </w:tcPr>
          <w:p w14:paraId="21F258D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tcPr>
          <w:p w14:paraId="69469E1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tcPr>
          <w:p w14:paraId="552CF4A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908" w:type="dxa"/>
            <w:vMerge/>
          </w:tcPr>
          <w:p w14:paraId="38B3CD3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vMerge/>
          </w:tcPr>
          <w:p w14:paraId="64D4A98B"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437" w:type="dxa"/>
            <w:shd w:val="clear" w:color="auto" w:fill="FFFF99"/>
            <w:vAlign w:val="center"/>
          </w:tcPr>
          <w:p w14:paraId="4D792F48"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2.4.6</w:t>
            </w:r>
          </w:p>
        </w:tc>
        <w:tc>
          <w:tcPr>
            <w:tcW w:w="1661" w:type="dxa"/>
            <w:shd w:val="clear" w:color="auto" w:fill="FFFF99"/>
          </w:tcPr>
          <w:p w14:paraId="3D17CBAD"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Support to local and or social enterprise and business</w:t>
            </w:r>
          </w:p>
        </w:tc>
        <w:tc>
          <w:tcPr>
            <w:tcW w:w="1016" w:type="dxa"/>
            <w:vMerge/>
          </w:tcPr>
          <w:p w14:paraId="54ED829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36B8A7EA"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12549AC9" w14:textId="77777777" w:rsidTr="00B203C9">
        <w:trPr>
          <w:trHeight w:val="269"/>
        </w:trPr>
        <w:tc>
          <w:tcPr>
            <w:tcW w:w="377" w:type="dxa"/>
            <w:vMerge w:val="restart"/>
            <w:hideMark/>
          </w:tcPr>
          <w:p w14:paraId="78197FB9"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3.1</w:t>
            </w:r>
          </w:p>
        </w:tc>
        <w:tc>
          <w:tcPr>
            <w:tcW w:w="1676" w:type="dxa"/>
            <w:vMerge w:val="restart"/>
            <w:hideMark/>
          </w:tcPr>
          <w:p w14:paraId="0545C54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Community people are trained to promote gender equity </w:t>
            </w:r>
          </w:p>
        </w:tc>
        <w:tc>
          <w:tcPr>
            <w:tcW w:w="1573" w:type="dxa"/>
            <w:hideMark/>
          </w:tcPr>
          <w:p w14:paraId="60AD41ED"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No.  of people trained on Gender Equity and GVB prevention</w:t>
            </w:r>
            <w:r w:rsidRPr="007342D2">
              <w:rPr>
                <w:rFonts w:ascii="Calibri" w:eastAsia="Times New Roman" w:hAnsi="Calibri" w:cs="Calibri"/>
                <w:color w:val="0D0D0D" w:themeColor="text1" w:themeTint="F2"/>
                <w:kern w:val="0"/>
                <w:sz w:val="18"/>
                <w:szCs w:val="18"/>
                <w14:ligatures w14:val="none"/>
              </w:rPr>
              <w:br/>
            </w:r>
          </w:p>
        </w:tc>
        <w:tc>
          <w:tcPr>
            <w:tcW w:w="908" w:type="dxa"/>
            <w:hideMark/>
          </w:tcPr>
          <w:p w14:paraId="71C70FD7"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 </w:t>
            </w:r>
          </w:p>
        </w:tc>
        <w:tc>
          <w:tcPr>
            <w:tcW w:w="954" w:type="dxa"/>
            <w:hideMark/>
          </w:tcPr>
          <w:p w14:paraId="7CB796C6"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2000</w:t>
            </w:r>
          </w:p>
        </w:tc>
        <w:tc>
          <w:tcPr>
            <w:tcW w:w="437" w:type="dxa"/>
            <w:shd w:val="clear" w:color="auto" w:fill="FFFF99"/>
            <w:hideMark/>
          </w:tcPr>
          <w:p w14:paraId="2A202AE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3.1.1</w:t>
            </w:r>
          </w:p>
        </w:tc>
        <w:tc>
          <w:tcPr>
            <w:tcW w:w="1661" w:type="dxa"/>
            <w:shd w:val="clear" w:color="auto" w:fill="FFFF99"/>
            <w:hideMark/>
          </w:tcPr>
          <w:p w14:paraId="2F19EAC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Gender Assessment</w:t>
            </w:r>
          </w:p>
        </w:tc>
        <w:tc>
          <w:tcPr>
            <w:tcW w:w="1016" w:type="dxa"/>
            <w:vMerge w:val="restart"/>
            <w:hideMark/>
          </w:tcPr>
          <w:p w14:paraId="1051BE5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Mix method internal MEL system e.g. case studies, survey, FGD, quarterly and annual report, online dashboard.</w:t>
            </w:r>
          </w:p>
        </w:tc>
        <w:tc>
          <w:tcPr>
            <w:tcW w:w="1738" w:type="dxa"/>
            <w:vMerge w:val="restart"/>
            <w:hideMark/>
          </w:tcPr>
          <w:p w14:paraId="2B002A2F"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Training participants disseminate knowledge within communities.</w:t>
            </w:r>
          </w:p>
          <w:p w14:paraId="405F1C59"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Local authorities enforce rights-based policies.</w:t>
            </w:r>
          </w:p>
          <w:p w14:paraId="1BCF62EB" w14:textId="77777777" w:rsidR="00D1308F" w:rsidRPr="007342D2" w:rsidRDefault="00D1308F" w:rsidP="00B203C9">
            <w:pPr>
              <w:spacing w:after="0" w:line="240" w:lineRule="auto"/>
              <w:rPr>
                <w:rFonts w:ascii="Tahoma" w:hAnsi="Tahoma" w:cs="Tahoma"/>
                <w:color w:val="0D0D0D" w:themeColor="text1" w:themeTint="F2"/>
                <w:sz w:val="16"/>
                <w:szCs w:val="16"/>
              </w:rPr>
            </w:pPr>
            <w:r w:rsidRPr="007342D2">
              <w:rPr>
                <w:rFonts w:ascii="Tahoma" w:hAnsi="Tahoma" w:cs="Tahoma"/>
                <w:color w:val="0D0D0D" w:themeColor="text1" w:themeTint="F2"/>
                <w:sz w:val="16"/>
                <w:szCs w:val="16"/>
              </w:rPr>
              <w:t>Male champions actively advocate for gender equity.</w:t>
            </w:r>
          </w:p>
          <w:p w14:paraId="7E128A0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p w14:paraId="2845A195"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12F3B71" w14:textId="77777777" w:rsidTr="00B203C9">
        <w:trPr>
          <w:trHeight w:val="480"/>
        </w:trPr>
        <w:tc>
          <w:tcPr>
            <w:tcW w:w="377" w:type="dxa"/>
            <w:vMerge/>
            <w:vAlign w:val="center"/>
            <w:hideMark/>
          </w:tcPr>
          <w:p w14:paraId="52C2D9B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18268936"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val="restart"/>
            <w:hideMark/>
          </w:tcPr>
          <w:p w14:paraId="196AA6A6"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 xml:space="preserve">No. of men mobilized to advocate for women’s right </w:t>
            </w:r>
          </w:p>
          <w:p w14:paraId="2B87F377"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p>
        </w:tc>
        <w:tc>
          <w:tcPr>
            <w:tcW w:w="908" w:type="dxa"/>
            <w:vMerge w:val="restart"/>
            <w:hideMark/>
          </w:tcPr>
          <w:p w14:paraId="1993E8CF"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 </w:t>
            </w:r>
          </w:p>
          <w:p w14:paraId="5A57191A"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 </w:t>
            </w:r>
          </w:p>
        </w:tc>
        <w:tc>
          <w:tcPr>
            <w:tcW w:w="954" w:type="dxa"/>
            <w:vMerge w:val="restart"/>
            <w:hideMark/>
          </w:tcPr>
          <w:p w14:paraId="5A6AD45C"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160 </w:t>
            </w:r>
          </w:p>
        </w:tc>
        <w:tc>
          <w:tcPr>
            <w:tcW w:w="437" w:type="dxa"/>
            <w:shd w:val="clear" w:color="auto" w:fill="FFFF99"/>
            <w:hideMark/>
          </w:tcPr>
          <w:p w14:paraId="4F61A61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3.1.2</w:t>
            </w:r>
          </w:p>
        </w:tc>
        <w:tc>
          <w:tcPr>
            <w:tcW w:w="1661" w:type="dxa"/>
            <w:shd w:val="clear" w:color="auto" w:fill="FFFF99"/>
            <w:hideMark/>
          </w:tcPr>
          <w:p w14:paraId="702C8914"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Male Gender Champion to promote the rights of women</w:t>
            </w:r>
          </w:p>
        </w:tc>
        <w:tc>
          <w:tcPr>
            <w:tcW w:w="1016" w:type="dxa"/>
            <w:vMerge/>
            <w:hideMark/>
          </w:tcPr>
          <w:p w14:paraId="7793B93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7935D4B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D72A899" w14:textId="77777777" w:rsidTr="00B203C9">
        <w:trPr>
          <w:trHeight w:val="449"/>
        </w:trPr>
        <w:tc>
          <w:tcPr>
            <w:tcW w:w="377" w:type="dxa"/>
            <w:vMerge/>
            <w:vAlign w:val="center"/>
            <w:hideMark/>
          </w:tcPr>
          <w:p w14:paraId="2C081D5E"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4E5B654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hideMark/>
          </w:tcPr>
          <w:p w14:paraId="23495599"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p>
        </w:tc>
        <w:tc>
          <w:tcPr>
            <w:tcW w:w="908" w:type="dxa"/>
            <w:vMerge/>
            <w:hideMark/>
          </w:tcPr>
          <w:p w14:paraId="4F658B46"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p>
        </w:tc>
        <w:tc>
          <w:tcPr>
            <w:tcW w:w="954" w:type="dxa"/>
            <w:vMerge/>
            <w:hideMark/>
          </w:tcPr>
          <w:p w14:paraId="059CDB38"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p>
        </w:tc>
        <w:tc>
          <w:tcPr>
            <w:tcW w:w="437" w:type="dxa"/>
            <w:shd w:val="clear" w:color="auto" w:fill="FFFF99"/>
            <w:hideMark/>
          </w:tcPr>
          <w:p w14:paraId="6D929E3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3.1.3</w:t>
            </w:r>
          </w:p>
        </w:tc>
        <w:tc>
          <w:tcPr>
            <w:tcW w:w="1661" w:type="dxa"/>
            <w:shd w:val="clear" w:color="auto" w:fill="FFFF99"/>
            <w:hideMark/>
          </w:tcPr>
          <w:p w14:paraId="2CCC06D6"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Community-based Gender development</w:t>
            </w:r>
          </w:p>
        </w:tc>
        <w:tc>
          <w:tcPr>
            <w:tcW w:w="1016" w:type="dxa"/>
            <w:vMerge/>
            <w:hideMark/>
          </w:tcPr>
          <w:p w14:paraId="2A2F0068"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682F6641"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7E9FC7CF" w14:textId="77777777" w:rsidTr="00B203C9">
        <w:trPr>
          <w:trHeight w:val="269"/>
        </w:trPr>
        <w:tc>
          <w:tcPr>
            <w:tcW w:w="377" w:type="dxa"/>
            <w:vMerge w:val="restart"/>
            <w:hideMark/>
          </w:tcPr>
          <w:p w14:paraId="32BADF6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3.2</w:t>
            </w:r>
          </w:p>
        </w:tc>
        <w:tc>
          <w:tcPr>
            <w:tcW w:w="1676" w:type="dxa"/>
            <w:vMerge w:val="restart"/>
            <w:hideMark/>
          </w:tcPr>
          <w:p w14:paraId="4618785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 Community people are trained and supported to promote disability equity</w:t>
            </w:r>
          </w:p>
        </w:tc>
        <w:tc>
          <w:tcPr>
            <w:tcW w:w="1573" w:type="dxa"/>
            <w:hideMark/>
          </w:tcPr>
          <w:p w14:paraId="33CE3F6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PwD identified and included</w:t>
            </w:r>
            <w:r w:rsidRPr="007342D2">
              <w:rPr>
                <w:rFonts w:ascii="Tahoma" w:eastAsia="Times New Roman" w:hAnsi="Tahoma" w:cs="Tahoma"/>
                <w:color w:val="0D0D0D" w:themeColor="text1" w:themeTint="F2"/>
                <w:kern w:val="0"/>
                <w:sz w:val="18"/>
                <w:szCs w:val="18"/>
                <w14:ligatures w14:val="none"/>
              </w:rPr>
              <w:br/>
            </w:r>
          </w:p>
        </w:tc>
        <w:tc>
          <w:tcPr>
            <w:tcW w:w="908" w:type="dxa"/>
            <w:hideMark/>
          </w:tcPr>
          <w:p w14:paraId="0A6263E7"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7B9F4B7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140</w:t>
            </w:r>
          </w:p>
          <w:p w14:paraId="291EF710"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437" w:type="dxa"/>
            <w:vMerge w:val="restart"/>
            <w:shd w:val="clear" w:color="auto" w:fill="FFFF99"/>
            <w:hideMark/>
          </w:tcPr>
          <w:p w14:paraId="23F8EAC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3.2.1</w:t>
            </w:r>
          </w:p>
        </w:tc>
        <w:tc>
          <w:tcPr>
            <w:tcW w:w="1661" w:type="dxa"/>
            <w:vMerge w:val="restart"/>
            <w:shd w:val="clear" w:color="auto" w:fill="FFFF99"/>
            <w:hideMark/>
          </w:tcPr>
          <w:p w14:paraId="1F5345C2"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Disability equity study (mapping, cause, impact), prevention and access support</w:t>
            </w:r>
          </w:p>
        </w:tc>
        <w:tc>
          <w:tcPr>
            <w:tcW w:w="1016" w:type="dxa"/>
            <w:vMerge/>
            <w:hideMark/>
          </w:tcPr>
          <w:p w14:paraId="58A7F42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3E4F2DE0"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4F6D7649" w14:textId="77777777" w:rsidTr="00B203C9">
        <w:trPr>
          <w:trHeight w:val="480"/>
        </w:trPr>
        <w:tc>
          <w:tcPr>
            <w:tcW w:w="377" w:type="dxa"/>
            <w:vMerge/>
            <w:vAlign w:val="center"/>
          </w:tcPr>
          <w:p w14:paraId="52C13D72"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tcPr>
          <w:p w14:paraId="5A5F11F5"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tcPr>
          <w:p w14:paraId="0C40D22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PWD supported to access resources from gov’t and non-gov’t agencies</w:t>
            </w:r>
          </w:p>
        </w:tc>
        <w:tc>
          <w:tcPr>
            <w:tcW w:w="908" w:type="dxa"/>
          </w:tcPr>
          <w:p w14:paraId="2DCAD618"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p>
        </w:tc>
        <w:tc>
          <w:tcPr>
            <w:tcW w:w="954" w:type="dxa"/>
          </w:tcPr>
          <w:p w14:paraId="59842BD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300</w:t>
            </w:r>
          </w:p>
        </w:tc>
        <w:tc>
          <w:tcPr>
            <w:tcW w:w="437" w:type="dxa"/>
            <w:vMerge/>
            <w:shd w:val="clear" w:color="auto" w:fill="FFFF99"/>
            <w:vAlign w:val="center"/>
          </w:tcPr>
          <w:p w14:paraId="3E9297C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vAlign w:val="center"/>
          </w:tcPr>
          <w:p w14:paraId="18D5310B"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tcPr>
          <w:p w14:paraId="45C7299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04947C3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3CAD3ACE" w14:textId="77777777" w:rsidTr="00B203C9">
        <w:trPr>
          <w:trHeight w:val="480"/>
        </w:trPr>
        <w:tc>
          <w:tcPr>
            <w:tcW w:w="377" w:type="dxa"/>
            <w:vMerge/>
            <w:vAlign w:val="center"/>
            <w:hideMark/>
          </w:tcPr>
          <w:p w14:paraId="355FAC7B"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vAlign w:val="center"/>
            <w:hideMark/>
          </w:tcPr>
          <w:p w14:paraId="3268BBFB"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hideMark/>
          </w:tcPr>
          <w:p w14:paraId="7700691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people oriented on disability prevention</w:t>
            </w:r>
          </w:p>
          <w:p w14:paraId="65CCA08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908" w:type="dxa"/>
            <w:hideMark/>
          </w:tcPr>
          <w:p w14:paraId="76380B2D"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5F11A1E6"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5000</w:t>
            </w:r>
          </w:p>
        </w:tc>
        <w:tc>
          <w:tcPr>
            <w:tcW w:w="437" w:type="dxa"/>
            <w:vMerge/>
            <w:shd w:val="clear" w:color="auto" w:fill="FFFF99"/>
            <w:vAlign w:val="center"/>
            <w:hideMark/>
          </w:tcPr>
          <w:p w14:paraId="427CEBC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vAlign w:val="center"/>
            <w:hideMark/>
          </w:tcPr>
          <w:p w14:paraId="4D6D97AB"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hideMark/>
          </w:tcPr>
          <w:p w14:paraId="0060505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09F5FB10"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07B0F5D6" w14:textId="77777777" w:rsidTr="00B203C9">
        <w:trPr>
          <w:trHeight w:val="480"/>
        </w:trPr>
        <w:tc>
          <w:tcPr>
            <w:tcW w:w="377" w:type="dxa"/>
            <w:hideMark/>
          </w:tcPr>
          <w:p w14:paraId="5CB5B63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3.3</w:t>
            </w:r>
          </w:p>
        </w:tc>
        <w:tc>
          <w:tcPr>
            <w:tcW w:w="1676" w:type="dxa"/>
            <w:hideMark/>
          </w:tcPr>
          <w:p w14:paraId="421C07D0"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Community people are trained and supported to promote child right and protection</w:t>
            </w:r>
          </w:p>
        </w:tc>
        <w:tc>
          <w:tcPr>
            <w:tcW w:w="1573" w:type="dxa"/>
            <w:hideMark/>
          </w:tcPr>
          <w:p w14:paraId="48649A5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people oriented and supported to promote child rights, child protection and safe technology use</w:t>
            </w:r>
          </w:p>
        </w:tc>
        <w:tc>
          <w:tcPr>
            <w:tcW w:w="908" w:type="dxa"/>
            <w:hideMark/>
          </w:tcPr>
          <w:p w14:paraId="5682DFE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hideMark/>
          </w:tcPr>
          <w:p w14:paraId="75D3FC33" w14:textId="77777777" w:rsidR="00D1308F" w:rsidRPr="007342D2" w:rsidRDefault="00D1308F" w:rsidP="00B203C9">
            <w:pPr>
              <w:spacing w:after="0" w:line="240" w:lineRule="auto"/>
              <w:jc w:val="center"/>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2000</w:t>
            </w:r>
          </w:p>
        </w:tc>
        <w:tc>
          <w:tcPr>
            <w:tcW w:w="437" w:type="dxa"/>
            <w:shd w:val="clear" w:color="auto" w:fill="FFFF99"/>
            <w:hideMark/>
          </w:tcPr>
          <w:p w14:paraId="607F309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3.3.1</w:t>
            </w:r>
          </w:p>
        </w:tc>
        <w:tc>
          <w:tcPr>
            <w:tcW w:w="1661" w:type="dxa"/>
            <w:shd w:val="clear" w:color="auto" w:fill="FFFF99"/>
            <w:hideMark/>
          </w:tcPr>
          <w:p w14:paraId="0A7787F1"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Increase community awareness on child rights</w:t>
            </w:r>
          </w:p>
        </w:tc>
        <w:tc>
          <w:tcPr>
            <w:tcW w:w="1016" w:type="dxa"/>
            <w:vMerge/>
            <w:hideMark/>
          </w:tcPr>
          <w:p w14:paraId="26A6EACA"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6C8A10B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52A88D3C" w14:textId="77777777" w:rsidTr="00B203C9">
        <w:trPr>
          <w:trHeight w:val="746"/>
        </w:trPr>
        <w:tc>
          <w:tcPr>
            <w:tcW w:w="377" w:type="dxa"/>
            <w:hideMark/>
          </w:tcPr>
          <w:p w14:paraId="2AD3B7D5"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3.4</w:t>
            </w:r>
          </w:p>
        </w:tc>
        <w:tc>
          <w:tcPr>
            <w:tcW w:w="1676" w:type="dxa"/>
            <w:hideMark/>
          </w:tcPr>
          <w:p w14:paraId="17403CD9"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Youth and PwD are trained and supported in leadership development</w:t>
            </w:r>
          </w:p>
        </w:tc>
        <w:tc>
          <w:tcPr>
            <w:tcW w:w="1573" w:type="dxa"/>
            <w:hideMark/>
          </w:tcPr>
          <w:p w14:paraId="166B1BD7"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No. of women, youth, and PwD trained and supported on leadership development</w:t>
            </w:r>
          </w:p>
          <w:p w14:paraId="2617B3C4"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p>
        </w:tc>
        <w:tc>
          <w:tcPr>
            <w:tcW w:w="908" w:type="dxa"/>
            <w:hideMark/>
          </w:tcPr>
          <w:p w14:paraId="76582391"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14:ligatures w14:val="none"/>
              </w:rPr>
              <w:t> </w:t>
            </w:r>
          </w:p>
        </w:tc>
        <w:tc>
          <w:tcPr>
            <w:tcW w:w="954" w:type="dxa"/>
            <w:hideMark/>
          </w:tcPr>
          <w:p w14:paraId="2E5968D0"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Calibri" w:eastAsia="Times New Roman" w:hAnsi="Calibri" w:cs="Calibri"/>
                <w:color w:val="0D0D0D" w:themeColor="text1" w:themeTint="F2"/>
                <w:kern w:val="0"/>
                <w:sz w:val="18"/>
                <w:szCs w:val="18"/>
                <w:highlight w:val="yellow"/>
                <w14:ligatures w14:val="none"/>
              </w:rPr>
              <w:t>150</w:t>
            </w:r>
          </w:p>
        </w:tc>
        <w:tc>
          <w:tcPr>
            <w:tcW w:w="437" w:type="dxa"/>
            <w:shd w:val="clear" w:color="auto" w:fill="FFFF99"/>
            <w:hideMark/>
          </w:tcPr>
          <w:p w14:paraId="3716C636"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3.4.1</w:t>
            </w:r>
          </w:p>
        </w:tc>
        <w:tc>
          <w:tcPr>
            <w:tcW w:w="1661" w:type="dxa"/>
            <w:shd w:val="clear" w:color="auto" w:fill="FFFF99"/>
            <w:hideMark/>
          </w:tcPr>
          <w:p w14:paraId="7FBEC680"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xml:space="preserve">Leadership Development in communities </w:t>
            </w:r>
          </w:p>
        </w:tc>
        <w:tc>
          <w:tcPr>
            <w:tcW w:w="1016" w:type="dxa"/>
            <w:vMerge/>
            <w:hideMark/>
          </w:tcPr>
          <w:p w14:paraId="54D2283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hideMark/>
          </w:tcPr>
          <w:p w14:paraId="1D5EA33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1EF635BA" w14:textId="77777777" w:rsidTr="00B203C9">
        <w:trPr>
          <w:trHeight w:val="480"/>
        </w:trPr>
        <w:tc>
          <w:tcPr>
            <w:tcW w:w="377" w:type="dxa"/>
            <w:vMerge w:val="restart"/>
          </w:tcPr>
          <w:p w14:paraId="273F143C"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4.1</w:t>
            </w:r>
          </w:p>
        </w:tc>
        <w:tc>
          <w:tcPr>
            <w:tcW w:w="1676" w:type="dxa"/>
            <w:vMerge w:val="restart"/>
          </w:tcPr>
          <w:p w14:paraId="39F808AE"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Community people are trained and supported on disaster risk reduction and climate change adaptation.</w:t>
            </w:r>
          </w:p>
        </w:tc>
        <w:tc>
          <w:tcPr>
            <w:tcW w:w="1573" w:type="dxa"/>
          </w:tcPr>
          <w:p w14:paraId="7B71CE9A"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people trained and supported on DRR and climate change</w:t>
            </w:r>
          </w:p>
        </w:tc>
        <w:tc>
          <w:tcPr>
            <w:tcW w:w="908" w:type="dxa"/>
          </w:tcPr>
          <w:p w14:paraId="580FF084"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tcPr>
          <w:p w14:paraId="768ADA7B"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400</w:t>
            </w:r>
          </w:p>
        </w:tc>
        <w:tc>
          <w:tcPr>
            <w:tcW w:w="437" w:type="dxa"/>
            <w:vMerge w:val="restart"/>
            <w:shd w:val="clear" w:color="auto" w:fill="FFFF99"/>
          </w:tcPr>
          <w:p w14:paraId="47EC9B6A"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4.1.1</w:t>
            </w:r>
          </w:p>
          <w:p w14:paraId="5B131FBA"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w:t>
            </w:r>
          </w:p>
        </w:tc>
        <w:tc>
          <w:tcPr>
            <w:tcW w:w="1661" w:type="dxa"/>
            <w:vMerge w:val="restart"/>
            <w:shd w:val="clear" w:color="auto" w:fill="FFFF99"/>
          </w:tcPr>
          <w:p w14:paraId="07B503D5"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Knowledge and capacity building on disaster risk reduction and climate change adaptation.</w:t>
            </w:r>
          </w:p>
        </w:tc>
        <w:tc>
          <w:tcPr>
            <w:tcW w:w="1016" w:type="dxa"/>
            <w:vMerge w:val="restart"/>
          </w:tcPr>
          <w:p w14:paraId="4660AD0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Mix method internal MEL system e.g. case studies, survey, FGD, quarterly and annual report, online dashboard.</w:t>
            </w:r>
          </w:p>
        </w:tc>
        <w:tc>
          <w:tcPr>
            <w:tcW w:w="1738" w:type="dxa"/>
            <w:vMerge w:val="restart"/>
          </w:tcPr>
          <w:p w14:paraId="05DA337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4297D753" w14:textId="77777777" w:rsidTr="00B203C9">
        <w:trPr>
          <w:trHeight w:val="480"/>
        </w:trPr>
        <w:tc>
          <w:tcPr>
            <w:tcW w:w="377" w:type="dxa"/>
            <w:vMerge/>
          </w:tcPr>
          <w:p w14:paraId="6677E8F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Pr>
          <w:p w14:paraId="21309DF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tcPr>
          <w:p w14:paraId="61284DCA"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Youth trained and supported on waste management </w:t>
            </w:r>
          </w:p>
        </w:tc>
        <w:tc>
          <w:tcPr>
            <w:tcW w:w="908" w:type="dxa"/>
          </w:tcPr>
          <w:p w14:paraId="623D2868"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tcPr>
          <w:p w14:paraId="5F43F871"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200</w:t>
            </w:r>
          </w:p>
        </w:tc>
        <w:tc>
          <w:tcPr>
            <w:tcW w:w="437" w:type="dxa"/>
            <w:vMerge/>
            <w:shd w:val="clear" w:color="auto" w:fill="FFFF99"/>
          </w:tcPr>
          <w:p w14:paraId="4D9EFF03"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p>
        </w:tc>
        <w:tc>
          <w:tcPr>
            <w:tcW w:w="1661" w:type="dxa"/>
            <w:vMerge/>
            <w:shd w:val="clear" w:color="auto" w:fill="FFFF99"/>
          </w:tcPr>
          <w:p w14:paraId="67A9E882"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c>
          <w:tcPr>
            <w:tcW w:w="1016" w:type="dxa"/>
            <w:vMerge/>
          </w:tcPr>
          <w:p w14:paraId="7C49BBE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33BBB191"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2D187F99" w14:textId="77777777" w:rsidTr="00B203C9">
        <w:trPr>
          <w:trHeight w:val="215"/>
        </w:trPr>
        <w:tc>
          <w:tcPr>
            <w:tcW w:w="377" w:type="dxa"/>
            <w:vMerge w:val="restart"/>
          </w:tcPr>
          <w:p w14:paraId="562C6836"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4.2</w:t>
            </w:r>
          </w:p>
        </w:tc>
        <w:tc>
          <w:tcPr>
            <w:tcW w:w="1676" w:type="dxa"/>
            <w:vMerge w:val="restart"/>
          </w:tcPr>
          <w:p w14:paraId="00A6D063"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Inclusive DRR system developed and adopted at community-level.</w:t>
            </w:r>
          </w:p>
        </w:tc>
        <w:tc>
          <w:tcPr>
            <w:tcW w:w="1573" w:type="dxa"/>
            <w:vMerge w:val="restart"/>
          </w:tcPr>
          <w:p w14:paraId="1A95279B"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inclusive DRR assessments conducted and action plans adopted by UDMC</w:t>
            </w:r>
          </w:p>
        </w:tc>
        <w:tc>
          <w:tcPr>
            <w:tcW w:w="908" w:type="dxa"/>
            <w:vMerge w:val="restart"/>
          </w:tcPr>
          <w:p w14:paraId="671D1D47"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w:t>
            </w:r>
          </w:p>
        </w:tc>
        <w:tc>
          <w:tcPr>
            <w:tcW w:w="954" w:type="dxa"/>
            <w:vMerge w:val="restart"/>
          </w:tcPr>
          <w:p w14:paraId="62F92C6E"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1</w:t>
            </w:r>
          </w:p>
        </w:tc>
        <w:tc>
          <w:tcPr>
            <w:tcW w:w="437" w:type="dxa"/>
            <w:shd w:val="clear" w:color="auto" w:fill="FFFF99"/>
          </w:tcPr>
          <w:p w14:paraId="0C2A753F"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4..2.1</w:t>
            </w:r>
          </w:p>
        </w:tc>
        <w:tc>
          <w:tcPr>
            <w:tcW w:w="1661" w:type="dxa"/>
            <w:shd w:val="clear" w:color="auto" w:fill="FFFF99"/>
          </w:tcPr>
          <w:p w14:paraId="53E099F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Inclusive DRR assessment conducted</w:t>
            </w:r>
          </w:p>
        </w:tc>
        <w:tc>
          <w:tcPr>
            <w:tcW w:w="1016" w:type="dxa"/>
            <w:vMerge/>
          </w:tcPr>
          <w:p w14:paraId="6A7FC61D"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42E02C83"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6249CF55" w14:textId="77777777" w:rsidTr="00B203C9">
        <w:trPr>
          <w:trHeight w:val="480"/>
        </w:trPr>
        <w:tc>
          <w:tcPr>
            <w:tcW w:w="377" w:type="dxa"/>
            <w:vMerge/>
          </w:tcPr>
          <w:p w14:paraId="1FE3DA8A"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p>
        </w:tc>
        <w:tc>
          <w:tcPr>
            <w:tcW w:w="1676" w:type="dxa"/>
            <w:vMerge/>
          </w:tcPr>
          <w:p w14:paraId="03439E54"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573" w:type="dxa"/>
            <w:vMerge/>
          </w:tcPr>
          <w:p w14:paraId="541DA6D9"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p>
        </w:tc>
        <w:tc>
          <w:tcPr>
            <w:tcW w:w="908" w:type="dxa"/>
            <w:vMerge/>
          </w:tcPr>
          <w:p w14:paraId="1096C4BB"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p>
        </w:tc>
        <w:tc>
          <w:tcPr>
            <w:tcW w:w="954" w:type="dxa"/>
            <w:vMerge/>
          </w:tcPr>
          <w:p w14:paraId="0305E1A6"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p>
        </w:tc>
        <w:tc>
          <w:tcPr>
            <w:tcW w:w="437" w:type="dxa"/>
            <w:shd w:val="clear" w:color="auto" w:fill="FFFF99"/>
          </w:tcPr>
          <w:p w14:paraId="13AE5B2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4..2.2</w:t>
            </w:r>
          </w:p>
        </w:tc>
        <w:tc>
          <w:tcPr>
            <w:tcW w:w="1661" w:type="dxa"/>
            <w:shd w:val="clear" w:color="auto" w:fill="FFFF99"/>
          </w:tcPr>
          <w:p w14:paraId="22EA887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Follow up of inclusive DRR assessment with UDMC/UZDMC (training and support)</w:t>
            </w:r>
          </w:p>
        </w:tc>
        <w:tc>
          <w:tcPr>
            <w:tcW w:w="1016" w:type="dxa"/>
            <w:vMerge/>
          </w:tcPr>
          <w:p w14:paraId="1A82CDD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271EC3C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6010C865" w14:textId="77777777" w:rsidTr="00B203C9">
        <w:trPr>
          <w:trHeight w:val="480"/>
        </w:trPr>
        <w:tc>
          <w:tcPr>
            <w:tcW w:w="377" w:type="dxa"/>
          </w:tcPr>
          <w:p w14:paraId="44A3DD80"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4.3</w:t>
            </w:r>
          </w:p>
        </w:tc>
        <w:tc>
          <w:tcPr>
            <w:tcW w:w="1676" w:type="dxa"/>
          </w:tcPr>
          <w:p w14:paraId="5D75475F"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Youth-led eco-friendly initiatives are supported to promote climate action.</w:t>
            </w:r>
          </w:p>
        </w:tc>
        <w:tc>
          <w:tcPr>
            <w:tcW w:w="1573" w:type="dxa"/>
          </w:tcPr>
          <w:p w14:paraId="773FF979"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No. of youth-led initiatives implemented addressing climate change, DRR, or social issues</w:t>
            </w:r>
          </w:p>
        </w:tc>
        <w:tc>
          <w:tcPr>
            <w:tcW w:w="908" w:type="dxa"/>
          </w:tcPr>
          <w:p w14:paraId="6C52A1B9"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4 </w:t>
            </w:r>
          </w:p>
        </w:tc>
        <w:tc>
          <w:tcPr>
            <w:tcW w:w="954" w:type="dxa"/>
          </w:tcPr>
          <w:p w14:paraId="39131F55"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w:t>
            </w:r>
          </w:p>
        </w:tc>
        <w:tc>
          <w:tcPr>
            <w:tcW w:w="437" w:type="dxa"/>
            <w:shd w:val="clear" w:color="auto" w:fill="FFFF99"/>
          </w:tcPr>
          <w:p w14:paraId="2DA5D3BA"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4.3.1</w:t>
            </w:r>
          </w:p>
        </w:tc>
        <w:tc>
          <w:tcPr>
            <w:tcW w:w="1661" w:type="dxa"/>
            <w:shd w:val="clear" w:color="auto" w:fill="FFFF99"/>
          </w:tcPr>
          <w:p w14:paraId="4DB843DC"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 xml:space="preserve"> Promotion of Community Climate Action on eco-friendly initiatives.</w:t>
            </w:r>
          </w:p>
        </w:tc>
        <w:tc>
          <w:tcPr>
            <w:tcW w:w="1016" w:type="dxa"/>
            <w:vMerge/>
          </w:tcPr>
          <w:p w14:paraId="31103F17"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57512BF9"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r w:rsidR="007342D2" w:rsidRPr="007342D2" w14:paraId="0701573B" w14:textId="77777777" w:rsidTr="00B203C9">
        <w:trPr>
          <w:trHeight w:val="480"/>
        </w:trPr>
        <w:tc>
          <w:tcPr>
            <w:tcW w:w="377" w:type="dxa"/>
          </w:tcPr>
          <w:p w14:paraId="7EE4BBD4"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4.4</w:t>
            </w:r>
          </w:p>
        </w:tc>
        <w:tc>
          <w:tcPr>
            <w:tcW w:w="1676" w:type="dxa"/>
          </w:tcPr>
          <w:p w14:paraId="2806BEDC"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Community-based afforestation initiatives are supported to mitigate climate impacts.</w:t>
            </w:r>
          </w:p>
        </w:tc>
        <w:tc>
          <w:tcPr>
            <w:tcW w:w="1573" w:type="dxa"/>
          </w:tcPr>
          <w:p w14:paraId="25D4C7BA" w14:textId="77777777" w:rsidR="00D1308F" w:rsidRPr="007342D2" w:rsidRDefault="00D1308F" w:rsidP="00B203C9">
            <w:pPr>
              <w:spacing w:after="0" w:line="240" w:lineRule="auto"/>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 xml:space="preserve">No. of trees planted and maintained through community-based initiatives </w:t>
            </w:r>
          </w:p>
        </w:tc>
        <w:tc>
          <w:tcPr>
            <w:tcW w:w="908" w:type="dxa"/>
          </w:tcPr>
          <w:p w14:paraId="6EFF012F"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3000</w:t>
            </w:r>
          </w:p>
        </w:tc>
        <w:tc>
          <w:tcPr>
            <w:tcW w:w="954" w:type="dxa"/>
          </w:tcPr>
          <w:p w14:paraId="47DD6761" w14:textId="77777777" w:rsidR="00D1308F" w:rsidRPr="007342D2" w:rsidRDefault="00D1308F" w:rsidP="00B203C9">
            <w:pPr>
              <w:spacing w:after="0" w:line="240" w:lineRule="auto"/>
              <w:jc w:val="center"/>
              <w:rPr>
                <w:rFonts w:ascii="Calibri" w:eastAsia="Times New Roman" w:hAnsi="Calibri" w:cs="Calibri"/>
                <w:color w:val="0D0D0D" w:themeColor="text1" w:themeTint="F2"/>
                <w:kern w:val="0"/>
                <w:sz w:val="18"/>
                <w:szCs w:val="18"/>
                <w14:ligatures w14:val="none"/>
              </w:rPr>
            </w:pPr>
            <w:r w:rsidRPr="007342D2">
              <w:rPr>
                <w:rFonts w:ascii="Tahoma" w:eastAsia="Times New Roman" w:hAnsi="Tahoma" w:cs="Tahoma"/>
                <w:color w:val="0D0D0D" w:themeColor="text1" w:themeTint="F2"/>
                <w:kern w:val="0"/>
                <w:sz w:val="18"/>
                <w:szCs w:val="18"/>
                <w14:ligatures w14:val="none"/>
              </w:rPr>
              <w:t>6000</w:t>
            </w:r>
          </w:p>
        </w:tc>
        <w:tc>
          <w:tcPr>
            <w:tcW w:w="437" w:type="dxa"/>
            <w:shd w:val="clear" w:color="auto" w:fill="FFFF99"/>
          </w:tcPr>
          <w:p w14:paraId="13D3BF18" w14:textId="77777777" w:rsidR="00D1308F" w:rsidRPr="007342D2" w:rsidRDefault="00D1308F" w:rsidP="00B203C9">
            <w:pPr>
              <w:spacing w:after="0" w:line="240" w:lineRule="auto"/>
              <w:jc w:val="right"/>
              <w:rPr>
                <w:rFonts w:ascii="Tahoma" w:eastAsia="Times New Roman" w:hAnsi="Tahoma" w:cs="Tahoma"/>
                <w:color w:val="0D0D0D" w:themeColor="text1" w:themeTint="F2"/>
                <w:kern w:val="0"/>
                <w:sz w:val="14"/>
                <w:szCs w:val="14"/>
                <w14:ligatures w14:val="none"/>
              </w:rPr>
            </w:pPr>
            <w:r w:rsidRPr="007342D2">
              <w:rPr>
                <w:rFonts w:ascii="Tahoma" w:eastAsia="Times New Roman" w:hAnsi="Tahoma" w:cs="Tahoma"/>
                <w:color w:val="0D0D0D" w:themeColor="text1" w:themeTint="F2"/>
                <w:kern w:val="0"/>
                <w:sz w:val="14"/>
                <w:szCs w:val="14"/>
                <w14:ligatures w14:val="none"/>
              </w:rPr>
              <w:t xml:space="preserve">4.4.1 </w:t>
            </w:r>
          </w:p>
        </w:tc>
        <w:tc>
          <w:tcPr>
            <w:tcW w:w="1661" w:type="dxa"/>
            <w:shd w:val="clear" w:color="auto" w:fill="FFFF99"/>
          </w:tcPr>
          <w:p w14:paraId="3D56C0CE"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r w:rsidRPr="007342D2">
              <w:rPr>
                <w:rFonts w:ascii="Tahoma" w:eastAsia="Times New Roman" w:hAnsi="Tahoma" w:cs="Tahoma"/>
                <w:color w:val="0D0D0D" w:themeColor="text1" w:themeTint="F2"/>
                <w:kern w:val="0"/>
                <w:sz w:val="16"/>
                <w:szCs w:val="16"/>
                <w14:ligatures w14:val="none"/>
              </w:rPr>
              <w:t>Strengthen Community-based afforestation</w:t>
            </w:r>
          </w:p>
        </w:tc>
        <w:tc>
          <w:tcPr>
            <w:tcW w:w="1016" w:type="dxa"/>
            <w:vMerge/>
          </w:tcPr>
          <w:p w14:paraId="442F6472" w14:textId="77777777" w:rsidR="00D1308F" w:rsidRPr="007342D2" w:rsidRDefault="00D1308F" w:rsidP="00B203C9">
            <w:pPr>
              <w:spacing w:after="0" w:line="240" w:lineRule="auto"/>
              <w:rPr>
                <w:rFonts w:ascii="Tahoma" w:eastAsia="Times New Roman" w:hAnsi="Tahoma" w:cs="Tahoma"/>
                <w:color w:val="0D0D0D" w:themeColor="text1" w:themeTint="F2"/>
                <w:kern w:val="0"/>
                <w:sz w:val="18"/>
                <w:szCs w:val="18"/>
                <w14:ligatures w14:val="none"/>
              </w:rPr>
            </w:pPr>
          </w:p>
        </w:tc>
        <w:tc>
          <w:tcPr>
            <w:tcW w:w="1738" w:type="dxa"/>
            <w:vMerge/>
          </w:tcPr>
          <w:p w14:paraId="692D396F" w14:textId="77777777" w:rsidR="00D1308F" w:rsidRPr="007342D2" w:rsidRDefault="00D1308F" w:rsidP="00B203C9">
            <w:pPr>
              <w:spacing w:after="0" w:line="240" w:lineRule="auto"/>
              <w:rPr>
                <w:rFonts w:ascii="Tahoma" w:eastAsia="Times New Roman" w:hAnsi="Tahoma" w:cs="Tahoma"/>
                <w:color w:val="0D0D0D" w:themeColor="text1" w:themeTint="F2"/>
                <w:kern w:val="0"/>
                <w:sz w:val="16"/>
                <w:szCs w:val="16"/>
                <w14:ligatures w14:val="none"/>
              </w:rPr>
            </w:pPr>
          </w:p>
        </w:tc>
      </w:tr>
    </w:tbl>
    <w:p w14:paraId="597C283B" w14:textId="77777777" w:rsidR="00D1308F" w:rsidRPr="007342D2" w:rsidRDefault="00D1308F" w:rsidP="009D7D57">
      <w:pPr>
        <w:spacing w:after="0" w:line="240" w:lineRule="auto"/>
        <w:rPr>
          <w:rFonts w:ascii="Microsoft JhengHei UI Light" w:eastAsia="Microsoft JhengHei UI Light" w:hAnsi="Microsoft JhengHei UI Light"/>
          <w:color w:val="0D0D0D" w:themeColor="text1" w:themeTint="F2"/>
          <w:sz w:val="18"/>
          <w:szCs w:val="18"/>
        </w:rPr>
      </w:pPr>
      <w:r w:rsidRPr="007342D2">
        <w:rPr>
          <w:rFonts w:ascii="Microsoft JhengHei UI Light" w:eastAsia="Microsoft JhengHei UI Light" w:hAnsi="Microsoft JhengHei UI Light"/>
          <w:b/>
          <w:bCs/>
          <w:color w:val="0D0D0D" w:themeColor="text1" w:themeTint="F2"/>
          <w:sz w:val="18"/>
          <w:szCs w:val="18"/>
        </w:rPr>
        <w:t>Note</w:t>
      </w:r>
      <w:r w:rsidRPr="007342D2">
        <w:rPr>
          <w:rFonts w:ascii="Microsoft JhengHei UI Light" w:eastAsia="Microsoft JhengHei UI Light" w:hAnsi="Microsoft JhengHei UI Light"/>
          <w:color w:val="0D0D0D" w:themeColor="text1" w:themeTint="F2"/>
          <w:sz w:val="18"/>
          <w:szCs w:val="18"/>
        </w:rPr>
        <w:t>: a) If not required, please delete the columns for ‘Intervention’ from output tabl</w:t>
      </w:r>
      <w:bookmarkEnd w:id="5"/>
      <w:r w:rsidRPr="007342D2">
        <w:rPr>
          <w:rFonts w:ascii="Microsoft JhengHei UI Light" w:eastAsia="Microsoft JhengHei UI Light" w:hAnsi="Microsoft JhengHei UI Light"/>
          <w:color w:val="0D0D0D" w:themeColor="text1" w:themeTint="F2"/>
          <w:sz w:val="18"/>
          <w:szCs w:val="18"/>
        </w:rPr>
        <w:t>e</w:t>
      </w:r>
      <w:bookmarkEnd w:id="6"/>
    </w:p>
    <w:p w14:paraId="0B204950" w14:textId="25F3603E" w:rsidR="00D1308F" w:rsidRPr="007342D2" w:rsidRDefault="009D7D57" w:rsidP="009D7D57">
      <w:pPr>
        <w:spacing w:after="0" w:line="240" w:lineRule="auto"/>
        <w:ind w:firstLine="360"/>
        <w:rPr>
          <w:rFonts w:ascii="Microsoft JhengHei UI Light" w:eastAsia="Microsoft JhengHei UI Light" w:hAnsi="Microsoft JhengHei UI Light"/>
          <w:color w:val="0D0D0D" w:themeColor="text1" w:themeTint="F2"/>
          <w:sz w:val="2"/>
          <w:szCs w:val="2"/>
        </w:rPr>
      </w:pPr>
      <w:r w:rsidRPr="007342D2">
        <w:rPr>
          <w:rFonts w:ascii="Microsoft JhengHei UI Light" w:eastAsia="Microsoft JhengHei UI Light" w:hAnsi="Microsoft JhengHei UI Light"/>
          <w:color w:val="0D0D0D" w:themeColor="text1" w:themeTint="F2"/>
          <w:sz w:val="18"/>
          <w:szCs w:val="18"/>
        </w:rPr>
        <w:t xml:space="preserve">   </w:t>
      </w:r>
      <w:r w:rsidR="00D1308F" w:rsidRPr="007342D2">
        <w:rPr>
          <w:rFonts w:ascii="Microsoft JhengHei UI Light" w:eastAsia="Microsoft JhengHei UI Light" w:hAnsi="Microsoft JhengHei UI Light"/>
          <w:color w:val="0D0D0D" w:themeColor="text1" w:themeTint="F2"/>
          <w:sz w:val="18"/>
          <w:szCs w:val="18"/>
        </w:rPr>
        <w:t xml:space="preserve">b) The </w:t>
      </w:r>
      <w:r w:rsidR="00D1308F" w:rsidRPr="007342D2">
        <w:rPr>
          <w:rFonts w:ascii="Microsoft JhengHei UI Light" w:eastAsia="Microsoft JhengHei UI Light" w:hAnsi="Microsoft JhengHei UI Light"/>
          <w:color w:val="0D0D0D" w:themeColor="text1" w:themeTint="F2"/>
          <w:sz w:val="18"/>
          <w:szCs w:val="18"/>
          <w:shd w:val="clear" w:color="auto" w:fill="FFFF00"/>
        </w:rPr>
        <w:t>yellow-marked figures</w:t>
      </w:r>
      <w:r w:rsidR="00D1308F" w:rsidRPr="007342D2">
        <w:rPr>
          <w:rFonts w:ascii="Microsoft JhengHei UI Light" w:eastAsia="Microsoft JhengHei UI Light" w:hAnsi="Microsoft JhengHei UI Light"/>
          <w:color w:val="0D0D0D" w:themeColor="text1" w:themeTint="F2"/>
          <w:sz w:val="18"/>
          <w:szCs w:val="18"/>
        </w:rPr>
        <w:t xml:space="preserve"> have been changed to rearrange the budget."</w:t>
      </w:r>
    </w:p>
    <w:p w14:paraId="70A9286C" w14:textId="77777777" w:rsidR="00D1308F" w:rsidRPr="007342D2" w:rsidRDefault="00D1308F" w:rsidP="00D1308F">
      <w:pPr>
        <w:spacing w:after="0" w:line="240" w:lineRule="auto"/>
        <w:ind w:left="360"/>
        <w:rPr>
          <w:rFonts w:ascii="Gill Sans MT" w:hAnsi="Gill Sans MT"/>
          <w:color w:val="0D0D0D" w:themeColor="text1" w:themeTint="F2"/>
          <w:sz w:val="22"/>
          <w:szCs w:val="22"/>
        </w:rPr>
      </w:pPr>
    </w:p>
    <w:p w14:paraId="2480B770" w14:textId="77777777" w:rsidR="00D1308F" w:rsidRPr="007342D2" w:rsidRDefault="00D1308F" w:rsidP="00D1308F">
      <w:pPr>
        <w:spacing w:after="0" w:line="240" w:lineRule="auto"/>
        <w:ind w:left="360"/>
        <w:rPr>
          <w:rFonts w:ascii="Gill Sans MT" w:hAnsi="Gill Sans MT"/>
          <w:color w:val="0D0D0D" w:themeColor="text1" w:themeTint="F2"/>
          <w:sz w:val="22"/>
          <w:szCs w:val="22"/>
        </w:rPr>
      </w:pPr>
    </w:p>
    <w:p w14:paraId="790A156E" w14:textId="77777777" w:rsidR="00D1308F" w:rsidRPr="007342D2" w:rsidRDefault="00D1308F" w:rsidP="00D1308F">
      <w:pPr>
        <w:spacing w:after="0" w:line="240" w:lineRule="auto"/>
        <w:ind w:left="360"/>
        <w:rPr>
          <w:rFonts w:ascii="Gill Sans MT" w:hAnsi="Gill Sans MT"/>
          <w:color w:val="0D0D0D" w:themeColor="text1" w:themeTint="F2"/>
          <w:sz w:val="22"/>
          <w:szCs w:val="22"/>
        </w:rPr>
      </w:pPr>
    </w:p>
    <w:p w14:paraId="31E98479" w14:textId="77777777" w:rsidR="00D1308F" w:rsidRPr="007342D2" w:rsidRDefault="00D1308F" w:rsidP="00D1308F">
      <w:pPr>
        <w:spacing w:after="120" w:line="240" w:lineRule="auto"/>
        <w:rPr>
          <w:rFonts w:ascii="Gill Sans MT" w:hAnsi="Gill Sans MT" w:cs="Nirmala UI"/>
          <w:color w:val="0D0D0D" w:themeColor="text1" w:themeTint="F2"/>
        </w:rPr>
      </w:pPr>
    </w:p>
    <w:p w14:paraId="41467F93" w14:textId="68D8DE58" w:rsidR="00654013" w:rsidRPr="007342D2" w:rsidRDefault="00654013" w:rsidP="009D7D57">
      <w:pPr>
        <w:pStyle w:val="Heading1"/>
        <w:keepLines w:val="0"/>
        <w:numPr>
          <w:ilvl w:val="0"/>
          <w:numId w:val="11"/>
        </w:numPr>
        <w:spacing w:before="0" w:line="240" w:lineRule="auto"/>
        <w:rPr>
          <w:rFonts w:ascii="Gill Sans MT" w:eastAsia="Times New Roman" w:hAnsi="Gill Sans MT" w:cs="Tahoma"/>
          <w:b/>
          <w:bCs/>
          <w:color w:val="0D0D0D" w:themeColor="text1" w:themeTint="F2"/>
          <w:sz w:val="24"/>
          <w:szCs w:val="24"/>
        </w:rPr>
      </w:pPr>
      <w:bookmarkStart w:id="7" w:name="_Toc93951563"/>
      <w:bookmarkStart w:id="8" w:name="_Toc93951850"/>
      <w:bookmarkStart w:id="9" w:name="_Toc93952641"/>
      <w:bookmarkStart w:id="10" w:name="_Toc93955023"/>
      <w:bookmarkStart w:id="11" w:name="_Toc93955253"/>
      <w:r w:rsidRPr="007342D2">
        <w:rPr>
          <w:rFonts w:ascii="Gill Sans MT" w:eastAsia="Times New Roman" w:hAnsi="Gill Sans MT" w:cs="Tahoma"/>
          <w:b/>
          <w:bCs/>
          <w:color w:val="0D0D0D" w:themeColor="text1" w:themeTint="F2"/>
          <w:sz w:val="24"/>
          <w:szCs w:val="24"/>
        </w:rPr>
        <w:lastRenderedPageBreak/>
        <w:t>Team Members and Roles</w:t>
      </w:r>
      <w:bookmarkEnd w:id="7"/>
      <w:bookmarkEnd w:id="8"/>
      <w:bookmarkEnd w:id="9"/>
      <w:bookmarkEnd w:id="10"/>
      <w:bookmarkEnd w:id="11"/>
    </w:p>
    <w:p w14:paraId="4898FDCC" w14:textId="5C38E29E" w:rsidR="00654013" w:rsidRPr="007342D2" w:rsidRDefault="00654013" w:rsidP="00654013">
      <w:pPr>
        <w:spacing w:after="0" w:line="240" w:lineRule="auto"/>
        <w:ind w:left="360"/>
        <w:jc w:val="both"/>
        <w:rPr>
          <w:rFonts w:ascii="Gill Sans MT" w:hAnsi="Gill Sans MT" w:cs="Tahoma"/>
          <w:color w:val="0D0D0D" w:themeColor="text1" w:themeTint="F2"/>
        </w:rPr>
      </w:pPr>
      <w:r w:rsidRPr="007342D2">
        <w:rPr>
          <w:rFonts w:ascii="Gill Sans MT" w:hAnsi="Gill Sans MT" w:cs="Tahoma"/>
          <w:color w:val="0D0D0D" w:themeColor="text1" w:themeTint="F2"/>
        </w:rPr>
        <w:t xml:space="preserve">The project management wishes to have the assessment conducted by </w:t>
      </w:r>
      <w:r w:rsidR="00696298" w:rsidRPr="00090143">
        <w:rPr>
          <w:rFonts w:ascii="Gill Sans MT" w:hAnsi="Gill Sans MT" w:cs="Tahoma"/>
          <w:color w:val="0D0D0D" w:themeColor="text1" w:themeTint="F2"/>
        </w:rPr>
        <w:t xml:space="preserve">individual </w:t>
      </w:r>
      <w:r w:rsidRPr="00090143">
        <w:rPr>
          <w:rFonts w:ascii="Gill Sans MT" w:hAnsi="Gill Sans MT" w:cs="Tahoma"/>
          <w:color w:val="0D0D0D" w:themeColor="text1" w:themeTint="F2"/>
        </w:rPr>
        <w:t>consultant</w:t>
      </w:r>
      <w:r w:rsidR="00696298" w:rsidRPr="00090143">
        <w:rPr>
          <w:rFonts w:ascii="Gill Sans MT" w:hAnsi="Gill Sans MT" w:cs="Tahoma"/>
          <w:color w:val="0D0D0D" w:themeColor="text1" w:themeTint="F2"/>
        </w:rPr>
        <w:t>/s</w:t>
      </w:r>
      <w:r w:rsidRPr="007342D2">
        <w:rPr>
          <w:rFonts w:ascii="Gill Sans MT" w:hAnsi="Gill Sans MT" w:cs="Tahoma"/>
          <w:color w:val="0D0D0D" w:themeColor="text1" w:themeTint="F2"/>
        </w:rPr>
        <w:t xml:space="preserve"> having experience </w:t>
      </w:r>
      <w:r w:rsidR="00090143">
        <w:rPr>
          <w:rFonts w:ascii="Gill Sans MT" w:hAnsi="Gill Sans MT" w:cs="Tahoma"/>
          <w:color w:val="0D0D0D" w:themeColor="text1" w:themeTint="F2"/>
        </w:rPr>
        <w:t xml:space="preserve">of similar type of studies. The </w:t>
      </w:r>
      <w:r w:rsidRPr="00090143">
        <w:rPr>
          <w:rFonts w:ascii="Gill Sans MT" w:hAnsi="Gill Sans MT" w:cs="Tahoma"/>
          <w:color w:val="0D0D0D" w:themeColor="text1" w:themeTint="F2"/>
        </w:rPr>
        <w:t>Consultant</w:t>
      </w:r>
      <w:r w:rsidR="00696298" w:rsidRPr="00090143">
        <w:rPr>
          <w:rFonts w:ascii="Gill Sans MT" w:hAnsi="Gill Sans MT" w:cs="Tahoma"/>
          <w:color w:val="0D0D0D" w:themeColor="text1" w:themeTint="F2"/>
        </w:rPr>
        <w:t>/s</w:t>
      </w:r>
      <w:r w:rsidRPr="007342D2">
        <w:rPr>
          <w:rFonts w:ascii="Gill Sans MT" w:hAnsi="Gill Sans MT" w:cs="Tahoma"/>
          <w:color w:val="0D0D0D" w:themeColor="text1" w:themeTint="F2"/>
        </w:rPr>
        <w:t xml:space="preserve"> should lead the study involving staff from M4L project and target community. </w:t>
      </w:r>
    </w:p>
    <w:p w14:paraId="304D5B52" w14:textId="77777777" w:rsidR="00654013" w:rsidRPr="007342D2" w:rsidRDefault="00654013" w:rsidP="00654013">
      <w:pPr>
        <w:spacing w:after="0" w:line="240" w:lineRule="auto"/>
        <w:ind w:left="360"/>
        <w:jc w:val="both"/>
        <w:rPr>
          <w:rFonts w:ascii="Gill Sans MT" w:hAnsi="Gill Sans MT" w:cs="Tahoma"/>
          <w:color w:val="0D0D0D" w:themeColor="text1" w:themeTint="F2"/>
        </w:rPr>
      </w:pPr>
    </w:p>
    <w:p w14:paraId="22B514F5" w14:textId="7A9F291D" w:rsidR="00654013" w:rsidRPr="007342D2" w:rsidRDefault="00654013" w:rsidP="00654013">
      <w:pPr>
        <w:spacing w:after="0" w:line="240" w:lineRule="auto"/>
        <w:ind w:left="360"/>
        <w:jc w:val="both"/>
        <w:rPr>
          <w:rFonts w:ascii="Gill Sans MT" w:hAnsi="Gill Sans MT" w:cs="Tahoma"/>
          <w:color w:val="0D0D0D" w:themeColor="text1" w:themeTint="F2"/>
        </w:rPr>
      </w:pPr>
      <w:r w:rsidRPr="007342D2">
        <w:rPr>
          <w:rFonts w:ascii="Gill Sans MT" w:hAnsi="Gill Sans MT" w:cs="Tahoma"/>
          <w:color w:val="0D0D0D" w:themeColor="text1" w:themeTint="F2"/>
        </w:rPr>
        <w:t xml:space="preserve">The study should have two teams: i) The core team and ii) the data enumeration team from nominated by the </w:t>
      </w:r>
      <w:r w:rsidR="00E02490" w:rsidRPr="007342D2">
        <w:rPr>
          <w:rFonts w:ascii="Gill Sans MT" w:hAnsi="Gill Sans MT" w:cs="Tahoma"/>
          <w:color w:val="0D0D0D" w:themeColor="text1" w:themeTint="F2"/>
        </w:rPr>
        <w:t>project</w:t>
      </w:r>
      <w:r w:rsidRPr="007342D2">
        <w:rPr>
          <w:rFonts w:ascii="Gill Sans MT" w:hAnsi="Gill Sans MT" w:cs="Tahoma"/>
          <w:color w:val="0D0D0D" w:themeColor="text1" w:themeTint="F2"/>
        </w:rPr>
        <w:t>. The core teams will be formed by the consulting firm/Consultant and field team will be formed by the p</w:t>
      </w:r>
      <w:r w:rsidR="00E02490" w:rsidRPr="007342D2">
        <w:rPr>
          <w:rFonts w:ascii="Gill Sans MT" w:hAnsi="Gill Sans MT" w:cs="Tahoma"/>
          <w:color w:val="0D0D0D" w:themeColor="text1" w:themeTint="F2"/>
        </w:rPr>
        <w:t>roject</w:t>
      </w:r>
      <w:r w:rsidRPr="007342D2">
        <w:rPr>
          <w:rFonts w:ascii="Gill Sans MT" w:hAnsi="Gill Sans MT" w:cs="Tahoma"/>
          <w:color w:val="0D0D0D" w:themeColor="text1" w:themeTint="F2"/>
        </w:rPr>
        <w:t xml:space="preserve">. The overall process will be conducted by the core team and members of the core team will be physically present in the field during data collection. </w:t>
      </w:r>
    </w:p>
    <w:p w14:paraId="17F1CF60" w14:textId="77777777" w:rsidR="00654013" w:rsidRPr="007342D2" w:rsidRDefault="00654013" w:rsidP="00654013">
      <w:pPr>
        <w:spacing w:after="0" w:line="240" w:lineRule="auto"/>
        <w:ind w:left="360"/>
        <w:jc w:val="both"/>
        <w:rPr>
          <w:rFonts w:ascii="Gill Sans MT" w:hAnsi="Gill Sans MT" w:cs="Tahoma"/>
          <w:color w:val="0D0D0D" w:themeColor="text1" w:themeTint="F2"/>
        </w:rPr>
      </w:pPr>
    </w:p>
    <w:p w14:paraId="32AD5D95" w14:textId="5A2261FA" w:rsidR="00654013" w:rsidRPr="007342D2" w:rsidRDefault="00654013" w:rsidP="00654013">
      <w:pPr>
        <w:spacing w:after="0" w:line="240" w:lineRule="auto"/>
        <w:ind w:left="360"/>
        <w:jc w:val="both"/>
        <w:rPr>
          <w:rFonts w:ascii="Gill Sans MT" w:hAnsi="Gill Sans MT" w:cs="Tahoma"/>
          <w:color w:val="0D0D0D" w:themeColor="text1" w:themeTint="F2"/>
        </w:rPr>
      </w:pPr>
      <w:r w:rsidRPr="007342D2">
        <w:rPr>
          <w:rFonts w:ascii="Gill Sans MT" w:hAnsi="Gill Sans MT" w:cs="Tahoma"/>
          <w:color w:val="0D0D0D" w:themeColor="text1" w:themeTint="F2"/>
        </w:rPr>
        <w:t>The data enumeration team will comprise of enumerators and supervisors from p</w:t>
      </w:r>
      <w:r w:rsidR="00E02490" w:rsidRPr="007342D2">
        <w:rPr>
          <w:rFonts w:ascii="Gill Sans MT" w:hAnsi="Gill Sans MT" w:cs="Tahoma"/>
          <w:color w:val="0D0D0D" w:themeColor="text1" w:themeTint="F2"/>
        </w:rPr>
        <w:t>roject</w:t>
      </w:r>
      <w:r w:rsidRPr="007342D2">
        <w:rPr>
          <w:rFonts w:ascii="Gill Sans MT" w:hAnsi="Gill Sans MT" w:cs="Tahoma"/>
          <w:color w:val="0D0D0D" w:themeColor="text1" w:themeTint="F2"/>
        </w:rPr>
        <w:t xml:space="preserve"> part and the trainers and qualitative data collectors from consultant part. The data enumeration team will be leaded by the core team. Moreover, the core team will execute the study in close collaboration and coordination with </w:t>
      </w:r>
      <w:r w:rsidR="00E02490" w:rsidRPr="007342D2">
        <w:rPr>
          <w:rFonts w:ascii="Gill Sans MT" w:hAnsi="Gill Sans MT" w:cs="Tahoma"/>
          <w:color w:val="0D0D0D" w:themeColor="text1" w:themeTint="F2"/>
        </w:rPr>
        <w:t>M4L</w:t>
      </w:r>
      <w:r w:rsidRPr="007342D2">
        <w:rPr>
          <w:rFonts w:ascii="Gill Sans MT" w:hAnsi="Gill Sans MT" w:cs="Tahoma"/>
          <w:color w:val="0D0D0D" w:themeColor="text1" w:themeTint="F2"/>
        </w:rPr>
        <w:t xml:space="preserve"> project ME</w:t>
      </w:r>
      <w:r w:rsidR="00E02490" w:rsidRPr="007342D2">
        <w:rPr>
          <w:rFonts w:ascii="Gill Sans MT" w:hAnsi="Gill Sans MT" w:cs="Tahoma"/>
          <w:color w:val="0D0D0D" w:themeColor="text1" w:themeTint="F2"/>
        </w:rPr>
        <w:t>L</w:t>
      </w:r>
      <w:r w:rsidRPr="007342D2">
        <w:rPr>
          <w:rFonts w:ascii="Gill Sans MT" w:hAnsi="Gill Sans MT" w:cs="Tahoma"/>
          <w:color w:val="0D0D0D" w:themeColor="text1" w:themeTint="F2"/>
        </w:rPr>
        <w:t xml:space="preserve"> </w:t>
      </w:r>
      <w:r w:rsidR="00E02490" w:rsidRPr="007342D2">
        <w:rPr>
          <w:rFonts w:ascii="Gill Sans MT" w:hAnsi="Gill Sans MT" w:cs="Tahoma"/>
          <w:color w:val="0D0D0D" w:themeColor="text1" w:themeTint="F2"/>
        </w:rPr>
        <w:t xml:space="preserve">and Program </w:t>
      </w:r>
      <w:r w:rsidRPr="007342D2">
        <w:rPr>
          <w:rFonts w:ascii="Gill Sans MT" w:hAnsi="Gill Sans MT" w:cs="Tahoma"/>
          <w:color w:val="0D0D0D" w:themeColor="text1" w:themeTint="F2"/>
        </w:rPr>
        <w:t>team.</w:t>
      </w:r>
    </w:p>
    <w:p w14:paraId="3FEBF073" w14:textId="77777777" w:rsidR="00654013" w:rsidRPr="007342D2" w:rsidRDefault="00654013" w:rsidP="00654013">
      <w:pPr>
        <w:spacing w:after="0" w:line="240" w:lineRule="auto"/>
        <w:ind w:left="360"/>
        <w:jc w:val="both"/>
        <w:rPr>
          <w:rFonts w:ascii="Gill Sans MT" w:hAnsi="Gill Sans MT" w:cs="Tahoma"/>
          <w:color w:val="0D0D0D" w:themeColor="text1" w:themeTint="F2"/>
        </w:rPr>
      </w:pPr>
    </w:p>
    <w:p w14:paraId="59744504" w14:textId="07BC5103" w:rsidR="00654013" w:rsidRPr="007342D2" w:rsidRDefault="00654013" w:rsidP="00654013">
      <w:pPr>
        <w:spacing w:after="0" w:line="240" w:lineRule="auto"/>
        <w:ind w:left="360"/>
        <w:jc w:val="both"/>
        <w:rPr>
          <w:rFonts w:ascii="Gill Sans MT" w:hAnsi="Gill Sans MT" w:cs="Tahoma"/>
          <w:color w:val="0D0D0D" w:themeColor="text1" w:themeTint="F2"/>
        </w:rPr>
      </w:pPr>
      <w:r w:rsidRPr="007342D2">
        <w:rPr>
          <w:rFonts w:ascii="Gill Sans MT" w:hAnsi="Gill Sans MT" w:cs="Tahoma"/>
          <w:color w:val="0D0D0D" w:themeColor="text1" w:themeTint="F2"/>
        </w:rPr>
        <w:t>The data enumeration team will be responsible for collecting household data from the field using structured tool developed by the core team. The household data will be collected digitally and the core team will develop and manage the digital platform. The core team will train the field enumeration team nominated by the p</w:t>
      </w:r>
      <w:r w:rsidR="00E02490" w:rsidRPr="007342D2">
        <w:rPr>
          <w:rFonts w:ascii="Gill Sans MT" w:hAnsi="Gill Sans MT" w:cs="Tahoma"/>
          <w:color w:val="0D0D0D" w:themeColor="text1" w:themeTint="F2"/>
        </w:rPr>
        <w:t>roject</w:t>
      </w:r>
      <w:r w:rsidRPr="007342D2">
        <w:rPr>
          <w:rFonts w:ascii="Gill Sans MT" w:hAnsi="Gill Sans MT" w:cs="Tahoma"/>
          <w:color w:val="0D0D0D" w:themeColor="text1" w:themeTint="F2"/>
        </w:rPr>
        <w:t xml:space="preserve"> who will be from local community. Survey related arrangements including training cost will be attended to by the consulting firm and related costs will be borne by it. No extra payment will be made to the consulting firm except the contract amount.</w:t>
      </w:r>
    </w:p>
    <w:p w14:paraId="746A5DD6" w14:textId="77777777" w:rsidR="009523A3" w:rsidRPr="007342D2" w:rsidRDefault="009523A3" w:rsidP="00E16AE2">
      <w:pPr>
        <w:spacing w:after="120" w:line="240" w:lineRule="auto"/>
        <w:rPr>
          <w:rFonts w:ascii="Gill Sans MT" w:hAnsi="Gill Sans MT" w:cs="Nirmala UI"/>
          <w:b/>
          <w:bCs/>
          <w:color w:val="0D0D0D" w:themeColor="text1" w:themeTint="F2"/>
        </w:rPr>
      </w:pPr>
    </w:p>
    <w:p w14:paraId="3EFD1437" w14:textId="77777777" w:rsidR="00A545BE" w:rsidRPr="007342D2" w:rsidRDefault="00A545BE" w:rsidP="009D7D57">
      <w:pPr>
        <w:pStyle w:val="Heading1"/>
        <w:keepLines w:val="0"/>
        <w:numPr>
          <w:ilvl w:val="0"/>
          <w:numId w:val="11"/>
        </w:numPr>
        <w:spacing w:before="0" w:line="240" w:lineRule="auto"/>
        <w:ind w:left="720"/>
        <w:rPr>
          <w:rFonts w:ascii="Gill Sans MT" w:eastAsia="Times New Roman" w:hAnsi="Gill Sans MT" w:cs="Arial"/>
          <w:b/>
          <w:bCs/>
          <w:color w:val="0D0D0D" w:themeColor="text1" w:themeTint="F2"/>
          <w:sz w:val="22"/>
          <w:szCs w:val="22"/>
        </w:rPr>
      </w:pPr>
      <w:bookmarkStart w:id="12" w:name="_Toc93951548"/>
      <w:bookmarkStart w:id="13" w:name="_Toc93951835"/>
      <w:bookmarkStart w:id="14" w:name="_Toc93952626"/>
      <w:bookmarkStart w:id="15" w:name="_Toc93955008"/>
      <w:bookmarkStart w:id="16" w:name="_Toc216003288"/>
      <w:r w:rsidRPr="007342D2">
        <w:rPr>
          <w:rFonts w:ascii="Gill Sans MT" w:eastAsia="Times New Roman" w:hAnsi="Gill Sans MT" w:cs="Arial"/>
          <w:b/>
          <w:bCs/>
          <w:color w:val="0D0D0D" w:themeColor="text1" w:themeTint="F2"/>
          <w:sz w:val="22"/>
          <w:szCs w:val="22"/>
        </w:rPr>
        <w:t>Proposed methodology of the baseline study</w:t>
      </w:r>
      <w:bookmarkEnd w:id="12"/>
      <w:bookmarkEnd w:id="13"/>
      <w:bookmarkEnd w:id="14"/>
      <w:bookmarkEnd w:id="15"/>
      <w:bookmarkEnd w:id="16"/>
    </w:p>
    <w:p w14:paraId="0DFD583A" w14:textId="59666DDA" w:rsidR="00A545BE" w:rsidRPr="007342D2" w:rsidRDefault="00A545BE" w:rsidP="00A545BE">
      <w:pPr>
        <w:pStyle w:val="ListParagraph"/>
        <w:spacing w:after="0" w:line="240" w:lineRule="auto"/>
        <w:ind w:left="360"/>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The Assessment will be </w:t>
      </w:r>
      <w:r w:rsidRPr="007342D2">
        <w:rPr>
          <w:rFonts w:ascii="Gill Sans MT" w:hAnsi="Gill Sans MT" w:cs="Arial"/>
          <w:b/>
          <w:bCs/>
          <w:color w:val="0D0D0D" w:themeColor="text1" w:themeTint="F2"/>
        </w:rPr>
        <w:t>mixed method</w:t>
      </w:r>
      <w:r w:rsidRPr="007342D2">
        <w:rPr>
          <w:rFonts w:ascii="Gill Sans MT" w:hAnsi="Gill Sans MT" w:cs="Arial"/>
          <w:color w:val="0D0D0D" w:themeColor="text1" w:themeTint="F2"/>
        </w:rPr>
        <w:t xml:space="preserve"> followed by a) Sample Survey</w:t>
      </w:r>
      <w:r w:rsidRPr="007342D2" w:rsidDel="000B5A34">
        <w:rPr>
          <w:rFonts w:ascii="Gill Sans MT" w:hAnsi="Gill Sans MT" w:cs="Arial"/>
          <w:color w:val="0D0D0D" w:themeColor="text1" w:themeTint="F2"/>
        </w:rPr>
        <w:t xml:space="preserve"> </w:t>
      </w:r>
      <w:r w:rsidRPr="007342D2">
        <w:rPr>
          <w:rFonts w:ascii="Gill Sans MT" w:hAnsi="Gill Sans MT" w:cs="Arial"/>
          <w:color w:val="0D0D0D" w:themeColor="text1" w:themeTint="F2"/>
        </w:rPr>
        <w:t>and b) Purposively</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 xml:space="preserve">sampled qualitative study to cover the direct and indirect household and various stakeholders such as </w:t>
      </w:r>
      <w:r w:rsidR="00A158DE" w:rsidRPr="007342D2">
        <w:rPr>
          <w:rFonts w:ascii="Gill Sans MT" w:hAnsi="Gill Sans MT" w:cs="Arial"/>
          <w:color w:val="0D0D0D" w:themeColor="text1" w:themeTint="F2"/>
        </w:rPr>
        <w:t>dealer/retailers,</w:t>
      </w:r>
      <w:r w:rsidRPr="007342D2">
        <w:rPr>
          <w:rFonts w:ascii="Gill Sans MT" w:hAnsi="Gill Sans MT" w:cs="Arial"/>
          <w:color w:val="0D0D0D" w:themeColor="text1" w:themeTint="F2"/>
        </w:rPr>
        <w:t xml:space="preserve"> </w:t>
      </w:r>
      <w:r w:rsidR="00A158DE" w:rsidRPr="007342D2">
        <w:rPr>
          <w:rFonts w:ascii="Gill Sans MT" w:hAnsi="Gill Sans MT" w:cs="Arial"/>
          <w:color w:val="0D0D0D" w:themeColor="text1" w:themeTint="F2"/>
        </w:rPr>
        <w:t>public and private actors</w:t>
      </w:r>
      <w:r w:rsidRPr="007342D2">
        <w:rPr>
          <w:rFonts w:ascii="Gill Sans MT" w:hAnsi="Gill Sans MT" w:cs="Arial"/>
          <w:color w:val="0D0D0D" w:themeColor="text1" w:themeTint="F2"/>
        </w:rPr>
        <w:t xml:space="preserve">, agricultural extension service, department of women affairs, department of youth development, district and Upazila administration, </w:t>
      </w:r>
      <w:r w:rsidRPr="007342D2">
        <w:rPr>
          <w:rFonts w:ascii="Gill Sans MT" w:hAnsi="Gill Sans MT"/>
          <w:color w:val="0D0D0D" w:themeColor="text1" w:themeTint="F2"/>
        </w:rPr>
        <w:t>Financial Service Providers, local market actors (Chamber of Commerce, Bazar Committees, Traders Associations)</w:t>
      </w:r>
      <w:r w:rsidR="00A158DE" w:rsidRPr="007342D2">
        <w:rPr>
          <w:rFonts w:ascii="Gill Sans MT" w:hAnsi="Gill Sans MT"/>
          <w:color w:val="0D0D0D" w:themeColor="text1" w:themeTint="F2"/>
        </w:rPr>
        <w:t>.</w:t>
      </w:r>
      <w:r w:rsidRPr="007342D2">
        <w:rPr>
          <w:rFonts w:ascii="Gill Sans MT" w:hAnsi="Gill Sans MT" w:cs="Arial"/>
          <w:color w:val="0D0D0D" w:themeColor="text1" w:themeTint="F2"/>
        </w:rPr>
        <w:t xml:space="preserve"> The methods are described below one by one: (control area vs treatment area data)</w:t>
      </w:r>
    </w:p>
    <w:p w14:paraId="4B2E5F2B" w14:textId="77777777" w:rsidR="00A545BE" w:rsidRPr="007342D2" w:rsidRDefault="00A545BE" w:rsidP="00A545BE">
      <w:pPr>
        <w:spacing w:after="0" w:line="240" w:lineRule="auto"/>
        <w:ind w:left="360"/>
        <w:jc w:val="both"/>
        <w:rPr>
          <w:rFonts w:ascii="Gill Sans MT" w:hAnsi="Gill Sans MT" w:cs="Arial"/>
          <w:color w:val="0D0D0D" w:themeColor="text1" w:themeTint="F2"/>
        </w:rPr>
      </w:pPr>
    </w:p>
    <w:p w14:paraId="4D05D401" w14:textId="1CC8577B" w:rsidR="00A545BE" w:rsidRPr="007342D2" w:rsidRDefault="00A545BE" w:rsidP="009D7D57">
      <w:pPr>
        <w:pStyle w:val="Heading1"/>
        <w:keepLines w:val="0"/>
        <w:numPr>
          <w:ilvl w:val="1"/>
          <w:numId w:val="22"/>
        </w:numPr>
        <w:spacing w:before="0" w:line="240" w:lineRule="auto"/>
        <w:ind w:left="990" w:hanging="630"/>
        <w:rPr>
          <w:rFonts w:ascii="Gill Sans MT" w:eastAsia="Times New Roman" w:hAnsi="Gill Sans MT" w:cs="Arial"/>
          <w:color w:val="0D0D0D" w:themeColor="text1" w:themeTint="F2"/>
          <w:sz w:val="22"/>
          <w:szCs w:val="22"/>
        </w:rPr>
      </w:pPr>
      <w:bookmarkStart w:id="17" w:name="_Toc93951549"/>
      <w:bookmarkStart w:id="18" w:name="_Toc93951836"/>
      <w:bookmarkStart w:id="19" w:name="_Toc93952627"/>
      <w:bookmarkStart w:id="20" w:name="_Toc93955009"/>
      <w:bookmarkStart w:id="21" w:name="_Toc216003289"/>
      <w:r w:rsidRPr="007342D2">
        <w:rPr>
          <w:rFonts w:ascii="Gill Sans MT" w:eastAsia="Times New Roman" w:hAnsi="Gill Sans MT" w:cs="Arial"/>
          <w:b/>
          <w:bCs/>
          <w:color w:val="0D0D0D" w:themeColor="text1" w:themeTint="F2"/>
          <w:sz w:val="22"/>
          <w:szCs w:val="22"/>
        </w:rPr>
        <w:t>Household Survey</w:t>
      </w:r>
      <w:bookmarkEnd w:id="17"/>
      <w:bookmarkEnd w:id="18"/>
      <w:bookmarkEnd w:id="19"/>
      <w:bookmarkEnd w:id="20"/>
      <w:bookmarkEnd w:id="21"/>
    </w:p>
    <w:p w14:paraId="73A30CF7" w14:textId="1DBE42D5" w:rsidR="00A545BE" w:rsidRPr="007342D2" w:rsidRDefault="000609A4" w:rsidP="00A545BE">
      <w:pPr>
        <w:pStyle w:val="NormalWeb"/>
        <w:spacing w:before="0" w:beforeAutospacing="0" w:after="0" w:afterAutospacing="0" w:line="235" w:lineRule="atLeast"/>
        <w:ind w:left="993"/>
        <w:jc w:val="both"/>
        <w:rPr>
          <w:rFonts w:ascii="Gill Sans MT" w:hAnsi="Gill Sans MT" w:cs="Calibri"/>
          <w:color w:val="0D0D0D" w:themeColor="text1" w:themeTint="F2"/>
          <w:sz w:val="22"/>
          <w:szCs w:val="22"/>
        </w:rPr>
      </w:pPr>
      <w:r w:rsidRPr="007342D2">
        <w:rPr>
          <w:rFonts w:ascii="Gill Sans MT" w:hAnsi="Gill Sans MT" w:cs="Calibri"/>
          <w:color w:val="0D0D0D" w:themeColor="text1" w:themeTint="F2"/>
          <w:sz w:val="22"/>
          <w:szCs w:val="22"/>
          <w:lang w:val="en-GB"/>
        </w:rPr>
        <w:t>M4L</w:t>
      </w:r>
      <w:r w:rsidR="00A545BE" w:rsidRPr="007342D2">
        <w:rPr>
          <w:rFonts w:ascii="Gill Sans MT" w:hAnsi="Gill Sans MT" w:cs="Calibri"/>
          <w:color w:val="0D0D0D" w:themeColor="text1" w:themeTint="F2"/>
          <w:sz w:val="22"/>
          <w:szCs w:val="22"/>
          <w:lang w:val="en-GB"/>
        </w:rPr>
        <w:t xml:space="preserve"> project has a plan to work with its listed </w:t>
      </w:r>
      <w:r w:rsidR="00A158DE" w:rsidRPr="007342D2">
        <w:rPr>
          <w:rFonts w:ascii="Gill Sans MT" w:hAnsi="Gill Sans MT" w:cs="Calibri"/>
          <w:color w:val="0D0D0D" w:themeColor="text1" w:themeTint="F2"/>
          <w:sz w:val="22"/>
          <w:szCs w:val="22"/>
          <w:lang w:val="en-GB"/>
        </w:rPr>
        <w:t xml:space="preserve">3000 </w:t>
      </w:r>
      <w:r w:rsidR="00A545BE" w:rsidRPr="007342D2">
        <w:rPr>
          <w:rFonts w:ascii="Gill Sans MT" w:hAnsi="Gill Sans MT" w:cs="Calibri"/>
          <w:color w:val="0D0D0D" w:themeColor="text1" w:themeTint="F2"/>
          <w:sz w:val="22"/>
          <w:szCs w:val="22"/>
          <w:lang w:val="en-GB"/>
        </w:rPr>
        <w:t xml:space="preserve">HHs including the </w:t>
      </w:r>
      <w:r w:rsidR="00A158DE" w:rsidRPr="007342D2">
        <w:rPr>
          <w:rFonts w:ascii="Gill Sans MT" w:hAnsi="Gill Sans MT" w:cs="Calibri"/>
          <w:color w:val="0D0D0D" w:themeColor="text1" w:themeTint="F2"/>
          <w:sz w:val="22"/>
          <w:szCs w:val="22"/>
          <w:lang w:val="en-GB"/>
        </w:rPr>
        <w:t>vegetable producers (2250 and goat rearers (750) from 1</w:t>
      </w:r>
      <w:r w:rsidR="00A158DE" w:rsidRPr="007342D2">
        <w:rPr>
          <w:rFonts w:ascii="Gill Sans MT" w:hAnsi="Gill Sans MT" w:cs="Calibri"/>
          <w:color w:val="0D0D0D" w:themeColor="text1" w:themeTint="F2"/>
          <w:sz w:val="22"/>
          <w:szCs w:val="22"/>
          <w:vertAlign w:val="superscript"/>
          <w:lang w:val="en-GB"/>
        </w:rPr>
        <w:t>st</w:t>
      </w:r>
      <w:r w:rsidR="00A158DE" w:rsidRPr="007342D2">
        <w:rPr>
          <w:rFonts w:ascii="Gill Sans MT" w:hAnsi="Gill Sans MT" w:cs="Calibri"/>
          <w:color w:val="0D0D0D" w:themeColor="text1" w:themeTint="F2"/>
          <w:sz w:val="22"/>
          <w:szCs w:val="22"/>
          <w:lang w:val="en-GB"/>
        </w:rPr>
        <w:t xml:space="preserve"> phase and additional 2000 HH </w:t>
      </w:r>
      <w:r w:rsidR="008407E1" w:rsidRPr="007342D2">
        <w:rPr>
          <w:rFonts w:ascii="Gill Sans MT" w:hAnsi="Gill Sans MT" w:cs="Calibri"/>
          <w:color w:val="0D0D0D" w:themeColor="text1" w:themeTint="F2"/>
          <w:sz w:val="22"/>
          <w:szCs w:val="22"/>
          <w:lang w:val="en-GB"/>
        </w:rPr>
        <w:t xml:space="preserve">proposed </w:t>
      </w:r>
      <w:r w:rsidR="00A158DE" w:rsidRPr="007342D2">
        <w:rPr>
          <w:rFonts w:ascii="Gill Sans MT" w:hAnsi="Gill Sans MT" w:cs="Calibri"/>
          <w:color w:val="0D0D0D" w:themeColor="text1" w:themeTint="F2"/>
          <w:sz w:val="22"/>
          <w:szCs w:val="22"/>
          <w:lang w:val="en-GB"/>
        </w:rPr>
        <w:t>in six unions under Jamalpur sadar upazila.</w:t>
      </w:r>
      <w:r w:rsidR="00A545BE" w:rsidRPr="007342D2">
        <w:rPr>
          <w:rFonts w:ascii="Gill Sans MT" w:hAnsi="Gill Sans MT" w:cs="Calibri"/>
          <w:color w:val="0D0D0D" w:themeColor="text1" w:themeTint="F2"/>
          <w:sz w:val="22"/>
          <w:szCs w:val="22"/>
          <w:lang w:val="en-GB"/>
        </w:rPr>
        <w:t xml:space="preserve"> So, the consulting firm</w:t>
      </w:r>
      <w:r w:rsidR="00A158DE" w:rsidRPr="007342D2">
        <w:rPr>
          <w:rFonts w:ascii="Gill Sans MT" w:hAnsi="Gill Sans MT" w:cs="Calibri"/>
          <w:color w:val="0D0D0D" w:themeColor="text1" w:themeTint="F2"/>
          <w:sz w:val="22"/>
          <w:szCs w:val="22"/>
          <w:lang w:val="en-GB"/>
        </w:rPr>
        <w:t>/consultant</w:t>
      </w:r>
      <w:r w:rsidR="00A545BE" w:rsidRPr="007342D2">
        <w:rPr>
          <w:rFonts w:ascii="Gill Sans MT" w:hAnsi="Gill Sans MT" w:cs="Calibri"/>
          <w:color w:val="0D0D0D" w:themeColor="text1" w:themeTint="F2"/>
          <w:sz w:val="22"/>
          <w:szCs w:val="22"/>
          <w:lang w:val="en-GB"/>
        </w:rPr>
        <w:t xml:space="preserve"> will design an appropriate survey methodology to cover sample survey of </w:t>
      </w:r>
      <w:r w:rsidR="00D150B9" w:rsidRPr="007342D2">
        <w:rPr>
          <w:rFonts w:ascii="Gill Sans MT" w:hAnsi="Gill Sans MT" w:cs="Calibri"/>
          <w:color w:val="0D0D0D" w:themeColor="text1" w:themeTint="F2"/>
          <w:sz w:val="22"/>
          <w:szCs w:val="22"/>
          <w:lang w:val="en-GB"/>
        </w:rPr>
        <w:t xml:space="preserve">vegetable producers and livestock rearers </w:t>
      </w:r>
      <w:r w:rsidR="00A545BE" w:rsidRPr="007342D2">
        <w:rPr>
          <w:rFonts w:ascii="Gill Sans MT" w:hAnsi="Gill Sans MT" w:cs="Calibri"/>
          <w:color w:val="0D0D0D" w:themeColor="text1" w:themeTint="F2"/>
          <w:sz w:val="22"/>
          <w:szCs w:val="22"/>
          <w:lang w:val="en-GB"/>
        </w:rPr>
        <w:t xml:space="preserve">from the </w:t>
      </w:r>
      <w:r w:rsidR="00D150B9" w:rsidRPr="007342D2">
        <w:rPr>
          <w:rFonts w:ascii="Gill Sans MT" w:hAnsi="Gill Sans MT" w:cs="Calibri"/>
          <w:color w:val="0D0D0D" w:themeColor="text1" w:themeTint="F2"/>
          <w:sz w:val="22"/>
          <w:szCs w:val="22"/>
          <w:lang w:val="en-GB"/>
        </w:rPr>
        <w:t xml:space="preserve">six unions of </w:t>
      </w:r>
      <w:r w:rsidR="00A545BE" w:rsidRPr="007342D2">
        <w:rPr>
          <w:rFonts w:ascii="Gill Sans MT" w:hAnsi="Gill Sans MT" w:cs="Calibri"/>
          <w:color w:val="0D0D0D" w:themeColor="text1" w:themeTint="F2"/>
          <w:sz w:val="22"/>
          <w:szCs w:val="22"/>
          <w:lang w:val="en-GB"/>
        </w:rPr>
        <w:t>the project area, The Consulting firm</w:t>
      </w:r>
      <w:r w:rsidR="00D150B9" w:rsidRPr="007342D2">
        <w:rPr>
          <w:rFonts w:ascii="Gill Sans MT" w:hAnsi="Gill Sans MT" w:cs="Calibri"/>
          <w:color w:val="0D0D0D" w:themeColor="text1" w:themeTint="F2"/>
          <w:sz w:val="22"/>
          <w:szCs w:val="22"/>
          <w:lang w:val="en-GB"/>
        </w:rPr>
        <w:t>/Consultant</w:t>
      </w:r>
      <w:r w:rsidR="00A545BE" w:rsidRPr="007342D2">
        <w:rPr>
          <w:rFonts w:ascii="Gill Sans MT" w:hAnsi="Gill Sans MT" w:cs="Calibri"/>
          <w:color w:val="0D0D0D" w:themeColor="text1" w:themeTint="F2"/>
          <w:sz w:val="22"/>
          <w:szCs w:val="22"/>
          <w:lang w:val="en-GB"/>
        </w:rPr>
        <w:t> will design and execute the survey plan that includes developing questionnaires, field procedure manuals design training course for enumerators, and supervisors. Conduct competency-based training to them including field testing and pre-testing the survey tools. Consultancy firm</w:t>
      </w:r>
      <w:r w:rsidR="008407E1" w:rsidRPr="007342D2">
        <w:rPr>
          <w:rFonts w:ascii="Gill Sans MT" w:hAnsi="Gill Sans MT" w:cs="Calibri"/>
          <w:color w:val="0D0D0D" w:themeColor="text1" w:themeTint="F2"/>
          <w:sz w:val="22"/>
          <w:szCs w:val="22"/>
          <w:lang w:val="en-GB"/>
        </w:rPr>
        <w:t>/Consultant</w:t>
      </w:r>
      <w:r w:rsidR="00A545BE" w:rsidRPr="007342D2">
        <w:rPr>
          <w:rFonts w:ascii="Gill Sans MT" w:hAnsi="Gill Sans MT" w:cs="Calibri"/>
          <w:color w:val="0D0D0D" w:themeColor="text1" w:themeTint="F2"/>
          <w:sz w:val="22"/>
          <w:szCs w:val="22"/>
          <w:lang w:val="en-GB"/>
        </w:rPr>
        <w:t xml:space="preserve"> will arrange all necessary logistics for field work and pre</w:t>
      </w:r>
      <w:r w:rsidR="00A545BE" w:rsidRPr="007342D2">
        <w:rPr>
          <w:rFonts w:ascii="Cambria Math" w:hAnsi="Cambria Math" w:cs="Cambria Math"/>
          <w:color w:val="0D0D0D" w:themeColor="text1" w:themeTint="F2"/>
          <w:sz w:val="22"/>
          <w:szCs w:val="22"/>
          <w:lang w:val="en-GB"/>
        </w:rPr>
        <w:t>‐</w:t>
      </w:r>
      <w:r w:rsidR="00A545BE" w:rsidRPr="007342D2">
        <w:rPr>
          <w:rFonts w:ascii="Gill Sans MT" w:hAnsi="Gill Sans MT" w:cs="Calibri"/>
          <w:color w:val="0D0D0D" w:themeColor="text1" w:themeTint="F2"/>
          <w:sz w:val="22"/>
          <w:szCs w:val="22"/>
          <w:lang w:val="en-GB"/>
        </w:rPr>
        <w:t>testing the survey tools. Consultancy firm</w:t>
      </w:r>
      <w:r w:rsidR="008407E1" w:rsidRPr="007342D2">
        <w:rPr>
          <w:rFonts w:ascii="Gill Sans MT" w:hAnsi="Gill Sans MT" w:cs="Calibri"/>
          <w:color w:val="0D0D0D" w:themeColor="text1" w:themeTint="F2"/>
          <w:sz w:val="22"/>
          <w:szCs w:val="22"/>
          <w:lang w:val="en-GB"/>
        </w:rPr>
        <w:t>/Consultant</w:t>
      </w:r>
      <w:r w:rsidR="00A545BE" w:rsidRPr="007342D2">
        <w:rPr>
          <w:rFonts w:ascii="Gill Sans MT" w:hAnsi="Gill Sans MT" w:cs="Calibri"/>
          <w:color w:val="0D0D0D" w:themeColor="text1" w:themeTint="F2"/>
          <w:sz w:val="22"/>
          <w:szCs w:val="22"/>
          <w:lang w:val="en-GB"/>
        </w:rPr>
        <w:t xml:space="preserve"> develop a team comprising all necessary experts to supervise and monitor the enumerators and take necessary measures to ensure quality data collection, data cleaning, troubleshooting, data validation, data entry, and analyses.</w:t>
      </w:r>
    </w:p>
    <w:p w14:paraId="5135616E" w14:textId="77777777" w:rsidR="00A545BE" w:rsidRPr="007342D2" w:rsidRDefault="00A545BE" w:rsidP="00A545BE">
      <w:pPr>
        <w:pStyle w:val="NormalWeb"/>
        <w:spacing w:before="0" w:beforeAutospacing="0" w:after="0" w:afterAutospacing="0" w:line="235" w:lineRule="atLeast"/>
        <w:ind w:left="993"/>
        <w:jc w:val="both"/>
        <w:rPr>
          <w:rFonts w:ascii="Gill Sans MT" w:hAnsi="Gill Sans MT" w:cs="Calibri"/>
          <w:color w:val="0D0D0D" w:themeColor="text1" w:themeTint="F2"/>
          <w:sz w:val="22"/>
          <w:szCs w:val="22"/>
        </w:rPr>
      </w:pPr>
      <w:r w:rsidRPr="007342D2">
        <w:rPr>
          <w:rFonts w:ascii="Gill Sans MT" w:hAnsi="Gill Sans MT" w:cs="Calibri"/>
          <w:color w:val="0D0D0D" w:themeColor="text1" w:themeTint="F2"/>
          <w:sz w:val="22"/>
          <w:szCs w:val="22"/>
          <w:lang w:val="en-GB"/>
        </w:rPr>
        <w:lastRenderedPageBreak/>
        <w:t> </w:t>
      </w:r>
    </w:p>
    <w:p w14:paraId="4AC9C236" w14:textId="24725FBA" w:rsidR="00D67C1C" w:rsidRPr="007342D2" w:rsidRDefault="009D7D57" w:rsidP="009D7D57">
      <w:pPr>
        <w:pStyle w:val="Heading1"/>
        <w:keepLines w:val="0"/>
        <w:numPr>
          <w:ilvl w:val="1"/>
          <w:numId w:val="22"/>
        </w:numPr>
        <w:spacing w:before="0" w:line="240" w:lineRule="auto"/>
        <w:ind w:left="990" w:hanging="630"/>
        <w:rPr>
          <w:rFonts w:ascii="Gill Sans MT" w:eastAsia="Times New Roman" w:hAnsi="Gill Sans MT" w:cs="Arial"/>
          <w:b/>
          <w:bCs/>
          <w:color w:val="0D0D0D" w:themeColor="text1" w:themeTint="F2"/>
          <w:sz w:val="22"/>
          <w:szCs w:val="22"/>
        </w:rPr>
      </w:pPr>
      <w:bookmarkStart w:id="22" w:name="_Toc93951550"/>
      <w:bookmarkStart w:id="23" w:name="_Toc93951837"/>
      <w:bookmarkStart w:id="24" w:name="_Toc93952628"/>
      <w:bookmarkStart w:id="25" w:name="_Toc93955010"/>
      <w:bookmarkStart w:id="26" w:name="_Toc216003290"/>
      <w:r w:rsidRPr="007342D2">
        <w:rPr>
          <w:rFonts w:ascii="Gill Sans MT" w:eastAsia="Times New Roman" w:hAnsi="Gill Sans MT" w:cs="Arial"/>
          <w:b/>
          <w:bCs/>
          <w:color w:val="0D0D0D" w:themeColor="text1" w:themeTint="F2"/>
          <w:sz w:val="22"/>
          <w:szCs w:val="22"/>
        </w:rPr>
        <w:t>S</w:t>
      </w:r>
      <w:r w:rsidR="00D67C1C" w:rsidRPr="007342D2">
        <w:rPr>
          <w:rFonts w:ascii="Gill Sans MT" w:eastAsia="Times New Roman" w:hAnsi="Gill Sans MT" w:cs="Arial"/>
          <w:b/>
          <w:bCs/>
          <w:color w:val="0D0D0D" w:themeColor="text1" w:themeTint="F2"/>
          <w:sz w:val="22"/>
          <w:szCs w:val="22"/>
        </w:rPr>
        <w:t>emi-structured interview:</w:t>
      </w:r>
      <w:bookmarkEnd w:id="22"/>
      <w:bookmarkEnd w:id="23"/>
      <w:bookmarkEnd w:id="24"/>
      <w:bookmarkEnd w:id="25"/>
      <w:bookmarkEnd w:id="26"/>
      <w:r w:rsidR="00D67C1C" w:rsidRPr="007342D2">
        <w:rPr>
          <w:rFonts w:ascii="Gill Sans MT" w:eastAsia="Times New Roman" w:hAnsi="Gill Sans MT" w:cs="Arial"/>
          <w:b/>
          <w:bCs/>
          <w:color w:val="0D0D0D" w:themeColor="text1" w:themeTint="F2"/>
          <w:sz w:val="22"/>
          <w:szCs w:val="22"/>
        </w:rPr>
        <w:t xml:space="preserve"> </w:t>
      </w:r>
    </w:p>
    <w:p w14:paraId="392C6011" w14:textId="70993321" w:rsidR="00D67C1C" w:rsidRPr="007342D2" w:rsidRDefault="00D67C1C" w:rsidP="00D67C1C">
      <w:pPr>
        <w:pStyle w:val="ListParagraph"/>
        <w:pBdr>
          <w:top w:val="nil"/>
          <w:left w:val="nil"/>
          <w:bottom w:val="nil"/>
          <w:right w:val="nil"/>
          <w:between w:val="nil"/>
        </w:pBdr>
        <w:spacing w:after="0" w:line="259" w:lineRule="auto"/>
        <w:ind w:left="993"/>
        <w:jc w:val="both"/>
        <w:rPr>
          <w:rFonts w:ascii="Gill Sans MT" w:hAnsi="Gill Sans MT"/>
          <w:color w:val="0D0D0D" w:themeColor="text1" w:themeTint="F2"/>
        </w:rPr>
      </w:pPr>
      <w:r w:rsidRPr="007342D2">
        <w:rPr>
          <w:rFonts w:ascii="Gill Sans MT" w:hAnsi="Gill Sans MT"/>
          <w:color w:val="0D0D0D" w:themeColor="text1" w:themeTint="F2"/>
        </w:rPr>
        <w:t xml:space="preserve">Review and explicitly identify how various existing policies on </w:t>
      </w:r>
      <w:r w:rsidR="008407E1" w:rsidRPr="007342D2">
        <w:rPr>
          <w:rFonts w:ascii="Gill Sans MT" w:hAnsi="Gill Sans MT"/>
          <w:color w:val="0D0D0D" w:themeColor="text1" w:themeTint="F2"/>
        </w:rPr>
        <w:t>Cultivation</w:t>
      </w:r>
      <w:r w:rsidRPr="007342D2">
        <w:rPr>
          <w:rFonts w:ascii="Gill Sans MT" w:hAnsi="Gill Sans MT"/>
          <w:color w:val="0D0D0D" w:themeColor="text1" w:themeTint="F2"/>
        </w:rPr>
        <w:t xml:space="preserve">, Financial Security, Health and wellbeing and Access to Social Protection Schemes in terms of where there </w:t>
      </w:r>
      <w:r w:rsidR="00EF042A" w:rsidRPr="007342D2">
        <w:rPr>
          <w:rFonts w:ascii="Gill Sans MT" w:hAnsi="Gill Sans MT"/>
          <w:color w:val="0D0D0D" w:themeColor="text1" w:themeTint="F2"/>
        </w:rPr>
        <w:t>are</w:t>
      </w:r>
      <w:r w:rsidRPr="007342D2">
        <w:rPr>
          <w:rFonts w:ascii="Gill Sans MT" w:hAnsi="Gill Sans MT"/>
          <w:color w:val="0D0D0D" w:themeColor="text1" w:themeTint="F2"/>
        </w:rPr>
        <w:t xml:space="preserve"> convergences, conflict and highlight possible trade off. The Consulting firm</w:t>
      </w:r>
      <w:r w:rsidR="008407E1" w:rsidRPr="007342D2">
        <w:rPr>
          <w:rFonts w:ascii="Gill Sans MT" w:hAnsi="Gill Sans MT"/>
          <w:color w:val="0D0D0D" w:themeColor="text1" w:themeTint="F2"/>
        </w:rPr>
        <w:t>/Consultant</w:t>
      </w:r>
      <w:r w:rsidRPr="007342D2">
        <w:rPr>
          <w:rFonts w:ascii="Gill Sans MT" w:hAnsi="Gill Sans MT"/>
          <w:color w:val="0D0D0D" w:themeColor="text1" w:themeTint="F2"/>
        </w:rPr>
        <w:t xml:space="preserve"> must design a semi-structured interview for reaching out various </w:t>
      </w:r>
      <w:r w:rsidRPr="007342D2">
        <w:rPr>
          <w:rFonts w:ascii="Gill Sans MT" w:hAnsi="Gill Sans MT" w:cs="Arial"/>
          <w:color w:val="0D0D0D" w:themeColor="text1" w:themeTint="F2"/>
        </w:rPr>
        <w:t>stakeholders (see section-8)</w:t>
      </w:r>
      <w:r w:rsidRPr="007342D2">
        <w:rPr>
          <w:rFonts w:ascii="Gill Sans MT" w:hAnsi="Gill Sans MT"/>
          <w:color w:val="0D0D0D" w:themeColor="text1" w:themeTint="F2"/>
        </w:rPr>
        <w:t xml:space="preserve">, relevant govt. department, local government institutions and traditional institutions of </w:t>
      </w:r>
      <w:r w:rsidR="00EF042A" w:rsidRPr="007342D2">
        <w:rPr>
          <w:rFonts w:ascii="Gill Sans MT" w:hAnsi="Gill Sans MT"/>
          <w:color w:val="0D0D0D" w:themeColor="text1" w:themeTint="F2"/>
        </w:rPr>
        <w:t>Jamalpur</w:t>
      </w:r>
      <w:r w:rsidRPr="007342D2">
        <w:rPr>
          <w:rFonts w:ascii="Gill Sans MT" w:hAnsi="Gill Sans MT"/>
          <w:color w:val="0D0D0D" w:themeColor="text1" w:themeTint="F2"/>
        </w:rPr>
        <w:t xml:space="preserve"> District. It is expected that the Consulting firm</w:t>
      </w:r>
      <w:r w:rsidR="00EF042A" w:rsidRPr="007342D2">
        <w:rPr>
          <w:rFonts w:ascii="Gill Sans MT" w:hAnsi="Gill Sans MT"/>
          <w:color w:val="0D0D0D" w:themeColor="text1" w:themeTint="F2"/>
        </w:rPr>
        <w:t>/ Consultant</w:t>
      </w:r>
      <w:r w:rsidRPr="007342D2">
        <w:rPr>
          <w:rFonts w:ascii="Gill Sans MT" w:hAnsi="Gill Sans MT"/>
          <w:color w:val="0D0D0D" w:themeColor="text1" w:themeTint="F2"/>
        </w:rPr>
        <w:t xml:space="preserve"> will also give a plan of analysis of semi-structured interviews as well.</w:t>
      </w:r>
    </w:p>
    <w:p w14:paraId="766E4CD5" w14:textId="77777777" w:rsidR="00D67C1C" w:rsidRPr="007342D2" w:rsidRDefault="00D67C1C" w:rsidP="00D67C1C">
      <w:pPr>
        <w:pBdr>
          <w:top w:val="nil"/>
          <w:left w:val="nil"/>
          <w:bottom w:val="nil"/>
          <w:right w:val="nil"/>
          <w:between w:val="nil"/>
        </w:pBdr>
        <w:spacing w:after="0"/>
        <w:ind w:left="990"/>
        <w:jc w:val="both"/>
        <w:rPr>
          <w:rFonts w:ascii="Gill Sans MT" w:hAnsi="Gill Sans MT" w:cs="Arial"/>
          <w:color w:val="0D0D0D" w:themeColor="text1" w:themeTint="F2"/>
        </w:rPr>
      </w:pPr>
    </w:p>
    <w:p w14:paraId="551A2EBE" w14:textId="63E2E74F" w:rsidR="00946CA7" w:rsidRPr="007342D2" w:rsidRDefault="00946CA7" w:rsidP="009D7D57">
      <w:pPr>
        <w:pStyle w:val="Heading1"/>
        <w:keepLines w:val="0"/>
        <w:numPr>
          <w:ilvl w:val="1"/>
          <w:numId w:val="22"/>
        </w:numPr>
        <w:spacing w:before="0" w:line="240" w:lineRule="auto"/>
        <w:ind w:left="990" w:hanging="630"/>
        <w:rPr>
          <w:rFonts w:ascii="Gill Sans MT" w:eastAsia="Times New Roman" w:hAnsi="Gill Sans MT" w:cs="Arial"/>
          <w:b/>
          <w:bCs/>
          <w:color w:val="0D0D0D" w:themeColor="text1" w:themeTint="F2"/>
          <w:sz w:val="22"/>
          <w:szCs w:val="22"/>
        </w:rPr>
      </w:pPr>
      <w:r w:rsidRPr="007342D2">
        <w:rPr>
          <w:rFonts w:ascii="Gill Sans MT" w:eastAsia="Times New Roman" w:hAnsi="Gill Sans MT" w:cs="Arial"/>
          <w:b/>
          <w:bCs/>
          <w:color w:val="0D0D0D" w:themeColor="text1" w:themeTint="F2"/>
          <w:sz w:val="22"/>
          <w:szCs w:val="22"/>
        </w:rPr>
        <w:t>Qualitative Study (FGDs and KIIs)</w:t>
      </w:r>
    </w:p>
    <w:p w14:paraId="68800111" w14:textId="77777777" w:rsidR="00946CA7" w:rsidRPr="007342D2" w:rsidRDefault="00946CA7" w:rsidP="00946CA7">
      <w:pPr>
        <w:pStyle w:val="ListParagraph"/>
        <w:pBdr>
          <w:top w:val="nil"/>
          <w:left w:val="nil"/>
          <w:bottom w:val="nil"/>
          <w:right w:val="nil"/>
          <w:between w:val="nil"/>
        </w:pBdr>
        <w:spacing w:after="0" w:line="259" w:lineRule="auto"/>
        <w:ind w:left="993"/>
        <w:jc w:val="both"/>
        <w:rPr>
          <w:rFonts w:ascii="Gill Sans MT" w:hAnsi="Gill Sans MT"/>
          <w:color w:val="0D0D0D" w:themeColor="text1" w:themeTint="F2"/>
        </w:rPr>
      </w:pPr>
      <w:r w:rsidRPr="007342D2">
        <w:rPr>
          <w:rFonts w:ascii="Gill Sans MT" w:hAnsi="Gill Sans MT"/>
          <w:color w:val="0D0D0D" w:themeColor="text1" w:themeTint="F2"/>
        </w:rPr>
        <w:t>The Consulting firm/Consultant must design the qualitative study as an integral part of the mixed-method approach. The main objective of the qualitative study is to conduct an in-depth, context-specific analysis of the following key thematic areas for the M4L project:</w:t>
      </w:r>
    </w:p>
    <w:p w14:paraId="11B5E569" w14:textId="77777777" w:rsidR="00946CA7" w:rsidRPr="007342D2" w:rsidRDefault="00946CA7" w:rsidP="00946CA7">
      <w:pPr>
        <w:spacing w:after="0" w:line="240" w:lineRule="auto"/>
        <w:ind w:left="1260"/>
        <w:rPr>
          <w:color w:val="0D0D0D" w:themeColor="text1" w:themeTint="F2"/>
        </w:rPr>
      </w:pPr>
    </w:p>
    <w:p w14:paraId="0A2EA6C5" w14:textId="77777777" w:rsidR="00946CA7" w:rsidRPr="007342D2" w:rsidRDefault="00946CA7" w:rsidP="00946CA7">
      <w:pPr>
        <w:numPr>
          <w:ilvl w:val="0"/>
          <w:numId w:val="21"/>
        </w:numPr>
        <w:tabs>
          <w:tab w:val="clear" w:pos="720"/>
        </w:tabs>
        <w:spacing w:after="0" w:line="240" w:lineRule="auto"/>
        <w:ind w:left="1260"/>
        <w:rPr>
          <w:color w:val="0D0D0D" w:themeColor="text1" w:themeTint="F2"/>
        </w:rPr>
      </w:pPr>
      <w:r w:rsidRPr="007342D2">
        <w:rPr>
          <w:color w:val="0D0D0D" w:themeColor="text1" w:themeTint="F2"/>
        </w:rPr>
        <w:t>Risk Perception and Livelihood Impact: Analyze local perceptions of major hazards (flood, drought, cold wave, pest/disease), the complex relationship between seasonal patterns and disaster occurrence, and the specific impact of these shocks on vegetable and livestock systems and their associated market flows.</w:t>
      </w:r>
    </w:p>
    <w:p w14:paraId="3AC07AD4" w14:textId="77777777" w:rsidR="00946CA7" w:rsidRPr="007342D2" w:rsidRDefault="00946CA7" w:rsidP="00946CA7">
      <w:pPr>
        <w:spacing w:after="0" w:line="240" w:lineRule="auto"/>
        <w:ind w:left="360"/>
        <w:rPr>
          <w:color w:val="0D0D0D" w:themeColor="text1" w:themeTint="F2"/>
        </w:rPr>
      </w:pPr>
    </w:p>
    <w:p w14:paraId="0534F7C1" w14:textId="77777777" w:rsidR="00946CA7" w:rsidRPr="007342D2" w:rsidRDefault="00946CA7" w:rsidP="00946CA7">
      <w:pPr>
        <w:numPr>
          <w:ilvl w:val="0"/>
          <w:numId w:val="21"/>
        </w:numPr>
        <w:tabs>
          <w:tab w:val="clear" w:pos="720"/>
        </w:tabs>
        <w:spacing w:after="0" w:line="240" w:lineRule="auto"/>
        <w:ind w:left="1260"/>
        <w:rPr>
          <w:color w:val="0D0D0D" w:themeColor="text1" w:themeTint="F2"/>
        </w:rPr>
      </w:pPr>
      <w:r w:rsidRPr="007342D2">
        <w:rPr>
          <w:color w:val="0D0D0D" w:themeColor="text1" w:themeTint="F2"/>
        </w:rPr>
        <w:t>Intersectional Vulnerability and Power Dynamics (GEDSI): Analyze the underlying social norms, power dynamics, and decision-making processes that determine:</w:t>
      </w:r>
    </w:p>
    <w:p w14:paraId="5C114755" w14:textId="77777777" w:rsidR="00946CA7" w:rsidRPr="007342D2" w:rsidRDefault="00946CA7" w:rsidP="00946CA7">
      <w:pPr>
        <w:numPr>
          <w:ilvl w:val="1"/>
          <w:numId w:val="21"/>
        </w:numPr>
        <w:tabs>
          <w:tab w:val="clear" w:pos="1440"/>
        </w:tabs>
        <w:spacing w:after="0" w:line="240" w:lineRule="auto"/>
        <w:ind w:left="1530" w:hanging="270"/>
        <w:rPr>
          <w:color w:val="0D0D0D" w:themeColor="text1" w:themeTint="F2"/>
        </w:rPr>
      </w:pPr>
      <w:r w:rsidRPr="007342D2">
        <w:rPr>
          <w:color w:val="0D0D0D" w:themeColor="text1" w:themeTint="F2"/>
        </w:rPr>
        <w:t>Control over Resources: Who (disaggregated by gender, disability, and marital status) controls or loses critical recovery resources (land, livestock, credit, aid) after a disaster.</w:t>
      </w:r>
    </w:p>
    <w:p w14:paraId="1DEA65C4" w14:textId="77777777" w:rsidR="00946CA7" w:rsidRPr="007342D2" w:rsidRDefault="00946CA7" w:rsidP="00946CA7">
      <w:pPr>
        <w:numPr>
          <w:ilvl w:val="1"/>
          <w:numId w:val="21"/>
        </w:numPr>
        <w:tabs>
          <w:tab w:val="clear" w:pos="1440"/>
        </w:tabs>
        <w:spacing w:after="0" w:line="240" w:lineRule="auto"/>
        <w:ind w:left="1530" w:hanging="270"/>
        <w:rPr>
          <w:color w:val="0D0D0D" w:themeColor="text1" w:themeTint="F2"/>
        </w:rPr>
      </w:pPr>
      <w:r w:rsidRPr="007342D2">
        <w:rPr>
          <w:color w:val="0D0D0D" w:themeColor="text1" w:themeTint="F2"/>
        </w:rPr>
        <w:t>Access to Services: The barriers and enablers for marginalized groups (women, PWDs, widows) in accessing DRR, extension, financial, and market services.</w:t>
      </w:r>
    </w:p>
    <w:p w14:paraId="444EDA88" w14:textId="77777777" w:rsidR="00946CA7" w:rsidRPr="007342D2" w:rsidRDefault="00946CA7" w:rsidP="00946CA7">
      <w:pPr>
        <w:numPr>
          <w:ilvl w:val="1"/>
          <w:numId w:val="21"/>
        </w:numPr>
        <w:tabs>
          <w:tab w:val="clear" w:pos="1440"/>
        </w:tabs>
        <w:spacing w:after="0" w:line="240" w:lineRule="auto"/>
        <w:ind w:left="1530" w:hanging="270"/>
        <w:rPr>
          <w:color w:val="0D0D0D" w:themeColor="text1" w:themeTint="F2"/>
        </w:rPr>
      </w:pPr>
      <w:r w:rsidRPr="007342D2">
        <w:rPr>
          <w:color w:val="0D0D0D" w:themeColor="text1" w:themeTint="F2"/>
        </w:rPr>
        <w:t>Increased Burden: How disaster events differentially increase the workload, health risk, or debt burden on specific household members.</w:t>
      </w:r>
    </w:p>
    <w:p w14:paraId="20227471" w14:textId="77777777" w:rsidR="00946CA7" w:rsidRPr="007342D2" w:rsidRDefault="00946CA7" w:rsidP="00946CA7">
      <w:pPr>
        <w:spacing w:after="0" w:line="240" w:lineRule="auto"/>
        <w:ind w:left="360"/>
        <w:rPr>
          <w:color w:val="0D0D0D" w:themeColor="text1" w:themeTint="F2"/>
        </w:rPr>
      </w:pPr>
    </w:p>
    <w:p w14:paraId="64D9CF24" w14:textId="77777777" w:rsidR="00946CA7" w:rsidRPr="007342D2" w:rsidRDefault="00946CA7" w:rsidP="00946CA7">
      <w:pPr>
        <w:numPr>
          <w:ilvl w:val="0"/>
          <w:numId w:val="21"/>
        </w:numPr>
        <w:tabs>
          <w:tab w:val="clear" w:pos="720"/>
        </w:tabs>
        <w:spacing w:after="0" w:line="240" w:lineRule="auto"/>
        <w:ind w:left="1260"/>
        <w:rPr>
          <w:color w:val="0D0D0D" w:themeColor="text1" w:themeTint="F2"/>
        </w:rPr>
      </w:pPr>
      <w:r w:rsidRPr="007342D2">
        <w:rPr>
          <w:color w:val="0D0D0D" w:themeColor="text1" w:themeTint="F2"/>
        </w:rPr>
        <w:t>Adaptive Capacity &amp; Resilience: Explore the effectiveness and feasibility of existing local coping mechanisms, traditional knowledge, and the uptake barriers for new DRR/resilience-building practices (e.g., resilient seeds, raised shelters, insurance).</w:t>
      </w:r>
    </w:p>
    <w:p w14:paraId="12EC8BD8" w14:textId="77777777" w:rsidR="00946CA7" w:rsidRPr="007342D2" w:rsidRDefault="00946CA7" w:rsidP="00946CA7">
      <w:pPr>
        <w:spacing w:after="0" w:line="240" w:lineRule="auto"/>
        <w:ind w:left="1260"/>
        <w:rPr>
          <w:color w:val="0D0D0D" w:themeColor="text1" w:themeTint="F2"/>
        </w:rPr>
      </w:pPr>
    </w:p>
    <w:p w14:paraId="17BDA94D" w14:textId="77777777" w:rsidR="00946CA7" w:rsidRPr="007342D2" w:rsidRDefault="00946CA7" w:rsidP="00946CA7">
      <w:pPr>
        <w:numPr>
          <w:ilvl w:val="0"/>
          <w:numId w:val="21"/>
        </w:numPr>
        <w:tabs>
          <w:tab w:val="clear" w:pos="720"/>
        </w:tabs>
        <w:spacing w:after="0" w:line="240" w:lineRule="auto"/>
        <w:ind w:left="1260"/>
        <w:rPr>
          <w:color w:val="0D0D0D" w:themeColor="text1" w:themeTint="F2"/>
        </w:rPr>
      </w:pPr>
      <w:r w:rsidRPr="007342D2">
        <w:rPr>
          <w:color w:val="0D0D0D" w:themeColor="text1" w:themeTint="F2"/>
        </w:rPr>
        <w:t>Market &amp; Enterprise Resilience: Investigate systemic weaknesses in the value chain (input supply, collection points, transport) during shocks and the factors influencing the business continuity of farmer groups and project-supported enterprises, paying attention to how GEDSI barriers exacerbate market disruption.</w:t>
      </w:r>
    </w:p>
    <w:p w14:paraId="62149B8E" w14:textId="77777777" w:rsidR="00946CA7" w:rsidRPr="007342D2" w:rsidRDefault="00946CA7" w:rsidP="00946CA7">
      <w:pPr>
        <w:spacing w:after="0" w:line="240" w:lineRule="auto"/>
        <w:ind w:left="360"/>
        <w:rPr>
          <w:color w:val="0D0D0D" w:themeColor="text1" w:themeTint="F2"/>
        </w:rPr>
      </w:pPr>
    </w:p>
    <w:p w14:paraId="4BA07359" w14:textId="77777777" w:rsidR="00946CA7" w:rsidRPr="007342D2" w:rsidRDefault="00946CA7" w:rsidP="00946CA7">
      <w:pPr>
        <w:spacing w:after="0" w:line="240" w:lineRule="auto"/>
        <w:ind w:left="900"/>
        <w:rPr>
          <w:color w:val="0D0D0D" w:themeColor="text1" w:themeTint="F2"/>
        </w:rPr>
      </w:pPr>
      <w:r w:rsidRPr="007342D2">
        <w:rPr>
          <w:color w:val="0D0D0D" w:themeColor="text1" w:themeTint="F2"/>
        </w:rPr>
        <w:t xml:space="preserve">The Consulting firm/Consultant is responsible for the design and execution of all aspects of the qualitative study, including methods and checklists to comprehensively address all five Specific Objectives outlined in Section 2. The Consulting </w:t>
      </w:r>
      <w:r w:rsidRPr="007342D2">
        <w:rPr>
          <w:color w:val="0D0D0D" w:themeColor="text1" w:themeTint="F2"/>
        </w:rPr>
        <w:lastRenderedPageBreak/>
        <w:t xml:space="preserve">firm/Consultant must submit a proposed </w:t>
      </w:r>
      <w:r w:rsidRPr="007342D2">
        <w:rPr>
          <w:b/>
          <w:bCs/>
          <w:color w:val="0D0D0D" w:themeColor="text1" w:themeTint="F2"/>
        </w:rPr>
        <w:t>Plan of Inquiry</w:t>
      </w:r>
      <w:r w:rsidRPr="007342D2">
        <w:rPr>
          <w:color w:val="0D0D0D" w:themeColor="text1" w:themeTint="F2"/>
        </w:rPr>
        <w:t xml:space="preserve"> for approval by PARI Development Trust prior to beginning data collection. This plan must include the following elements:</w:t>
      </w:r>
    </w:p>
    <w:p w14:paraId="6575F239" w14:textId="77777777" w:rsidR="00946CA7" w:rsidRPr="007342D2" w:rsidRDefault="00946CA7" w:rsidP="00946CA7">
      <w:pPr>
        <w:spacing w:after="0" w:line="240" w:lineRule="auto"/>
        <w:ind w:left="360"/>
        <w:rPr>
          <w:color w:val="0D0D0D" w:themeColor="text1" w:themeTint="F2"/>
        </w:rPr>
      </w:pPr>
    </w:p>
    <w:p w14:paraId="78DA6D30" w14:textId="77777777" w:rsidR="00946CA7" w:rsidRPr="007342D2" w:rsidRDefault="00946CA7" w:rsidP="00A775C7">
      <w:pPr>
        <w:numPr>
          <w:ilvl w:val="0"/>
          <w:numId w:val="21"/>
        </w:numPr>
        <w:tabs>
          <w:tab w:val="clear" w:pos="720"/>
        </w:tabs>
        <w:spacing w:after="0" w:line="240" w:lineRule="auto"/>
        <w:ind w:left="1350"/>
        <w:rPr>
          <w:color w:val="0D0D0D" w:themeColor="text1" w:themeTint="F2"/>
        </w:rPr>
      </w:pPr>
      <w:r w:rsidRPr="007342D2">
        <w:rPr>
          <w:color w:val="0D0D0D" w:themeColor="text1" w:themeTint="F2"/>
        </w:rPr>
        <w:t>A complete list of qualitative tools (FGD guides, KII checklists, case study formats).</w:t>
      </w:r>
    </w:p>
    <w:p w14:paraId="6E9BCDA2" w14:textId="77777777" w:rsidR="00946CA7" w:rsidRPr="007342D2" w:rsidRDefault="00946CA7" w:rsidP="00A775C7">
      <w:pPr>
        <w:numPr>
          <w:ilvl w:val="0"/>
          <w:numId w:val="21"/>
        </w:numPr>
        <w:tabs>
          <w:tab w:val="clear" w:pos="720"/>
        </w:tabs>
        <w:spacing w:after="0" w:line="240" w:lineRule="auto"/>
        <w:ind w:left="1350"/>
        <w:rPr>
          <w:color w:val="0D0D0D" w:themeColor="text1" w:themeTint="F2"/>
        </w:rPr>
      </w:pPr>
      <w:r w:rsidRPr="007342D2">
        <w:rPr>
          <w:color w:val="0D0D0D" w:themeColor="text1" w:themeTint="F2"/>
        </w:rPr>
        <w:t>The sampling strategy for qualitative sessions, ensuring adequate representation and segregation by gender and social status.</w:t>
      </w:r>
    </w:p>
    <w:p w14:paraId="6A2CC226" w14:textId="77777777" w:rsidR="00946CA7" w:rsidRPr="007342D2" w:rsidRDefault="00946CA7" w:rsidP="00A775C7">
      <w:pPr>
        <w:numPr>
          <w:ilvl w:val="0"/>
          <w:numId w:val="21"/>
        </w:numPr>
        <w:tabs>
          <w:tab w:val="clear" w:pos="720"/>
        </w:tabs>
        <w:spacing w:after="0" w:line="240" w:lineRule="auto"/>
        <w:ind w:left="1350"/>
        <w:rPr>
          <w:color w:val="0D0D0D" w:themeColor="text1" w:themeTint="F2"/>
        </w:rPr>
      </w:pPr>
      <w:r w:rsidRPr="007342D2">
        <w:rPr>
          <w:color w:val="0D0D0D" w:themeColor="text1" w:themeTint="F2"/>
        </w:rPr>
        <w:t>The ethical protocol for engaging with and ensuring the safety and confidentiality of vulnerable groups.</w:t>
      </w:r>
    </w:p>
    <w:p w14:paraId="52212736" w14:textId="77777777" w:rsidR="00946CA7" w:rsidRPr="007342D2" w:rsidRDefault="00946CA7" w:rsidP="00A775C7">
      <w:pPr>
        <w:numPr>
          <w:ilvl w:val="0"/>
          <w:numId w:val="21"/>
        </w:numPr>
        <w:tabs>
          <w:tab w:val="clear" w:pos="720"/>
        </w:tabs>
        <w:spacing w:after="0" w:line="240" w:lineRule="auto"/>
        <w:ind w:left="1350"/>
        <w:rPr>
          <w:color w:val="0D0D0D" w:themeColor="text1" w:themeTint="F2"/>
        </w:rPr>
      </w:pPr>
      <w:r w:rsidRPr="007342D2">
        <w:rPr>
          <w:color w:val="0D0D0D" w:themeColor="text1" w:themeTint="F2"/>
        </w:rPr>
        <w:t>The detailed plan for data transcription, translation, and thematic analysis framework.</w:t>
      </w:r>
    </w:p>
    <w:p w14:paraId="74B81FDA" w14:textId="77777777" w:rsidR="003929B3" w:rsidRPr="007342D2" w:rsidRDefault="003929B3" w:rsidP="00D67C1C">
      <w:pPr>
        <w:pBdr>
          <w:top w:val="nil"/>
          <w:left w:val="nil"/>
          <w:bottom w:val="nil"/>
          <w:right w:val="nil"/>
          <w:between w:val="nil"/>
        </w:pBdr>
        <w:spacing w:after="0" w:line="259" w:lineRule="auto"/>
        <w:ind w:left="993"/>
        <w:contextualSpacing/>
        <w:jc w:val="both"/>
        <w:rPr>
          <w:rFonts w:ascii="Gill Sans MT" w:hAnsi="Gill Sans MT" w:cs="Arial"/>
          <w:color w:val="0D0D0D" w:themeColor="text1" w:themeTint="F2"/>
        </w:rPr>
      </w:pPr>
    </w:p>
    <w:p w14:paraId="5E771C00" w14:textId="77777777" w:rsidR="00D67C1C" w:rsidRPr="007342D2" w:rsidRDefault="00D67C1C" w:rsidP="00D67C1C">
      <w:pPr>
        <w:pBdr>
          <w:top w:val="nil"/>
          <w:left w:val="nil"/>
          <w:bottom w:val="nil"/>
          <w:right w:val="nil"/>
          <w:between w:val="nil"/>
        </w:pBdr>
        <w:spacing w:after="0" w:line="259" w:lineRule="auto"/>
        <w:ind w:left="993"/>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 </w:t>
      </w:r>
    </w:p>
    <w:p w14:paraId="1A7A17E6" w14:textId="77777777" w:rsidR="00D67C1C" w:rsidRPr="007342D2" w:rsidRDefault="00D67C1C" w:rsidP="009D7D57">
      <w:pPr>
        <w:pStyle w:val="Heading1"/>
        <w:keepLines w:val="0"/>
        <w:numPr>
          <w:ilvl w:val="1"/>
          <w:numId w:val="22"/>
        </w:numPr>
        <w:spacing w:before="0" w:line="240" w:lineRule="auto"/>
        <w:ind w:left="990" w:hanging="630"/>
        <w:rPr>
          <w:rFonts w:ascii="Gill Sans MT" w:eastAsia="Times New Roman" w:hAnsi="Gill Sans MT" w:cs="Arial"/>
          <w:b/>
          <w:bCs/>
          <w:color w:val="0D0D0D" w:themeColor="text1" w:themeTint="F2"/>
          <w:sz w:val="22"/>
          <w:szCs w:val="22"/>
        </w:rPr>
      </w:pPr>
      <w:bookmarkStart w:id="27" w:name="_Toc93951552"/>
      <w:bookmarkStart w:id="28" w:name="_Toc93951839"/>
      <w:bookmarkStart w:id="29" w:name="_Toc93952630"/>
      <w:bookmarkStart w:id="30" w:name="_Toc93955012"/>
      <w:bookmarkStart w:id="31" w:name="_Toc216003292"/>
      <w:r w:rsidRPr="007342D2">
        <w:rPr>
          <w:rFonts w:ascii="Gill Sans MT" w:eastAsia="Times New Roman" w:hAnsi="Gill Sans MT" w:cs="Arial"/>
          <w:b/>
          <w:bCs/>
          <w:color w:val="0D0D0D" w:themeColor="text1" w:themeTint="F2"/>
          <w:sz w:val="22"/>
          <w:szCs w:val="22"/>
        </w:rPr>
        <w:t>Data Treatment and Analysis Plan:</w:t>
      </w:r>
      <w:bookmarkEnd w:id="27"/>
      <w:bookmarkEnd w:id="28"/>
      <w:bookmarkEnd w:id="29"/>
      <w:bookmarkEnd w:id="30"/>
      <w:bookmarkEnd w:id="31"/>
      <w:r w:rsidRPr="007342D2">
        <w:rPr>
          <w:rFonts w:ascii="Gill Sans MT" w:eastAsia="Times New Roman" w:hAnsi="Gill Sans MT" w:cs="Arial"/>
          <w:b/>
          <w:bCs/>
          <w:color w:val="0D0D0D" w:themeColor="text1" w:themeTint="F2"/>
          <w:sz w:val="22"/>
          <w:szCs w:val="22"/>
        </w:rPr>
        <w:t xml:space="preserve"> </w:t>
      </w:r>
    </w:p>
    <w:p w14:paraId="58F39B9C" w14:textId="1B54A501" w:rsidR="00D67C1C" w:rsidRPr="007342D2" w:rsidRDefault="00D67C1C" w:rsidP="00A775C7">
      <w:pPr>
        <w:pBdr>
          <w:top w:val="nil"/>
          <w:left w:val="nil"/>
          <w:bottom w:val="nil"/>
          <w:right w:val="nil"/>
          <w:between w:val="nil"/>
        </w:pBdr>
        <w:spacing w:after="0" w:line="259" w:lineRule="auto"/>
        <w:ind w:left="99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The Consulting firm</w:t>
      </w:r>
      <w:r w:rsidR="00EF042A"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must prepare a data treatment and analysis plan. Some of the major issues but not limited to as follows. </w:t>
      </w:r>
    </w:p>
    <w:p w14:paraId="14A58D56" w14:textId="77777777" w:rsidR="00D67C1C" w:rsidRPr="007342D2" w:rsidRDefault="00D67C1C" w:rsidP="00D67C1C">
      <w:pPr>
        <w:pBdr>
          <w:top w:val="nil"/>
          <w:left w:val="nil"/>
          <w:bottom w:val="nil"/>
          <w:right w:val="nil"/>
          <w:between w:val="nil"/>
        </w:pBdr>
        <w:spacing w:after="0" w:line="259" w:lineRule="auto"/>
        <w:ind w:left="1560"/>
        <w:contextualSpacing/>
        <w:jc w:val="both"/>
        <w:rPr>
          <w:rFonts w:ascii="Gill Sans MT" w:hAnsi="Gill Sans MT" w:cs="Arial"/>
          <w:color w:val="0D0D0D" w:themeColor="text1" w:themeTint="F2"/>
        </w:rPr>
      </w:pPr>
    </w:p>
    <w:p w14:paraId="2E2BD1AB" w14:textId="723C9859" w:rsidR="00D67C1C" w:rsidRPr="007342D2" w:rsidRDefault="007342D2" w:rsidP="007342D2">
      <w:pPr>
        <w:pStyle w:val="Heading1"/>
        <w:keepLines w:val="0"/>
        <w:spacing w:before="0" w:line="240" w:lineRule="auto"/>
        <w:ind w:left="990"/>
        <w:rPr>
          <w:rFonts w:ascii="Gill Sans MT" w:eastAsia="Times New Roman" w:hAnsi="Gill Sans MT" w:cs="Arial"/>
          <w:b/>
          <w:bCs/>
          <w:color w:val="0D0D0D" w:themeColor="text1" w:themeTint="F2"/>
          <w:sz w:val="22"/>
          <w:szCs w:val="22"/>
        </w:rPr>
      </w:pPr>
      <w:bookmarkStart w:id="32" w:name="_Toc93951553"/>
      <w:bookmarkStart w:id="33" w:name="_Toc93951840"/>
      <w:bookmarkStart w:id="34" w:name="_Toc93952631"/>
      <w:bookmarkStart w:id="35" w:name="_Toc93955013"/>
      <w:bookmarkStart w:id="36" w:name="_Toc216003293"/>
      <w:r w:rsidRPr="007342D2">
        <w:rPr>
          <w:rFonts w:ascii="Gill Sans MT" w:eastAsia="Times New Roman" w:hAnsi="Gill Sans MT" w:cs="Arial"/>
          <w:b/>
          <w:bCs/>
          <w:color w:val="0D0D0D" w:themeColor="text1" w:themeTint="F2"/>
          <w:sz w:val="22"/>
          <w:szCs w:val="22"/>
        </w:rPr>
        <w:t>7.4.1</w:t>
      </w:r>
      <w:r w:rsidR="00D67C1C" w:rsidRPr="007342D2">
        <w:rPr>
          <w:rFonts w:ascii="Gill Sans MT" w:eastAsia="Times New Roman" w:hAnsi="Gill Sans MT" w:cs="Arial"/>
          <w:b/>
          <w:bCs/>
          <w:color w:val="0D0D0D" w:themeColor="text1" w:themeTint="F2"/>
          <w:sz w:val="22"/>
          <w:szCs w:val="22"/>
        </w:rPr>
        <w:t>Questionnaire Instrument:</w:t>
      </w:r>
      <w:bookmarkEnd w:id="32"/>
      <w:bookmarkEnd w:id="33"/>
      <w:bookmarkEnd w:id="34"/>
      <w:bookmarkEnd w:id="35"/>
      <w:bookmarkEnd w:id="36"/>
      <w:r w:rsidR="00D67C1C" w:rsidRPr="007342D2">
        <w:rPr>
          <w:rFonts w:ascii="Gill Sans MT" w:eastAsia="Times New Roman" w:hAnsi="Gill Sans MT" w:cs="Arial"/>
          <w:b/>
          <w:bCs/>
          <w:color w:val="0D0D0D" w:themeColor="text1" w:themeTint="F2"/>
          <w:sz w:val="22"/>
          <w:szCs w:val="22"/>
        </w:rPr>
        <w:t xml:space="preserve"> </w:t>
      </w:r>
    </w:p>
    <w:p w14:paraId="62175427" w14:textId="0E32C01F" w:rsidR="00D67C1C" w:rsidRPr="007342D2" w:rsidRDefault="00D67C1C" w:rsidP="00A775C7">
      <w:pPr>
        <w:pBdr>
          <w:top w:val="nil"/>
          <w:left w:val="nil"/>
          <w:bottom w:val="nil"/>
          <w:right w:val="nil"/>
          <w:between w:val="nil"/>
        </w:pBdr>
        <w:spacing w:after="0" w:line="259" w:lineRule="auto"/>
        <w:ind w:left="99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The Consulting firm must develop a questionnaire instrument in English and Bangla in the areas in which the survey will be conducted. The questionnaire must incorporate all level indicators that are relevant to the project. The questionnaire must include an informed consent statement for each respondent. The questions within the sets of questionnaires must be organized by respondent type and questions must follow standard format. The Consulting firm must ensure that the questionnaire is piloted and validated in communities prior to commencement of data collection. </w:t>
      </w:r>
      <w:r w:rsidR="00EF042A" w:rsidRPr="007342D2">
        <w:rPr>
          <w:rFonts w:ascii="Gill Sans MT" w:hAnsi="Gill Sans MT" w:cs="Arial"/>
          <w:color w:val="0D0D0D" w:themeColor="text1" w:themeTint="F2"/>
        </w:rPr>
        <w:t>M4L/PARi</w:t>
      </w:r>
      <w:r w:rsidRPr="007342D2">
        <w:rPr>
          <w:rFonts w:ascii="Gill Sans MT" w:hAnsi="Gill Sans MT" w:cs="Arial"/>
          <w:color w:val="0D0D0D" w:themeColor="text1" w:themeTint="F2"/>
        </w:rPr>
        <w:t xml:space="preserve"> strongly recommends that the Consulting firm consider using an electronic data collection instrument including GPS reference of respondents’ HH, e.g. tablets, smart phones, etc. If paper</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based data collection is proposed, the Consulting firm</w:t>
      </w:r>
      <w:r w:rsidR="00EF042A"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must provide a solid justification.</w:t>
      </w:r>
    </w:p>
    <w:p w14:paraId="34043D80" w14:textId="77777777" w:rsidR="00D67C1C" w:rsidRPr="007342D2" w:rsidRDefault="00D67C1C" w:rsidP="00D67C1C">
      <w:pPr>
        <w:pBdr>
          <w:top w:val="nil"/>
          <w:left w:val="nil"/>
          <w:bottom w:val="nil"/>
          <w:right w:val="nil"/>
          <w:between w:val="nil"/>
        </w:pBdr>
        <w:spacing w:after="0" w:line="259" w:lineRule="auto"/>
        <w:contextualSpacing/>
        <w:jc w:val="both"/>
        <w:rPr>
          <w:rFonts w:ascii="Gill Sans MT" w:hAnsi="Gill Sans MT" w:cs="Arial"/>
          <w:color w:val="0D0D0D" w:themeColor="text1" w:themeTint="F2"/>
          <w:sz w:val="16"/>
          <w:szCs w:val="16"/>
        </w:rPr>
      </w:pPr>
    </w:p>
    <w:p w14:paraId="21B82F78" w14:textId="233C7F35" w:rsidR="00D67C1C" w:rsidRPr="007342D2" w:rsidRDefault="00D67C1C" w:rsidP="007342D2">
      <w:pPr>
        <w:pStyle w:val="Heading1"/>
        <w:keepLines w:val="0"/>
        <w:numPr>
          <w:ilvl w:val="2"/>
          <w:numId w:val="23"/>
        </w:numPr>
        <w:spacing w:before="0" w:line="240" w:lineRule="auto"/>
        <w:jc w:val="both"/>
        <w:rPr>
          <w:rFonts w:ascii="Gill Sans MT" w:eastAsia="Times New Roman" w:hAnsi="Gill Sans MT" w:cs="Arial"/>
          <w:b/>
          <w:bCs/>
          <w:color w:val="0D0D0D" w:themeColor="text1" w:themeTint="F2"/>
          <w:sz w:val="22"/>
          <w:szCs w:val="22"/>
        </w:rPr>
      </w:pPr>
      <w:bookmarkStart w:id="37" w:name="_Toc93951554"/>
      <w:bookmarkStart w:id="38" w:name="_Toc93951841"/>
      <w:bookmarkStart w:id="39" w:name="_Toc93952632"/>
      <w:bookmarkStart w:id="40" w:name="_Toc93955014"/>
      <w:bookmarkStart w:id="41" w:name="_Toc216003294"/>
      <w:r w:rsidRPr="007342D2">
        <w:rPr>
          <w:rFonts w:ascii="Gill Sans MT" w:eastAsia="Times New Roman" w:hAnsi="Gill Sans MT" w:cs="Arial"/>
          <w:b/>
          <w:bCs/>
          <w:color w:val="0D0D0D" w:themeColor="text1" w:themeTint="F2"/>
          <w:sz w:val="22"/>
          <w:szCs w:val="22"/>
        </w:rPr>
        <w:t>Field Procedure Manuals for Enumerators and Supervisors</w:t>
      </w:r>
      <w:bookmarkEnd w:id="37"/>
      <w:bookmarkEnd w:id="38"/>
      <w:bookmarkEnd w:id="39"/>
      <w:bookmarkEnd w:id="40"/>
      <w:bookmarkEnd w:id="41"/>
    </w:p>
    <w:p w14:paraId="3201CB83" w14:textId="25DCE83E" w:rsidR="00D67C1C" w:rsidRPr="007342D2" w:rsidRDefault="00D67C1C" w:rsidP="00A775C7">
      <w:pPr>
        <w:pBdr>
          <w:top w:val="nil"/>
          <w:left w:val="nil"/>
          <w:bottom w:val="nil"/>
          <w:right w:val="nil"/>
          <w:between w:val="nil"/>
        </w:pBdr>
        <w:spacing w:after="0" w:line="259" w:lineRule="auto"/>
        <w:ind w:left="99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The Consulting firm</w:t>
      </w:r>
      <w:r w:rsidR="00EF042A"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will develop two field manuals as part of the training materials and as reference material for field staff conducting the survey: one for enumerators, and one for supervisors. The enumerator field manual must explain in detail how to properly administer each question in the questionnaire, recommend best practices for conducting interviews, and suggest ways to handle challenging situations. The manual must include instructions for mapping and listing clusters; adding identifiers to dwellings, households, and individuals; using GPS equipment; households within dwellings (if applicable), individuals within households; monitoring enumerators for quality assurance; procedures for editing questionnaires and re</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interviewing; and any administrative and logistics responsibilities. If using a paper</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 xml:space="preserve">based questionnaire, instructions for editors must be included in one of the two manuals or in a separate manual. </w:t>
      </w:r>
    </w:p>
    <w:p w14:paraId="09E92DEB" w14:textId="77777777" w:rsidR="00D67C1C" w:rsidRPr="007342D2" w:rsidRDefault="00D67C1C" w:rsidP="00D67C1C">
      <w:pPr>
        <w:pBdr>
          <w:top w:val="nil"/>
          <w:left w:val="nil"/>
          <w:bottom w:val="nil"/>
          <w:right w:val="nil"/>
          <w:between w:val="nil"/>
        </w:pBdr>
        <w:spacing w:after="0" w:line="259" w:lineRule="auto"/>
        <w:ind w:left="1560"/>
        <w:contextualSpacing/>
        <w:jc w:val="both"/>
        <w:rPr>
          <w:rFonts w:ascii="Gill Sans MT" w:hAnsi="Gill Sans MT" w:cs="Arial"/>
          <w:color w:val="0D0D0D" w:themeColor="text1" w:themeTint="F2"/>
          <w:sz w:val="16"/>
          <w:szCs w:val="16"/>
        </w:rPr>
      </w:pPr>
    </w:p>
    <w:p w14:paraId="5193553B" w14:textId="790FED94" w:rsidR="00D67C1C" w:rsidRPr="007342D2" w:rsidRDefault="00D67C1C" w:rsidP="007342D2">
      <w:pPr>
        <w:pStyle w:val="Heading1"/>
        <w:keepLines w:val="0"/>
        <w:numPr>
          <w:ilvl w:val="2"/>
          <w:numId w:val="23"/>
        </w:numPr>
        <w:spacing w:before="0" w:line="240" w:lineRule="auto"/>
        <w:jc w:val="both"/>
        <w:rPr>
          <w:rFonts w:ascii="Gill Sans MT" w:eastAsia="Times New Roman" w:hAnsi="Gill Sans MT" w:cs="Arial"/>
          <w:b/>
          <w:bCs/>
          <w:color w:val="0D0D0D" w:themeColor="text1" w:themeTint="F2"/>
          <w:sz w:val="22"/>
          <w:szCs w:val="22"/>
        </w:rPr>
      </w:pPr>
      <w:bookmarkStart w:id="42" w:name="_Toc93951555"/>
      <w:bookmarkStart w:id="43" w:name="_Toc93951842"/>
      <w:bookmarkStart w:id="44" w:name="_Toc93952633"/>
      <w:bookmarkStart w:id="45" w:name="_Toc93955015"/>
      <w:bookmarkStart w:id="46" w:name="_Toc216003295"/>
      <w:r w:rsidRPr="007342D2">
        <w:rPr>
          <w:rFonts w:ascii="Gill Sans MT" w:eastAsia="Times New Roman" w:hAnsi="Gill Sans MT" w:cs="Arial"/>
          <w:b/>
          <w:bCs/>
          <w:color w:val="0D0D0D" w:themeColor="text1" w:themeTint="F2"/>
          <w:sz w:val="22"/>
          <w:szCs w:val="22"/>
        </w:rPr>
        <w:t xml:space="preserve">Data Cross Checking and Verification by </w:t>
      </w:r>
      <w:r w:rsidR="00C6662B" w:rsidRPr="007342D2">
        <w:rPr>
          <w:rFonts w:ascii="Gill Sans MT" w:eastAsia="Times New Roman" w:hAnsi="Gill Sans MT" w:cs="Arial"/>
          <w:b/>
          <w:bCs/>
          <w:color w:val="0D0D0D" w:themeColor="text1" w:themeTint="F2"/>
          <w:sz w:val="22"/>
          <w:szCs w:val="22"/>
        </w:rPr>
        <w:t>M4L</w:t>
      </w:r>
      <w:r w:rsidRPr="007342D2">
        <w:rPr>
          <w:rFonts w:ascii="Gill Sans MT" w:eastAsia="Times New Roman" w:hAnsi="Gill Sans MT" w:cs="Arial"/>
          <w:b/>
          <w:bCs/>
          <w:color w:val="0D0D0D" w:themeColor="text1" w:themeTint="F2"/>
          <w:sz w:val="22"/>
          <w:szCs w:val="22"/>
        </w:rPr>
        <w:t xml:space="preserve"> team:</w:t>
      </w:r>
      <w:bookmarkEnd w:id="42"/>
      <w:bookmarkEnd w:id="43"/>
      <w:bookmarkEnd w:id="44"/>
      <w:bookmarkEnd w:id="45"/>
      <w:bookmarkEnd w:id="46"/>
      <w:r w:rsidRPr="007342D2">
        <w:rPr>
          <w:rFonts w:ascii="Gill Sans MT" w:eastAsia="Times New Roman" w:hAnsi="Gill Sans MT" w:cs="Arial"/>
          <w:b/>
          <w:bCs/>
          <w:color w:val="0D0D0D" w:themeColor="text1" w:themeTint="F2"/>
          <w:sz w:val="22"/>
          <w:szCs w:val="22"/>
        </w:rPr>
        <w:t xml:space="preserve"> </w:t>
      </w:r>
    </w:p>
    <w:p w14:paraId="1C398F81" w14:textId="54F36F5A" w:rsidR="00D67C1C" w:rsidRPr="007342D2" w:rsidRDefault="00D67C1C" w:rsidP="00A775C7">
      <w:pPr>
        <w:pBdr>
          <w:top w:val="nil"/>
          <w:left w:val="nil"/>
          <w:bottom w:val="nil"/>
          <w:right w:val="nil"/>
          <w:between w:val="nil"/>
        </w:pBdr>
        <w:spacing w:after="0" w:line="259" w:lineRule="auto"/>
        <w:ind w:left="99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Besides the verification of consulting firm</w:t>
      </w:r>
      <w:r w:rsidR="007C11C4"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the </w:t>
      </w:r>
      <w:r w:rsidR="00C6662B" w:rsidRPr="007342D2">
        <w:rPr>
          <w:rFonts w:ascii="Gill Sans MT" w:hAnsi="Gill Sans MT" w:cs="Arial"/>
          <w:color w:val="0D0D0D" w:themeColor="text1" w:themeTint="F2"/>
        </w:rPr>
        <w:t>M4L</w:t>
      </w:r>
      <w:r w:rsidRPr="007342D2">
        <w:rPr>
          <w:rFonts w:ascii="Gill Sans MT" w:hAnsi="Gill Sans MT" w:cs="Arial"/>
          <w:color w:val="0D0D0D" w:themeColor="text1" w:themeTint="F2"/>
        </w:rPr>
        <w:t xml:space="preserve"> </w:t>
      </w:r>
      <w:r w:rsidR="007C11C4" w:rsidRPr="007342D2">
        <w:rPr>
          <w:rFonts w:ascii="Gill Sans MT" w:hAnsi="Gill Sans MT" w:cs="Arial"/>
          <w:color w:val="0D0D0D" w:themeColor="text1" w:themeTint="F2"/>
        </w:rPr>
        <w:t>Sr. Officials</w:t>
      </w:r>
      <w:r w:rsidRPr="007342D2">
        <w:rPr>
          <w:rFonts w:ascii="Gill Sans MT" w:hAnsi="Gill Sans MT" w:cs="Arial"/>
          <w:color w:val="0D0D0D" w:themeColor="text1" w:themeTint="F2"/>
        </w:rPr>
        <w:t xml:space="preserve"> including </w:t>
      </w:r>
      <w:r w:rsidR="007C11C4" w:rsidRPr="007342D2">
        <w:rPr>
          <w:rFonts w:ascii="Gill Sans MT" w:hAnsi="Gill Sans MT" w:cs="Arial"/>
          <w:color w:val="0D0D0D" w:themeColor="text1" w:themeTint="F2"/>
        </w:rPr>
        <w:t xml:space="preserve">the PARI experts’ team </w:t>
      </w:r>
      <w:r w:rsidRPr="007342D2">
        <w:rPr>
          <w:rFonts w:ascii="Gill Sans MT" w:hAnsi="Gill Sans MT" w:cs="Arial"/>
          <w:color w:val="0D0D0D" w:themeColor="text1" w:themeTint="F2"/>
        </w:rPr>
        <w:t>will also conduct field visit(s) to cross check and verify the data. The consulting firm</w:t>
      </w:r>
      <w:r w:rsidR="007C11C4"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must preserve and clean the raw data properly for analysis, and must share the raw and clean data with the team members</w:t>
      </w:r>
      <w:r w:rsidR="007C11C4" w:rsidRPr="007342D2">
        <w:rPr>
          <w:rFonts w:ascii="Gill Sans MT" w:hAnsi="Gill Sans MT" w:cs="Arial"/>
          <w:color w:val="0D0D0D" w:themeColor="text1" w:themeTint="F2"/>
        </w:rPr>
        <w:t xml:space="preserve"> during the data collection period</w:t>
      </w:r>
      <w:r w:rsidRPr="007342D2">
        <w:rPr>
          <w:rFonts w:ascii="Gill Sans MT" w:hAnsi="Gill Sans MT" w:cs="Arial"/>
          <w:color w:val="0D0D0D" w:themeColor="text1" w:themeTint="F2"/>
        </w:rPr>
        <w:t>.</w:t>
      </w:r>
    </w:p>
    <w:p w14:paraId="6742FDE2" w14:textId="77777777" w:rsidR="00D67C1C" w:rsidRPr="007342D2" w:rsidRDefault="00D67C1C" w:rsidP="00D67C1C">
      <w:pPr>
        <w:pBdr>
          <w:top w:val="nil"/>
          <w:left w:val="nil"/>
          <w:bottom w:val="nil"/>
          <w:right w:val="nil"/>
          <w:between w:val="nil"/>
        </w:pBdr>
        <w:spacing w:after="0" w:line="259" w:lineRule="auto"/>
        <w:ind w:left="1560"/>
        <w:contextualSpacing/>
        <w:jc w:val="both"/>
        <w:rPr>
          <w:rFonts w:ascii="Gill Sans MT" w:hAnsi="Gill Sans MT" w:cs="Arial"/>
          <w:color w:val="0D0D0D" w:themeColor="text1" w:themeTint="F2"/>
          <w:sz w:val="16"/>
          <w:szCs w:val="16"/>
        </w:rPr>
      </w:pPr>
    </w:p>
    <w:p w14:paraId="1012C5E2" w14:textId="5BFD8A0F" w:rsidR="00D67C1C" w:rsidRPr="007342D2" w:rsidRDefault="00D67C1C" w:rsidP="007342D2">
      <w:pPr>
        <w:pStyle w:val="Heading1"/>
        <w:keepLines w:val="0"/>
        <w:numPr>
          <w:ilvl w:val="2"/>
          <w:numId w:val="23"/>
        </w:numPr>
        <w:spacing w:before="0" w:line="240" w:lineRule="auto"/>
        <w:rPr>
          <w:rFonts w:ascii="Gill Sans MT" w:eastAsia="Times New Roman" w:hAnsi="Gill Sans MT" w:cs="Arial"/>
          <w:b/>
          <w:bCs/>
          <w:color w:val="0D0D0D" w:themeColor="text1" w:themeTint="F2"/>
          <w:sz w:val="22"/>
          <w:szCs w:val="22"/>
        </w:rPr>
      </w:pPr>
      <w:bookmarkStart w:id="47" w:name="_Toc93951556"/>
      <w:bookmarkStart w:id="48" w:name="_Toc93951843"/>
      <w:bookmarkStart w:id="49" w:name="_Toc93952634"/>
      <w:bookmarkStart w:id="50" w:name="_Toc93955016"/>
      <w:bookmarkStart w:id="51" w:name="_Toc216003296"/>
      <w:r w:rsidRPr="007342D2">
        <w:rPr>
          <w:rFonts w:ascii="Gill Sans MT" w:eastAsia="Times New Roman" w:hAnsi="Gill Sans MT" w:cs="Arial"/>
          <w:b/>
          <w:bCs/>
          <w:color w:val="0D0D0D" w:themeColor="text1" w:themeTint="F2"/>
          <w:sz w:val="22"/>
          <w:szCs w:val="22"/>
        </w:rPr>
        <w:t>Bivariate Analysis:</w:t>
      </w:r>
      <w:bookmarkEnd w:id="47"/>
      <w:bookmarkEnd w:id="48"/>
      <w:bookmarkEnd w:id="49"/>
      <w:bookmarkEnd w:id="50"/>
      <w:bookmarkEnd w:id="51"/>
      <w:r w:rsidRPr="007342D2">
        <w:rPr>
          <w:rFonts w:ascii="Gill Sans MT" w:eastAsia="Times New Roman" w:hAnsi="Gill Sans MT" w:cs="Arial"/>
          <w:b/>
          <w:bCs/>
          <w:color w:val="0D0D0D" w:themeColor="text1" w:themeTint="F2"/>
          <w:sz w:val="22"/>
          <w:szCs w:val="22"/>
        </w:rPr>
        <w:t xml:space="preserve"> </w:t>
      </w:r>
    </w:p>
    <w:p w14:paraId="3B3E2F77" w14:textId="5D002E29" w:rsidR="00D67C1C" w:rsidRPr="007342D2" w:rsidRDefault="00D67C1C" w:rsidP="00A775C7">
      <w:pPr>
        <w:pBdr>
          <w:top w:val="nil"/>
          <w:left w:val="nil"/>
          <w:bottom w:val="nil"/>
          <w:right w:val="nil"/>
          <w:between w:val="nil"/>
        </w:pBdr>
        <w:spacing w:after="0" w:line="259" w:lineRule="auto"/>
        <w:ind w:left="99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The Consulting firm</w:t>
      </w:r>
      <w:r w:rsidR="00C6662B"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will conduct bivariate analyses using key impact and outcome indicators as dependent variables for the overall </w:t>
      </w:r>
      <w:r w:rsidR="00C6662B" w:rsidRPr="007342D2">
        <w:rPr>
          <w:rFonts w:ascii="Gill Sans MT" w:hAnsi="Gill Sans MT" w:cs="Arial"/>
          <w:color w:val="0D0D0D" w:themeColor="text1" w:themeTint="F2"/>
        </w:rPr>
        <w:t>M4L</w:t>
      </w:r>
      <w:r w:rsidRPr="007342D2">
        <w:rPr>
          <w:rFonts w:ascii="Gill Sans MT" w:hAnsi="Gill Sans MT" w:cs="Arial"/>
          <w:color w:val="0D0D0D" w:themeColor="text1" w:themeTint="F2"/>
        </w:rPr>
        <w:t xml:space="preserve"> project implementation areas. The following issues should also be considered for data analysis plan. </w:t>
      </w:r>
    </w:p>
    <w:p w14:paraId="5BAFC331" w14:textId="12D02D06"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Indication of how and when data will be entered into the database. If the Consulting firm</w:t>
      </w:r>
      <w:r w:rsidR="00FC0291"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uses a paper</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based questionnaire, double</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 xml:space="preserve">data entry is required; </w:t>
      </w:r>
    </w:p>
    <w:p w14:paraId="00E01C46" w14:textId="77777777"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Descriptions of data quality checks that will be built into the data entry processes; of tests and edits (data cleaning) planned to ensure logical consistency and coherence within and across records; and of manipulations, conditional tests, and combinations of data to create new variables. A data dictionary must include definitions of all the variables created from the raw data that describe how they were derived; </w:t>
      </w:r>
    </w:p>
    <w:p w14:paraId="30A96B5E" w14:textId="77777777"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Indicator tabulation plan. </w:t>
      </w:r>
    </w:p>
    <w:p w14:paraId="6E88C8FE" w14:textId="1B8F1D5C"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Descriptions of sub</w:t>
      </w:r>
      <w:r w:rsidRPr="007342D2">
        <w:rPr>
          <w:rFonts w:ascii="Cambria Math" w:hAnsi="Cambria Math" w:cs="Cambria Math"/>
          <w:color w:val="0D0D0D" w:themeColor="text1" w:themeTint="F2"/>
        </w:rPr>
        <w:t>‐</w:t>
      </w:r>
      <w:r w:rsidRPr="007342D2">
        <w:rPr>
          <w:rFonts w:ascii="Gill Sans MT" w:hAnsi="Gill Sans MT" w:cs="Arial"/>
          <w:color w:val="0D0D0D" w:themeColor="text1" w:themeTint="F2"/>
        </w:rPr>
        <w:t>groups, e.g., age, gender, ethnicity or other geographic breakdowns, if any, for which the Consulting firm</w:t>
      </w:r>
      <w:r w:rsidR="00FC0291"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will produce estimates, with an indication of the associated precision levels;</w:t>
      </w:r>
    </w:p>
    <w:p w14:paraId="1093A76F" w14:textId="186480DA"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The Consulting firm</w:t>
      </w:r>
      <w:r w:rsidR="00FC0291"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must specify all methods of intended bivariate analyses </w:t>
      </w:r>
    </w:p>
    <w:p w14:paraId="0B8AFF74" w14:textId="77777777" w:rsidR="00D67C1C" w:rsidRPr="007342D2" w:rsidRDefault="00D67C1C" w:rsidP="00A775C7">
      <w:pPr>
        <w:numPr>
          <w:ilvl w:val="0"/>
          <w:numId w:val="14"/>
        </w:numPr>
        <w:pBdr>
          <w:top w:val="nil"/>
          <w:left w:val="nil"/>
          <w:bottom w:val="nil"/>
          <w:right w:val="nil"/>
          <w:between w:val="nil"/>
        </w:pBdr>
        <w:spacing w:after="0"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Confidence intervals associated with the indicator estimates that takes into account the design effect; </w:t>
      </w:r>
    </w:p>
    <w:p w14:paraId="6E76CC78" w14:textId="77777777" w:rsidR="00D67C1C" w:rsidRPr="007342D2" w:rsidRDefault="00D67C1C" w:rsidP="00A775C7">
      <w:pPr>
        <w:numPr>
          <w:ilvl w:val="0"/>
          <w:numId w:val="14"/>
        </w:numPr>
        <w:pBdr>
          <w:top w:val="nil"/>
          <w:left w:val="nil"/>
          <w:bottom w:val="nil"/>
          <w:right w:val="nil"/>
          <w:between w:val="nil"/>
        </w:pBdr>
        <w:spacing w:line="259" w:lineRule="auto"/>
        <w:ind w:left="1440" w:hanging="270"/>
        <w:contextualSpacing/>
        <w:jc w:val="both"/>
        <w:rPr>
          <w:rFonts w:ascii="Gill Sans MT" w:hAnsi="Gill Sans MT" w:cs="Arial"/>
          <w:color w:val="0D0D0D" w:themeColor="text1" w:themeTint="F2"/>
        </w:rPr>
      </w:pPr>
      <w:r w:rsidRPr="007342D2">
        <w:rPr>
          <w:rFonts w:ascii="Gill Sans MT" w:hAnsi="Gill Sans MT" w:cs="Arial"/>
          <w:color w:val="0D0D0D" w:themeColor="text1" w:themeTint="F2"/>
        </w:rPr>
        <w:t xml:space="preserve"> Identification of the software to be used for all steps of data entry, cleaning, and analysis, including the software used to convert anthropometric data. </w:t>
      </w:r>
    </w:p>
    <w:p w14:paraId="5E8F14CC" w14:textId="77777777" w:rsidR="00D67C1C" w:rsidRPr="007342D2" w:rsidRDefault="00D67C1C" w:rsidP="009D7D57">
      <w:pPr>
        <w:pStyle w:val="Heading1"/>
        <w:keepLines w:val="0"/>
        <w:numPr>
          <w:ilvl w:val="0"/>
          <w:numId w:val="11"/>
        </w:numPr>
        <w:spacing w:before="0" w:line="240" w:lineRule="auto"/>
        <w:ind w:left="720"/>
        <w:rPr>
          <w:rFonts w:ascii="Gill Sans MT" w:eastAsia="Times New Roman" w:hAnsi="Gill Sans MT" w:cs="Arial"/>
          <w:b/>
          <w:bCs/>
          <w:color w:val="0D0D0D" w:themeColor="text1" w:themeTint="F2"/>
          <w:sz w:val="22"/>
          <w:szCs w:val="22"/>
        </w:rPr>
      </w:pPr>
      <w:bookmarkStart w:id="52" w:name="_Toc93951557"/>
      <w:bookmarkStart w:id="53" w:name="_Toc93951844"/>
      <w:bookmarkStart w:id="54" w:name="_Toc93952635"/>
      <w:bookmarkStart w:id="55" w:name="_Toc93955017"/>
      <w:bookmarkStart w:id="56" w:name="_Toc216003297"/>
      <w:r w:rsidRPr="007342D2">
        <w:rPr>
          <w:rFonts w:ascii="Gill Sans MT" w:eastAsia="Times New Roman" w:hAnsi="Gill Sans MT" w:cs="Arial"/>
          <w:b/>
          <w:bCs/>
          <w:color w:val="0D0D0D" w:themeColor="text1" w:themeTint="F2"/>
          <w:sz w:val="22"/>
          <w:szCs w:val="22"/>
        </w:rPr>
        <w:t>Location of the study</w:t>
      </w:r>
      <w:bookmarkEnd w:id="52"/>
      <w:bookmarkEnd w:id="53"/>
      <w:bookmarkEnd w:id="54"/>
      <w:bookmarkEnd w:id="55"/>
      <w:bookmarkEnd w:id="56"/>
    </w:p>
    <w:p w14:paraId="321DC408" w14:textId="2F934BF4" w:rsidR="00D67C1C" w:rsidRPr="007342D2" w:rsidRDefault="00D67C1C" w:rsidP="00D67C1C">
      <w:pPr>
        <w:spacing w:after="0" w:line="240" w:lineRule="auto"/>
        <w:ind w:left="360"/>
        <w:jc w:val="both"/>
        <w:rPr>
          <w:rFonts w:ascii="Gill Sans MT" w:hAnsi="Gill Sans MT" w:cs="Arial"/>
          <w:color w:val="0D0D0D" w:themeColor="text1" w:themeTint="F2"/>
        </w:rPr>
      </w:pPr>
      <w:r w:rsidRPr="007342D2">
        <w:rPr>
          <w:rFonts w:ascii="Gill Sans MT" w:hAnsi="Gill Sans MT" w:cs="Arial"/>
          <w:color w:val="0D0D0D" w:themeColor="text1" w:themeTint="F2"/>
        </w:rPr>
        <w:t>The Consulting firm</w:t>
      </w:r>
      <w:r w:rsidR="00FC0291" w:rsidRPr="007342D2">
        <w:rPr>
          <w:rFonts w:ascii="Gill Sans MT" w:hAnsi="Gill Sans MT" w:cs="Arial"/>
          <w:color w:val="0D0D0D" w:themeColor="text1" w:themeTint="F2"/>
        </w:rPr>
        <w:t>/Consultant</w:t>
      </w:r>
      <w:r w:rsidRPr="007342D2">
        <w:rPr>
          <w:rFonts w:ascii="Gill Sans MT" w:hAnsi="Gill Sans MT" w:cs="Arial"/>
          <w:color w:val="0D0D0D" w:themeColor="text1" w:themeTint="F2"/>
        </w:rPr>
        <w:t xml:space="preserve"> will conduct </w:t>
      </w:r>
      <w:r w:rsidR="00FC0291" w:rsidRPr="007342D2">
        <w:rPr>
          <w:rFonts w:ascii="Gill Sans MT" w:hAnsi="Gill Sans MT" w:cs="Arial"/>
          <w:color w:val="0D0D0D" w:themeColor="text1" w:themeTint="F2"/>
        </w:rPr>
        <w:t>DRR and GEDSI</w:t>
      </w:r>
      <w:r w:rsidRPr="007342D2">
        <w:rPr>
          <w:rFonts w:ascii="Gill Sans MT" w:hAnsi="Gill Sans MT" w:cs="Arial"/>
          <w:color w:val="0D0D0D" w:themeColor="text1" w:themeTint="F2"/>
        </w:rPr>
        <w:t xml:space="preserve"> study in </w:t>
      </w:r>
      <w:r w:rsidR="00FC0291" w:rsidRPr="007342D2">
        <w:rPr>
          <w:rFonts w:ascii="Gill Sans MT" w:hAnsi="Gill Sans MT" w:cs="Arial"/>
          <w:color w:val="0D0D0D" w:themeColor="text1" w:themeTint="F2"/>
        </w:rPr>
        <w:t>6</w:t>
      </w:r>
      <w:r w:rsidRPr="007342D2">
        <w:rPr>
          <w:rFonts w:ascii="Gill Sans MT" w:hAnsi="Gill Sans MT" w:cs="Arial"/>
          <w:color w:val="0D0D0D" w:themeColor="text1" w:themeTint="F2"/>
        </w:rPr>
        <w:t xml:space="preserve"> unions of </w:t>
      </w:r>
      <w:r w:rsidR="00FC0291" w:rsidRPr="007342D2">
        <w:rPr>
          <w:rFonts w:ascii="Gill Sans MT" w:hAnsi="Gill Sans MT" w:cs="Arial"/>
          <w:color w:val="0D0D0D" w:themeColor="text1" w:themeTint="F2"/>
        </w:rPr>
        <w:t>Jamalpur Sadar Upazila under Jamalpur Dis</w:t>
      </w:r>
      <w:r w:rsidRPr="007342D2">
        <w:rPr>
          <w:rFonts w:ascii="Gill Sans MT" w:hAnsi="Gill Sans MT" w:cs="Arial"/>
          <w:color w:val="0D0D0D" w:themeColor="text1" w:themeTint="F2"/>
        </w:rPr>
        <w:t xml:space="preserve">trict. </w:t>
      </w:r>
    </w:p>
    <w:p w14:paraId="3AF62C4A" w14:textId="77777777" w:rsidR="00D67C1C" w:rsidRPr="007342D2" w:rsidRDefault="00D67C1C" w:rsidP="00D67C1C">
      <w:pPr>
        <w:spacing w:after="0" w:line="240" w:lineRule="auto"/>
        <w:ind w:left="360"/>
        <w:jc w:val="both"/>
        <w:rPr>
          <w:rFonts w:ascii="Gill Sans MT" w:hAnsi="Gill Sans MT" w:cs="Arial"/>
          <w:color w:val="0D0D0D" w:themeColor="text1" w:themeTint="F2"/>
          <w:sz w:val="20"/>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3600"/>
      </w:tblGrid>
      <w:tr w:rsidR="007342D2" w:rsidRPr="007342D2" w14:paraId="254657E6" w14:textId="77777777" w:rsidTr="002B177C">
        <w:trPr>
          <w:trHeight w:val="161"/>
        </w:trPr>
        <w:tc>
          <w:tcPr>
            <w:tcW w:w="5310" w:type="dxa"/>
            <w:tcBorders>
              <w:left w:val="single" w:sz="4" w:space="0" w:color="F7CAAC" w:themeColor="accent2" w:themeTint="66"/>
              <w:bottom w:val="single" w:sz="8" w:space="0" w:color="000000" w:themeColor="text1"/>
              <w:right w:val="single" w:sz="4" w:space="0" w:color="F7CAAC" w:themeColor="accent2" w:themeTint="66"/>
            </w:tcBorders>
            <w:shd w:val="clear" w:color="auto" w:fill="F7CAAC" w:themeFill="accent2" w:themeFillTint="66"/>
            <w:noWrap/>
            <w:hideMark/>
          </w:tcPr>
          <w:p w14:paraId="5F6479B0" w14:textId="77777777" w:rsidR="002B177C" w:rsidRPr="007342D2" w:rsidRDefault="002B177C" w:rsidP="00B203C9">
            <w:pPr>
              <w:spacing w:after="0" w:line="240" w:lineRule="auto"/>
              <w:rPr>
                <w:rFonts w:ascii="Gill Sans MT" w:eastAsia="Times New Roman" w:hAnsi="Gill Sans MT"/>
                <w:b/>
                <w:bCs/>
                <w:color w:val="0D0D0D" w:themeColor="text1" w:themeTint="F2"/>
                <w:lang w:eastAsia="en-IN"/>
              </w:rPr>
            </w:pPr>
            <w:r w:rsidRPr="007342D2">
              <w:rPr>
                <w:rFonts w:ascii="Gill Sans MT" w:eastAsia="Times New Roman" w:hAnsi="Gill Sans MT"/>
                <w:b/>
                <w:bCs/>
                <w:color w:val="0D0D0D" w:themeColor="text1" w:themeTint="F2"/>
                <w:lang w:eastAsia="en-IN"/>
              </w:rPr>
              <w:t>Name of Union</w:t>
            </w:r>
          </w:p>
        </w:tc>
        <w:tc>
          <w:tcPr>
            <w:tcW w:w="3600" w:type="dxa"/>
            <w:tcBorders>
              <w:left w:val="single" w:sz="4" w:space="0" w:color="F7CAAC" w:themeColor="accent2" w:themeTint="66"/>
              <w:bottom w:val="single" w:sz="8" w:space="0" w:color="000000" w:themeColor="text1"/>
              <w:right w:val="single" w:sz="4" w:space="0" w:color="FFFFFF" w:themeColor="background1"/>
            </w:tcBorders>
            <w:shd w:val="clear" w:color="auto" w:fill="F7CAAC" w:themeFill="accent2" w:themeFillTint="66"/>
          </w:tcPr>
          <w:p w14:paraId="2C9D2FFA" w14:textId="0F6F78E9" w:rsidR="002B177C" w:rsidRPr="007342D2" w:rsidRDefault="002B177C" w:rsidP="00B203C9">
            <w:pPr>
              <w:spacing w:after="0" w:line="240" w:lineRule="auto"/>
              <w:jc w:val="center"/>
              <w:rPr>
                <w:rFonts w:ascii="Gill Sans MT" w:eastAsia="Times New Roman" w:hAnsi="Gill Sans MT"/>
                <w:b/>
                <w:bCs/>
                <w:color w:val="0D0D0D" w:themeColor="text1" w:themeTint="F2"/>
                <w:lang w:eastAsia="en-IN"/>
              </w:rPr>
            </w:pPr>
            <w:r w:rsidRPr="007342D2">
              <w:rPr>
                <w:rFonts w:ascii="Gill Sans MT" w:eastAsia="Times New Roman" w:hAnsi="Gill Sans MT"/>
                <w:b/>
                <w:bCs/>
                <w:color w:val="0D0D0D" w:themeColor="text1" w:themeTint="F2"/>
                <w:lang w:eastAsia="en-IN"/>
              </w:rPr>
              <w:t># of HHs</w:t>
            </w:r>
          </w:p>
        </w:tc>
      </w:tr>
      <w:tr w:rsidR="00D2290E" w:rsidRPr="007342D2" w14:paraId="71E095BC" w14:textId="77777777" w:rsidTr="00B203C9">
        <w:trPr>
          <w:trHeight w:val="290"/>
        </w:trPr>
        <w:tc>
          <w:tcPr>
            <w:tcW w:w="5310" w:type="dxa"/>
            <w:tcBorders>
              <w:top w:val="single" w:sz="8" w:space="0" w:color="000000" w:themeColor="text1"/>
              <w:left w:val="single" w:sz="4" w:space="0" w:color="FFFFFF" w:themeColor="background1"/>
              <w:right w:val="single" w:sz="4" w:space="0" w:color="FFFFFF" w:themeColor="background1"/>
            </w:tcBorders>
            <w:noWrap/>
            <w:hideMark/>
          </w:tcPr>
          <w:p w14:paraId="1894A0BC" w14:textId="16DDF38D"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Laksmir Char</w:t>
            </w:r>
          </w:p>
        </w:tc>
        <w:tc>
          <w:tcPr>
            <w:tcW w:w="3600" w:type="dxa"/>
            <w:tcBorders>
              <w:top w:val="single" w:sz="8" w:space="0" w:color="000000" w:themeColor="text1"/>
              <w:left w:val="single" w:sz="4" w:space="0" w:color="FFFFFF" w:themeColor="background1"/>
              <w:right w:val="single" w:sz="4" w:space="0" w:color="FFFFFF" w:themeColor="background1"/>
            </w:tcBorders>
            <w:vAlign w:val="bottom"/>
          </w:tcPr>
          <w:p w14:paraId="18E70612" w14:textId="0A6C339C"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650</w:t>
            </w:r>
          </w:p>
        </w:tc>
      </w:tr>
      <w:tr w:rsidR="00D2290E" w:rsidRPr="007342D2" w14:paraId="5D748557" w14:textId="77777777" w:rsidTr="00B203C9">
        <w:trPr>
          <w:trHeight w:val="290"/>
        </w:trPr>
        <w:tc>
          <w:tcPr>
            <w:tcW w:w="5310" w:type="dxa"/>
            <w:tcBorders>
              <w:left w:val="single" w:sz="4" w:space="0" w:color="FFFFFF" w:themeColor="background1"/>
              <w:right w:val="single" w:sz="4" w:space="0" w:color="FFFFFF" w:themeColor="background1"/>
            </w:tcBorders>
            <w:noWrap/>
            <w:hideMark/>
          </w:tcPr>
          <w:p w14:paraId="77BF3B92" w14:textId="33F96932"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Nurundi</w:t>
            </w:r>
          </w:p>
        </w:tc>
        <w:tc>
          <w:tcPr>
            <w:tcW w:w="3600" w:type="dxa"/>
            <w:tcBorders>
              <w:left w:val="single" w:sz="4" w:space="0" w:color="FFFFFF" w:themeColor="background1"/>
              <w:right w:val="single" w:sz="4" w:space="0" w:color="FFFFFF" w:themeColor="background1"/>
            </w:tcBorders>
            <w:vAlign w:val="bottom"/>
          </w:tcPr>
          <w:p w14:paraId="7E5D5436" w14:textId="74049BE5"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1000</w:t>
            </w:r>
          </w:p>
        </w:tc>
      </w:tr>
      <w:tr w:rsidR="00D2290E" w:rsidRPr="007342D2" w14:paraId="6BE25377" w14:textId="77777777" w:rsidTr="00B203C9">
        <w:trPr>
          <w:trHeight w:val="290"/>
        </w:trPr>
        <w:tc>
          <w:tcPr>
            <w:tcW w:w="5310" w:type="dxa"/>
            <w:tcBorders>
              <w:left w:val="single" w:sz="4" w:space="0" w:color="FFFFFF" w:themeColor="background1"/>
              <w:right w:val="single" w:sz="4" w:space="0" w:color="FFFFFF" w:themeColor="background1"/>
            </w:tcBorders>
            <w:noWrap/>
          </w:tcPr>
          <w:p w14:paraId="47A3B4D0" w14:textId="1770943B"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Ranagacha</w:t>
            </w:r>
          </w:p>
        </w:tc>
        <w:tc>
          <w:tcPr>
            <w:tcW w:w="3600" w:type="dxa"/>
            <w:tcBorders>
              <w:left w:val="single" w:sz="4" w:space="0" w:color="FFFFFF" w:themeColor="background1"/>
              <w:right w:val="single" w:sz="4" w:space="0" w:color="FFFFFF" w:themeColor="background1"/>
            </w:tcBorders>
            <w:vAlign w:val="bottom"/>
          </w:tcPr>
          <w:p w14:paraId="6E5C7430" w14:textId="6FDD912E"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1025</w:t>
            </w:r>
          </w:p>
        </w:tc>
      </w:tr>
      <w:tr w:rsidR="00D2290E" w:rsidRPr="007342D2" w14:paraId="10350DDC" w14:textId="77777777" w:rsidTr="00B203C9">
        <w:trPr>
          <w:trHeight w:val="290"/>
        </w:trPr>
        <w:tc>
          <w:tcPr>
            <w:tcW w:w="5310" w:type="dxa"/>
            <w:tcBorders>
              <w:left w:val="single" w:sz="4" w:space="0" w:color="FFFFFF" w:themeColor="background1"/>
              <w:right w:val="single" w:sz="4" w:space="0" w:color="FFFFFF" w:themeColor="background1"/>
            </w:tcBorders>
            <w:noWrap/>
          </w:tcPr>
          <w:p w14:paraId="38E5E141" w14:textId="2BB62871"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Tulair Char</w:t>
            </w:r>
          </w:p>
        </w:tc>
        <w:tc>
          <w:tcPr>
            <w:tcW w:w="3600" w:type="dxa"/>
            <w:tcBorders>
              <w:left w:val="single" w:sz="4" w:space="0" w:color="FFFFFF" w:themeColor="background1"/>
              <w:right w:val="single" w:sz="4" w:space="0" w:color="FFFFFF" w:themeColor="background1"/>
            </w:tcBorders>
            <w:vAlign w:val="bottom"/>
          </w:tcPr>
          <w:p w14:paraId="65FF5A38" w14:textId="22178E9E"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1025</w:t>
            </w:r>
          </w:p>
        </w:tc>
      </w:tr>
      <w:tr w:rsidR="00D2290E" w:rsidRPr="007342D2" w14:paraId="5B978D17" w14:textId="77777777" w:rsidTr="00B203C9">
        <w:trPr>
          <w:trHeight w:val="290"/>
        </w:trPr>
        <w:tc>
          <w:tcPr>
            <w:tcW w:w="5310" w:type="dxa"/>
            <w:tcBorders>
              <w:left w:val="single" w:sz="4" w:space="0" w:color="FFFFFF" w:themeColor="background1"/>
              <w:right w:val="single" w:sz="4" w:space="0" w:color="FFFFFF" w:themeColor="background1"/>
            </w:tcBorders>
            <w:noWrap/>
          </w:tcPr>
          <w:p w14:paraId="327382B8" w14:textId="52839F2E"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Itail</w:t>
            </w:r>
          </w:p>
        </w:tc>
        <w:tc>
          <w:tcPr>
            <w:tcW w:w="3600" w:type="dxa"/>
            <w:tcBorders>
              <w:left w:val="single" w:sz="4" w:space="0" w:color="FFFFFF" w:themeColor="background1"/>
              <w:right w:val="single" w:sz="4" w:space="0" w:color="FFFFFF" w:themeColor="background1"/>
            </w:tcBorders>
            <w:vAlign w:val="bottom"/>
          </w:tcPr>
          <w:p w14:paraId="146AADBB" w14:textId="7CC71571"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650</w:t>
            </w:r>
          </w:p>
        </w:tc>
      </w:tr>
      <w:tr w:rsidR="00D2290E" w:rsidRPr="007342D2" w14:paraId="2948F0B9" w14:textId="77777777" w:rsidTr="00B203C9">
        <w:trPr>
          <w:trHeight w:val="290"/>
        </w:trPr>
        <w:tc>
          <w:tcPr>
            <w:tcW w:w="5310" w:type="dxa"/>
            <w:tcBorders>
              <w:left w:val="single" w:sz="4" w:space="0" w:color="FFFFFF" w:themeColor="background1"/>
              <w:bottom w:val="single" w:sz="8" w:space="0" w:color="000000" w:themeColor="text1"/>
              <w:right w:val="single" w:sz="4" w:space="0" w:color="FFFFFF" w:themeColor="background1"/>
            </w:tcBorders>
            <w:noWrap/>
            <w:hideMark/>
          </w:tcPr>
          <w:p w14:paraId="6E99B76D" w14:textId="6D44A01D" w:rsidR="00D2290E" w:rsidRPr="007342D2" w:rsidRDefault="00D2290E" w:rsidP="00D2290E">
            <w:pPr>
              <w:spacing w:after="0" w:line="240" w:lineRule="auto"/>
              <w:rPr>
                <w:rFonts w:ascii="Gill Sans MT" w:eastAsia="Times New Roman" w:hAnsi="Gill Sans MT"/>
                <w:color w:val="0D0D0D" w:themeColor="text1" w:themeTint="F2"/>
                <w:lang w:eastAsia="en-IN"/>
              </w:rPr>
            </w:pPr>
            <w:r w:rsidRPr="007342D2">
              <w:rPr>
                <w:rFonts w:ascii="Gill Sans MT" w:eastAsia="Times New Roman" w:hAnsi="Gill Sans MT"/>
                <w:color w:val="0D0D0D" w:themeColor="text1" w:themeTint="F2"/>
                <w:lang w:eastAsia="en-IN"/>
              </w:rPr>
              <w:t>Meshta</w:t>
            </w:r>
          </w:p>
        </w:tc>
        <w:tc>
          <w:tcPr>
            <w:tcW w:w="3600" w:type="dxa"/>
            <w:tcBorders>
              <w:left w:val="single" w:sz="4" w:space="0" w:color="FFFFFF" w:themeColor="background1"/>
              <w:bottom w:val="single" w:sz="8" w:space="0" w:color="000000" w:themeColor="text1"/>
              <w:right w:val="single" w:sz="4" w:space="0" w:color="FFFFFF" w:themeColor="background1"/>
            </w:tcBorders>
            <w:vAlign w:val="bottom"/>
          </w:tcPr>
          <w:p w14:paraId="1A1EC3C4" w14:textId="7C8E8C47" w:rsidR="00D2290E" w:rsidRPr="007342D2" w:rsidRDefault="00D2290E" w:rsidP="00D2290E">
            <w:pPr>
              <w:spacing w:after="0" w:line="240" w:lineRule="auto"/>
              <w:jc w:val="center"/>
              <w:rPr>
                <w:rFonts w:ascii="Gill Sans MT" w:eastAsia="Times New Roman" w:hAnsi="Gill Sans MT"/>
                <w:color w:val="0D0D0D" w:themeColor="text1" w:themeTint="F2"/>
                <w:lang w:eastAsia="en-IN"/>
              </w:rPr>
            </w:pPr>
            <w:r>
              <w:rPr>
                <w:rFonts w:ascii="Calibri" w:hAnsi="Calibri" w:cs="Calibri"/>
                <w:color w:val="000000"/>
                <w:sz w:val="22"/>
                <w:szCs w:val="22"/>
              </w:rPr>
              <w:t>650</w:t>
            </w:r>
          </w:p>
        </w:tc>
      </w:tr>
      <w:tr w:rsidR="002B177C" w:rsidRPr="007342D2" w14:paraId="76B20C4E" w14:textId="77777777" w:rsidTr="002B177C">
        <w:trPr>
          <w:trHeight w:val="290"/>
        </w:trPr>
        <w:tc>
          <w:tcPr>
            <w:tcW w:w="5310" w:type="dxa"/>
            <w:tcBorders>
              <w:top w:val="single" w:sz="8" w:space="0" w:color="000000" w:themeColor="text1"/>
              <w:left w:val="single" w:sz="4" w:space="0" w:color="D0CECE" w:themeColor="background2" w:themeShade="E6"/>
              <w:right w:val="single" w:sz="4" w:space="0" w:color="D0CECE" w:themeColor="background2" w:themeShade="E6"/>
            </w:tcBorders>
            <w:shd w:val="clear" w:color="auto" w:fill="D0CECE" w:themeFill="background2" w:themeFillShade="E6"/>
            <w:noWrap/>
            <w:hideMark/>
          </w:tcPr>
          <w:p w14:paraId="51465E36" w14:textId="118FC200" w:rsidR="002B177C" w:rsidRPr="007342D2" w:rsidRDefault="002B177C" w:rsidP="00B203C9">
            <w:pPr>
              <w:spacing w:after="0" w:line="240" w:lineRule="auto"/>
              <w:jc w:val="center"/>
              <w:rPr>
                <w:rFonts w:ascii="Gill Sans MT" w:eastAsia="Times New Roman" w:hAnsi="Gill Sans MT"/>
                <w:b/>
                <w:bCs/>
                <w:color w:val="0D0D0D" w:themeColor="text1" w:themeTint="F2"/>
                <w:lang w:eastAsia="en-IN"/>
              </w:rPr>
            </w:pPr>
            <w:r w:rsidRPr="007342D2">
              <w:rPr>
                <w:rFonts w:ascii="Gill Sans MT" w:eastAsia="Times New Roman" w:hAnsi="Gill Sans MT"/>
                <w:b/>
                <w:bCs/>
                <w:color w:val="0D0D0D" w:themeColor="text1" w:themeTint="F2"/>
                <w:lang w:eastAsia="en-IN"/>
              </w:rPr>
              <w:t>6 Unions</w:t>
            </w:r>
          </w:p>
        </w:tc>
        <w:tc>
          <w:tcPr>
            <w:tcW w:w="3600" w:type="dxa"/>
            <w:tcBorders>
              <w:top w:val="single" w:sz="8" w:space="0" w:color="000000" w:themeColor="text1"/>
              <w:left w:val="single" w:sz="4" w:space="0" w:color="D0CECE" w:themeColor="background2" w:themeShade="E6"/>
              <w:right w:val="single" w:sz="4" w:space="0" w:color="FFFFFF" w:themeColor="background1"/>
            </w:tcBorders>
            <w:shd w:val="clear" w:color="auto" w:fill="D0CECE" w:themeFill="background2" w:themeFillShade="E6"/>
          </w:tcPr>
          <w:p w14:paraId="13992F23" w14:textId="4C760B50" w:rsidR="002B177C" w:rsidRPr="007342D2" w:rsidRDefault="002B177C" w:rsidP="00B203C9">
            <w:pPr>
              <w:spacing w:after="0" w:line="240" w:lineRule="auto"/>
              <w:jc w:val="center"/>
              <w:rPr>
                <w:rFonts w:ascii="Gill Sans MT" w:eastAsia="Times New Roman" w:hAnsi="Gill Sans MT"/>
                <w:b/>
                <w:bCs/>
                <w:color w:val="0D0D0D" w:themeColor="text1" w:themeTint="F2"/>
                <w:lang w:eastAsia="en-IN"/>
              </w:rPr>
            </w:pPr>
            <w:r w:rsidRPr="007342D2">
              <w:rPr>
                <w:rFonts w:ascii="Gill Sans MT" w:eastAsia="Times New Roman" w:hAnsi="Gill Sans MT"/>
                <w:b/>
                <w:bCs/>
                <w:color w:val="0D0D0D" w:themeColor="text1" w:themeTint="F2"/>
                <w:lang w:eastAsia="en-IN"/>
              </w:rPr>
              <w:t>5,000</w:t>
            </w:r>
          </w:p>
        </w:tc>
      </w:tr>
    </w:tbl>
    <w:p w14:paraId="652FFADC" w14:textId="77777777" w:rsidR="00A545BE" w:rsidRPr="007342D2" w:rsidRDefault="00A545BE" w:rsidP="00E16AE2">
      <w:pPr>
        <w:spacing w:after="120" w:line="240" w:lineRule="auto"/>
        <w:rPr>
          <w:rFonts w:ascii="Gill Sans MT" w:hAnsi="Gill Sans MT" w:cs="Nirmala UI"/>
          <w:color w:val="0D0D0D" w:themeColor="text1" w:themeTint="F2"/>
        </w:rPr>
      </w:pPr>
    </w:p>
    <w:p w14:paraId="02EC2DD1" w14:textId="4C8ED8F7" w:rsidR="00E16AE2" w:rsidRPr="007342D2" w:rsidRDefault="00E16AE2" w:rsidP="00E16AE2">
      <w:pPr>
        <w:numPr>
          <w:ilvl w:val="0"/>
          <w:numId w:val="8"/>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lastRenderedPageBreak/>
        <w:t xml:space="preserve">Desk Review: Systematic review of secondary data to establish a </w:t>
      </w:r>
      <w:r w:rsidR="00725FD7" w:rsidRPr="007342D2">
        <w:rPr>
          <w:rFonts w:ascii="Gill Sans MT" w:hAnsi="Gill Sans MT" w:cs="Nirmala UI"/>
          <w:color w:val="0D0D0D" w:themeColor="text1" w:themeTint="F2"/>
        </w:rPr>
        <w:t>DRR</w:t>
      </w:r>
      <w:r w:rsidRPr="007342D2">
        <w:rPr>
          <w:rFonts w:ascii="Gill Sans MT" w:hAnsi="Gill Sans MT" w:cs="Nirmala UI"/>
          <w:color w:val="0D0D0D" w:themeColor="text1" w:themeTint="F2"/>
        </w:rPr>
        <w:t xml:space="preserve"> of risks, vulnerabilities, and GEDSI challenges.</w:t>
      </w:r>
    </w:p>
    <w:p w14:paraId="39A65376" w14:textId="77777777" w:rsidR="00E16AE2" w:rsidRPr="007342D2" w:rsidRDefault="00E16AE2" w:rsidP="00E16AE2">
      <w:pPr>
        <w:numPr>
          <w:ilvl w:val="0"/>
          <w:numId w:val="8"/>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Quantitative Component: A structured survey to capture measurable indicators of assets, decision-making roles, service usage, and disaster-related losses. Sampling must ensure adequate representation of PWDs, widows, and divorced women. </w:t>
      </w:r>
    </w:p>
    <w:p w14:paraId="3CDCB9F9" w14:textId="77777777" w:rsidR="00E16AE2" w:rsidRPr="007342D2" w:rsidRDefault="00E16AE2" w:rsidP="00E16AE2">
      <w:pPr>
        <w:numPr>
          <w:ilvl w:val="0"/>
          <w:numId w:val="8"/>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Qualitative Component: In-depth methods focused on capturing lived experiences and context:</w:t>
      </w:r>
    </w:p>
    <w:p w14:paraId="7AD769B5" w14:textId="77777777" w:rsidR="00E16AE2" w:rsidRPr="007342D2" w:rsidRDefault="00E16AE2" w:rsidP="009523A3">
      <w:pPr>
        <w:numPr>
          <w:ilvl w:val="1"/>
          <w:numId w:val="8"/>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Focus Group Discussions (FGDs): Explore risk perception, coping mechanisms, and market vulnerabilities.</w:t>
      </w:r>
    </w:p>
    <w:p w14:paraId="34FF464E" w14:textId="77777777" w:rsidR="00E16AE2" w:rsidRPr="007342D2" w:rsidRDefault="00E16AE2" w:rsidP="009523A3">
      <w:pPr>
        <w:numPr>
          <w:ilvl w:val="1"/>
          <w:numId w:val="8"/>
        </w:numPr>
        <w:tabs>
          <w:tab w:val="clear" w:pos="1440"/>
        </w:tabs>
        <w:spacing w:after="120" w:line="240" w:lineRule="auto"/>
        <w:ind w:left="900" w:hanging="180"/>
        <w:rPr>
          <w:rFonts w:ascii="Gill Sans MT" w:hAnsi="Gill Sans MT" w:cs="Nirmala UI"/>
          <w:color w:val="0D0D0D" w:themeColor="text1" w:themeTint="F2"/>
        </w:rPr>
      </w:pPr>
      <w:r w:rsidRPr="007342D2">
        <w:rPr>
          <w:rFonts w:ascii="Gill Sans MT" w:hAnsi="Gill Sans MT" w:cs="Nirmala UI"/>
          <w:color w:val="0D0D0D" w:themeColor="text1" w:themeTint="F2"/>
        </w:rPr>
        <w:t>Key Informant Interviews (KIIs): Gather institutional knowledge, value chain weaknesses, and systemic risks.</w:t>
      </w:r>
    </w:p>
    <w:p w14:paraId="4038FA6C" w14:textId="77777777" w:rsidR="00E16AE2" w:rsidRPr="007342D2" w:rsidRDefault="00E16AE2" w:rsidP="00E16AE2">
      <w:pPr>
        <w:numPr>
          <w:ilvl w:val="0"/>
          <w:numId w:val="8"/>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Triangulation and Intersectional Analysis: Systematically cross-analyze data to verify and deepen the understanding of how gender, disability, and social status intersect to affect access to resources and opportunities.</w:t>
      </w:r>
    </w:p>
    <w:p w14:paraId="30A21809" w14:textId="77777777" w:rsidR="009523A3" w:rsidRPr="007342D2" w:rsidRDefault="009523A3" w:rsidP="00E16AE2">
      <w:pPr>
        <w:spacing w:after="120" w:line="240" w:lineRule="auto"/>
        <w:rPr>
          <w:rFonts w:ascii="Gill Sans MT" w:hAnsi="Gill Sans MT" w:cs="Nirmala UI"/>
          <w:b/>
          <w:bCs/>
          <w:color w:val="0D0D0D" w:themeColor="text1" w:themeTint="F2"/>
        </w:rPr>
      </w:pPr>
    </w:p>
    <w:p w14:paraId="64EBE423" w14:textId="1ED21AA3" w:rsidR="00E16AE2" w:rsidRPr="007342D2" w:rsidRDefault="007342D2" w:rsidP="00E16AE2">
      <w:pPr>
        <w:spacing w:after="12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9</w:t>
      </w:r>
      <w:r w:rsidR="00E16AE2" w:rsidRPr="007342D2">
        <w:rPr>
          <w:rFonts w:ascii="Gill Sans MT" w:hAnsi="Gill Sans MT" w:cs="Nirmala UI"/>
          <w:b/>
          <w:bCs/>
          <w:color w:val="0D0D0D" w:themeColor="text1" w:themeTint="F2"/>
        </w:rPr>
        <w:t>. Required Consultant Expertise</w:t>
      </w:r>
    </w:p>
    <w:p w14:paraId="489C09ED" w14:textId="77777777" w:rsidR="00E16AE2" w:rsidRPr="007342D2" w:rsidRDefault="00E16AE2" w:rsidP="009523A3">
      <w:pPr>
        <w:spacing w:after="120" w:line="240" w:lineRule="auto"/>
        <w:ind w:left="270"/>
        <w:rPr>
          <w:rFonts w:ascii="Gill Sans MT" w:hAnsi="Gill Sans MT" w:cs="Nirmala UI"/>
          <w:color w:val="0D0D0D" w:themeColor="text1" w:themeTint="F2"/>
        </w:rPr>
      </w:pPr>
      <w:r w:rsidRPr="007342D2">
        <w:rPr>
          <w:rFonts w:ascii="Gill Sans MT" w:hAnsi="Gill Sans MT" w:cs="Nirmala UI"/>
          <w:color w:val="0D0D0D" w:themeColor="text1" w:themeTint="F2"/>
        </w:rPr>
        <w:t>The External Consultant (Firm/Team) must possess the following key qualifications:</w:t>
      </w:r>
    </w:p>
    <w:p w14:paraId="2535A290" w14:textId="77777777" w:rsidR="00E16AE2" w:rsidRPr="007342D2" w:rsidRDefault="00E16AE2" w:rsidP="00E16AE2">
      <w:pPr>
        <w:numPr>
          <w:ilvl w:val="0"/>
          <w:numId w:val="9"/>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Proven experience in Disaster Risk Reduction (DRR) and Climate Change Adaptation (CCA) assessments, particularly in agricultural and market systems contexts.</w:t>
      </w:r>
    </w:p>
    <w:p w14:paraId="15AA4382" w14:textId="77777777" w:rsidR="00E16AE2" w:rsidRPr="007342D2" w:rsidRDefault="00E16AE2" w:rsidP="00E16AE2">
      <w:pPr>
        <w:numPr>
          <w:ilvl w:val="0"/>
          <w:numId w:val="9"/>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Deep knowledge and experience in GEDSI assessments (Gender Equity, Disability Inclusion, and Social Disparity), specifically working with marginalized populations in the context of Bangladesh.</w:t>
      </w:r>
    </w:p>
    <w:p w14:paraId="3FEC99DC" w14:textId="77777777" w:rsidR="00E16AE2" w:rsidRPr="007342D2" w:rsidRDefault="00E16AE2" w:rsidP="00E16AE2">
      <w:pPr>
        <w:numPr>
          <w:ilvl w:val="0"/>
          <w:numId w:val="9"/>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Strong research methodological skills for analyzing both large-scale quantitative and qualitative data.</w:t>
      </w:r>
    </w:p>
    <w:p w14:paraId="72D75945" w14:textId="77777777" w:rsidR="00E16AE2" w:rsidRPr="007342D2" w:rsidRDefault="00E16AE2" w:rsidP="00E16AE2">
      <w:pPr>
        <w:numPr>
          <w:ilvl w:val="0"/>
          <w:numId w:val="9"/>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Proficiency in producing high-quality, evidence-based assessment reports in English.</w:t>
      </w:r>
    </w:p>
    <w:p w14:paraId="4A88AFCA" w14:textId="77777777" w:rsidR="00E16AE2" w:rsidRPr="007342D2" w:rsidRDefault="00E16AE2" w:rsidP="00E16AE2">
      <w:pPr>
        <w:numPr>
          <w:ilvl w:val="0"/>
          <w:numId w:val="9"/>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Experience in designing and managing data collection tools in the Bengali language for fieldwork.</w:t>
      </w:r>
    </w:p>
    <w:p w14:paraId="4E01E042" w14:textId="77777777" w:rsidR="009523A3" w:rsidRPr="007342D2" w:rsidRDefault="009523A3" w:rsidP="00E16AE2">
      <w:pPr>
        <w:spacing w:after="120" w:line="240" w:lineRule="auto"/>
        <w:rPr>
          <w:rFonts w:ascii="Gill Sans MT" w:hAnsi="Gill Sans MT" w:cs="Nirmala UI"/>
          <w:b/>
          <w:bCs/>
          <w:color w:val="0D0D0D" w:themeColor="text1" w:themeTint="F2"/>
        </w:rPr>
      </w:pPr>
    </w:p>
    <w:p w14:paraId="773D0168" w14:textId="00F6ECC1" w:rsidR="00197C37" w:rsidRPr="007342D2" w:rsidRDefault="007342D2" w:rsidP="00197C37">
      <w:pPr>
        <w:spacing w:after="0" w:line="240" w:lineRule="auto"/>
        <w:jc w:val="both"/>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10</w:t>
      </w:r>
      <w:r w:rsidR="00197C37" w:rsidRPr="007342D2">
        <w:rPr>
          <w:rFonts w:ascii="Gill Sans MT" w:hAnsi="Gill Sans MT" w:cs="Nirmala UI"/>
          <w:b/>
          <w:bCs/>
          <w:color w:val="0D0D0D" w:themeColor="text1" w:themeTint="F2"/>
        </w:rPr>
        <w:t>. Deliverables</w:t>
      </w:r>
    </w:p>
    <w:p w14:paraId="7A6BE798" w14:textId="77777777" w:rsidR="00197C37" w:rsidRPr="007342D2" w:rsidRDefault="00197C37" w:rsidP="00197C37">
      <w:pPr>
        <w:spacing w:after="0" w:line="240" w:lineRule="auto"/>
        <w:jc w:val="both"/>
        <w:rPr>
          <w:rFonts w:ascii="Gill Sans MT" w:hAnsi="Gill Sans MT" w:cs="Nirmala UI"/>
          <w:color w:val="0D0D0D" w:themeColor="text1" w:themeTint="F2"/>
        </w:rPr>
      </w:pPr>
      <w:r w:rsidRPr="007342D2">
        <w:rPr>
          <w:rFonts w:ascii="Gill Sans MT" w:hAnsi="Gill Sans MT" w:cs="Nirmala UI"/>
          <w:color w:val="0D0D0D" w:themeColor="text1" w:themeTint="F2"/>
        </w:rPr>
        <w:t>The External Consultant is required to submit the following deliverables in English:</w:t>
      </w:r>
    </w:p>
    <w:tbl>
      <w:tblPr>
        <w:tblStyle w:val="TableGrid"/>
        <w:tblW w:w="9355" w:type="dxa"/>
        <w:jc w:val="center"/>
        <w:tblLook w:val="04A0" w:firstRow="1" w:lastRow="0" w:firstColumn="1" w:lastColumn="0" w:noHBand="0" w:noVBand="1"/>
      </w:tblPr>
      <w:tblGrid>
        <w:gridCol w:w="2515"/>
        <w:gridCol w:w="4950"/>
        <w:gridCol w:w="1890"/>
      </w:tblGrid>
      <w:tr w:rsidR="007342D2" w:rsidRPr="007342D2" w14:paraId="7CB42BA9" w14:textId="77777777" w:rsidTr="00B203C9">
        <w:trPr>
          <w:jc w:val="center"/>
        </w:trPr>
        <w:tc>
          <w:tcPr>
            <w:tcW w:w="2515" w:type="dxa"/>
          </w:tcPr>
          <w:p w14:paraId="18A09E7E"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b/>
                <w:bCs/>
                <w:color w:val="0D0D0D" w:themeColor="text1" w:themeTint="F2"/>
              </w:rPr>
              <w:t>Deliverable</w:t>
            </w:r>
          </w:p>
        </w:tc>
        <w:tc>
          <w:tcPr>
            <w:tcW w:w="4950" w:type="dxa"/>
          </w:tcPr>
          <w:p w14:paraId="64ED0D61"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b/>
                <w:bCs/>
                <w:color w:val="0D0D0D" w:themeColor="text1" w:themeTint="F2"/>
              </w:rPr>
              <w:t>Description</w:t>
            </w:r>
          </w:p>
        </w:tc>
        <w:tc>
          <w:tcPr>
            <w:tcW w:w="1890" w:type="dxa"/>
          </w:tcPr>
          <w:p w14:paraId="7527389F"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b/>
                <w:bCs/>
                <w:color w:val="0D0D0D" w:themeColor="text1" w:themeTint="F2"/>
              </w:rPr>
              <w:t>Deadline (Proposed)</w:t>
            </w:r>
          </w:p>
        </w:tc>
      </w:tr>
      <w:tr w:rsidR="007342D2" w:rsidRPr="007342D2" w14:paraId="668BF0F7" w14:textId="77777777" w:rsidTr="00B203C9">
        <w:trPr>
          <w:jc w:val="center"/>
        </w:trPr>
        <w:tc>
          <w:tcPr>
            <w:tcW w:w="2515" w:type="dxa"/>
          </w:tcPr>
          <w:p w14:paraId="26FBF4FF"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1. Inception Report</w:t>
            </w:r>
          </w:p>
        </w:tc>
        <w:tc>
          <w:tcPr>
            <w:tcW w:w="4950" w:type="dxa"/>
          </w:tcPr>
          <w:p w14:paraId="2AF2A531"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color w:val="0D0D0D" w:themeColor="text1" w:themeTint="F2"/>
              </w:rPr>
              <w:t>Will include the final methodology, equitable sampling strategy, ethical protocols, final data collection tools (both English and Bengali versions), and a detailed work plan.</w:t>
            </w:r>
          </w:p>
        </w:tc>
        <w:tc>
          <w:tcPr>
            <w:tcW w:w="1890" w:type="dxa"/>
          </w:tcPr>
          <w:p w14:paraId="39B81860"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color w:val="0D0D0D" w:themeColor="text1" w:themeTint="F2"/>
              </w:rPr>
              <w:t>Within 1 Week of Contract Signing</w:t>
            </w:r>
          </w:p>
        </w:tc>
      </w:tr>
      <w:tr w:rsidR="007342D2" w:rsidRPr="007342D2" w14:paraId="7702A8A6" w14:textId="77777777" w:rsidTr="00B203C9">
        <w:trPr>
          <w:jc w:val="center"/>
        </w:trPr>
        <w:tc>
          <w:tcPr>
            <w:tcW w:w="2515" w:type="dxa"/>
          </w:tcPr>
          <w:p w14:paraId="21A8289F"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2. Data Package</w:t>
            </w:r>
          </w:p>
        </w:tc>
        <w:tc>
          <w:tcPr>
            <w:tcW w:w="4950" w:type="dxa"/>
          </w:tcPr>
          <w:p w14:paraId="4B2B1D06"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Clean and disaggregated quantitative data (in Excel/SPSS/MS Access format) and anonymous </w:t>
            </w:r>
            <w:r w:rsidRPr="007342D2">
              <w:rPr>
                <w:rFonts w:ascii="Gill Sans MT" w:hAnsi="Gill Sans MT" w:cs="Nirmala UI"/>
                <w:color w:val="0D0D0D" w:themeColor="text1" w:themeTint="F2"/>
              </w:rPr>
              <w:lastRenderedPageBreak/>
              <w:t>transcripts or detailed notes/audio recording of all qualitative sessions.</w:t>
            </w:r>
          </w:p>
        </w:tc>
        <w:tc>
          <w:tcPr>
            <w:tcW w:w="1890" w:type="dxa"/>
          </w:tcPr>
          <w:p w14:paraId="50055109"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lastRenderedPageBreak/>
              <w:t>To be submitted with the Draft Report</w:t>
            </w:r>
          </w:p>
        </w:tc>
      </w:tr>
      <w:tr w:rsidR="007342D2" w:rsidRPr="007342D2" w14:paraId="7D04319F" w14:textId="77777777" w:rsidTr="00277DFC">
        <w:trPr>
          <w:jc w:val="center"/>
        </w:trPr>
        <w:tc>
          <w:tcPr>
            <w:tcW w:w="2515" w:type="dxa"/>
            <w:tcBorders>
              <w:bottom w:val="single" w:sz="4" w:space="0" w:color="auto"/>
            </w:tcBorders>
          </w:tcPr>
          <w:p w14:paraId="3C0CD51A"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3. Draft Assessment Report</w:t>
            </w:r>
          </w:p>
        </w:tc>
        <w:tc>
          <w:tcPr>
            <w:tcW w:w="4950" w:type="dxa"/>
          </w:tcPr>
          <w:p w14:paraId="53581665" w14:textId="608D5C9A"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The complete report, including preliminary findings and the framework for the DRR and </w:t>
            </w:r>
            <w:r w:rsidRPr="007342D2">
              <w:rPr>
                <w:rFonts w:ascii="Gill Sans MT" w:hAnsi="Gill Sans MT" w:cs="Nirmala UI"/>
                <w:b/>
                <w:bCs/>
                <w:color w:val="0D0D0D" w:themeColor="text1" w:themeTint="F2"/>
              </w:rPr>
              <w:t>GEDSI Action Plan.</w:t>
            </w:r>
          </w:p>
        </w:tc>
        <w:tc>
          <w:tcPr>
            <w:tcW w:w="1890" w:type="dxa"/>
            <w:tcBorders>
              <w:bottom w:val="single" w:sz="4" w:space="0" w:color="auto"/>
            </w:tcBorders>
          </w:tcPr>
          <w:p w14:paraId="755FF342"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Within 4 Weeks of Contract Signing</w:t>
            </w:r>
          </w:p>
        </w:tc>
      </w:tr>
      <w:tr w:rsidR="007342D2" w:rsidRPr="007342D2" w14:paraId="56762514" w14:textId="77777777" w:rsidTr="00277DFC">
        <w:trPr>
          <w:jc w:val="center"/>
        </w:trPr>
        <w:tc>
          <w:tcPr>
            <w:tcW w:w="2515" w:type="dxa"/>
            <w:tcBorders>
              <w:top w:val="single" w:sz="4" w:space="0" w:color="auto"/>
              <w:left w:val="single" w:sz="4" w:space="0" w:color="auto"/>
              <w:bottom w:val="nil"/>
              <w:right w:val="single" w:sz="4" w:space="0" w:color="auto"/>
            </w:tcBorders>
          </w:tcPr>
          <w:p w14:paraId="24F08A56" w14:textId="77777777" w:rsidR="00197C37" w:rsidRPr="007342D2" w:rsidRDefault="00197C37" w:rsidP="00B203C9">
            <w:pPr>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4. Final Comprehensive Assessment Report</w:t>
            </w:r>
          </w:p>
        </w:tc>
        <w:tc>
          <w:tcPr>
            <w:tcW w:w="4950" w:type="dxa"/>
            <w:tcBorders>
              <w:left w:val="single" w:sz="4" w:space="0" w:color="auto"/>
              <w:right w:val="single" w:sz="4" w:space="0" w:color="auto"/>
            </w:tcBorders>
          </w:tcPr>
          <w:p w14:paraId="3AF7DC89"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A high-quality final report (maximum 25-30 pages, excluding annexes) incorporating all comments from PARI Development Trust. Must include:</w:t>
            </w:r>
          </w:p>
        </w:tc>
        <w:tc>
          <w:tcPr>
            <w:tcW w:w="1890" w:type="dxa"/>
            <w:tcBorders>
              <w:top w:val="single" w:sz="4" w:space="0" w:color="auto"/>
              <w:left w:val="single" w:sz="4" w:space="0" w:color="auto"/>
              <w:bottom w:val="nil"/>
              <w:right w:val="single" w:sz="4" w:space="0" w:color="auto"/>
            </w:tcBorders>
          </w:tcPr>
          <w:p w14:paraId="51D43EB2"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Within 5 Weeks of Contract Signing</w:t>
            </w:r>
          </w:p>
        </w:tc>
      </w:tr>
      <w:tr w:rsidR="007342D2" w:rsidRPr="007342D2" w14:paraId="1C705C0D" w14:textId="77777777" w:rsidTr="00277DFC">
        <w:trPr>
          <w:jc w:val="center"/>
        </w:trPr>
        <w:tc>
          <w:tcPr>
            <w:tcW w:w="2515" w:type="dxa"/>
            <w:tcBorders>
              <w:top w:val="nil"/>
              <w:left w:val="single" w:sz="4" w:space="0" w:color="auto"/>
              <w:bottom w:val="nil"/>
              <w:right w:val="single" w:sz="4" w:space="0" w:color="auto"/>
            </w:tcBorders>
          </w:tcPr>
          <w:p w14:paraId="0D79581F" w14:textId="77777777" w:rsidR="00197C37" w:rsidRPr="007342D2" w:rsidRDefault="00197C37" w:rsidP="00B203C9">
            <w:pPr>
              <w:rPr>
                <w:rFonts w:ascii="Gill Sans MT" w:hAnsi="Gill Sans MT" w:cs="Nirmala UI"/>
                <w:b/>
                <w:bCs/>
                <w:color w:val="0D0D0D" w:themeColor="text1" w:themeTint="F2"/>
              </w:rPr>
            </w:pPr>
          </w:p>
        </w:tc>
        <w:tc>
          <w:tcPr>
            <w:tcW w:w="4950" w:type="dxa"/>
            <w:tcBorders>
              <w:left w:val="single" w:sz="4" w:space="0" w:color="auto"/>
              <w:right w:val="single" w:sz="4" w:space="0" w:color="auto"/>
            </w:tcBorders>
          </w:tcPr>
          <w:p w14:paraId="0336474D"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Executive Summary, Introduction, and Methodology.</w:t>
            </w:r>
          </w:p>
        </w:tc>
        <w:tc>
          <w:tcPr>
            <w:tcW w:w="1890" w:type="dxa"/>
            <w:tcBorders>
              <w:top w:val="nil"/>
              <w:left w:val="single" w:sz="4" w:space="0" w:color="auto"/>
              <w:bottom w:val="nil"/>
              <w:right w:val="single" w:sz="4" w:space="0" w:color="auto"/>
            </w:tcBorders>
          </w:tcPr>
          <w:p w14:paraId="545A04A0" w14:textId="77777777" w:rsidR="00197C37" w:rsidRPr="007342D2" w:rsidRDefault="00197C37" w:rsidP="00B203C9">
            <w:pPr>
              <w:rPr>
                <w:rFonts w:ascii="Gill Sans MT" w:hAnsi="Gill Sans MT" w:cs="Nirmala UI"/>
                <w:color w:val="0D0D0D" w:themeColor="text1" w:themeTint="F2"/>
              </w:rPr>
            </w:pPr>
          </w:p>
        </w:tc>
      </w:tr>
      <w:tr w:rsidR="007342D2" w:rsidRPr="007342D2" w14:paraId="0C39157E" w14:textId="77777777" w:rsidTr="00277DFC">
        <w:trPr>
          <w:jc w:val="center"/>
        </w:trPr>
        <w:tc>
          <w:tcPr>
            <w:tcW w:w="2515" w:type="dxa"/>
            <w:tcBorders>
              <w:top w:val="nil"/>
              <w:left w:val="single" w:sz="4" w:space="0" w:color="auto"/>
              <w:bottom w:val="nil"/>
              <w:right w:val="single" w:sz="4" w:space="0" w:color="auto"/>
            </w:tcBorders>
          </w:tcPr>
          <w:p w14:paraId="1D8814C0" w14:textId="77777777" w:rsidR="00197C37" w:rsidRPr="007342D2" w:rsidRDefault="00197C37" w:rsidP="00B203C9">
            <w:pPr>
              <w:rPr>
                <w:rFonts w:ascii="Gill Sans MT" w:hAnsi="Gill Sans MT" w:cs="Nirmala UI"/>
                <w:b/>
                <w:bCs/>
                <w:color w:val="0D0D0D" w:themeColor="text1" w:themeTint="F2"/>
              </w:rPr>
            </w:pPr>
          </w:p>
        </w:tc>
        <w:tc>
          <w:tcPr>
            <w:tcW w:w="4950" w:type="dxa"/>
            <w:tcBorders>
              <w:left w:val="single" w:sz="4" w:space="0" w:color="auto"/>
              <w:right w:val="single" w:sz="4" w:space="0" w:color="auto"/>
            </w:tcBorders>
          </w:tcPr>
          <w:p w14:paraId="0890BBCE"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 Key Findings (Hazard Analysis, Multi-dimensional Vulnerability and Capacity Mapping across Livelihood and Enterprise, </w:t>
            </w:r>
            <w:r w:rsidRPr="007342D2">
              <w:rPr>
                <w:rFonts w:ascii="Gill Sans MT" w:hAnsi="Gill Sans MT" w:cs="Nirmala UI"/>
                <w:b/>
                <w:bCs/>
                <w:color w:val="0D0D0D" w:themeColor="text1" w:themeTint="F2"/>
              </w:rPr>
              <w:t>GEDSI-based Intersectional Analysis</w:t>
            </w:r>
            <w:r w:rsidRPr="007342D2">
              <w:rPr>
                <w:rFonts w:ascii="Gill Sans MT" w:hAnsi="Gill Sans MT" w:cs="Nirmala UI"/>
                <w:color w:val="0D0D0D" w:themeColor="text1" w:themeTint="F2"/>
              </w:rPr>
              <w:t>).</w:t>
            </w:r>
          </w:p>
        </w:tc>
        <w:tc>
          <w:tcPr>
            <w:tcW w:w="1890" w:type="dxa"/>
            <w:tcBorders>
              <w:top w:val="nil"/>
              <w:left w:val="single" w:sz="4" w:space="0" w:color="auto"/>
              <w:bottom w:val="nil"/>
              <w:right w:val="single" w:sz="4" w:space="0" w:color="auto"/>
            </w:tcBorders>
          </w:tcPr>
          <w:p w14:paraId="33818E33" w14:textId="77777777" w:rsidR="00197C37" w:rsidRPr="007342D2" w:rsidRDefault="00197C37" w:rsidP="00B203C9">
            <w:pPr>
              <w:rPr>
                <w:rFonts w:ascii="Gill Sans MT" w:hAnsi="Gill Sans MT" w:cs="Nirmala UI"/>
                <w:color w:val="0D0D0D" w:themeColor="text1" w:themeTint="F2"/>
              </w:rPr>
            </w:pPr>
          </w:p>
        </w:tc>
      </w:tr>
      <w:tr w:rsidR="007342D2" w:rsidRPr="007342D2" w14:paraId="004C5FFB" w14:textId="77777777" w:rsidTr="00277DFC">
        <w:trPr>
          <w:jc w:val="center"/>
        </w:trPr>
        <w:tc>
          <w:tcPr>
            <w:tcW w:w="2515" w:type="dxa"/>
            <w:tcBorders>
              <w:top w:val="nil"/>
              <w:left w:val="single" w:sz="4" w:space="0" w:color="auto"/>
              <w:bottom w:val="nil"/>
              <w:right w:val="single" w:sz="4" w:space="0" w:color="auto"/>
            </w:tcBorders>
          </w:tcPr>
          <w:p w14:paraId="04FA49E2" w14:textId="77777777" w:rsidR="00197C37" w:rsidRPr="007342D2" w:rsidRDefault="00197C37" w:rsidP="00B203C9">
            <w:pPr>
              <w:rPr>
                <w:rFonts w:ascii="Gill Sans MT" w:hAnsi="Gill Sans MT" w:cs="Nirmala UI"/>
                <w:b/>
                <w:bCs/>
                <w:color w:val="0D0D0D" w:themeColor="text1" w:themeTint="F2"/>
              </w:rPr>
            </w:pPr>
          </w:p>
        </w:tc>
        <w:tc>
          <w:tcPr>
            <w:tcW w:w="4950" w:type="dxa"/>
            <w:tcBorders>
              <w:left w:val="single" w:sz="4" w:space="0" w:color="auto"/>
              <w:right w:val="single" w:sz="4" w:space="0" w:color="auto"/>
            </w:tcBorders>
          </w:tcPr>
          <w:p w14:paraId="10F1250B"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Conclusion, Actionable and Prioritized DRR Recommendations.</w:t>
            </w:r>
          </w:p>
        </w:tc>
        <w:tc>
          <w:tcPr>
            <w:tcW w:w="1890" w:type="dxa"/>
            <w:tcBorders>
              <w:top w:val="nil"/>
              <w:left w:val="single" w:sz="4" w:space="0" w:color="auto"/>
              <w:bottom w:val="nil"/>
              <w:right w:val="single" w:sz="4" w:space="0" w:color="auto"/>
            </w:tcBorders>
          </w:tcPr>
          <w:p w14:paraId="0E26C47B" w14:textId="77777777" w:rsidR="00197C37" w:rsidRPr="007342D2" w:rsidRDefault="00197C37" w:rsidP="00B203C9">
            <w:pPr>
              <w:rPr>
                <w:rFonts w:ascii="Gill Sans MT" w:hAnsi="Gill Sans MT" w:cs="Nirmala UI"/>
                <w:color w:val="0D0D0D" w:themeColor="text1" w:themeTint="F2"/>
              </w:rPr>
            </w:pPr>
          </w:p>
        </w:tc>
      </w:tr>
      <w:tr w:rsidR="00197C37" w:rsidRPr="007342D2" w14:paraId="2D66E5BE" w14:textId="77777777" w:rsidTr="00277DFC">
        <w:trPr>
          <w:jc w:val="center"/>
        </w:trPr>
        <w:tc>
          <w:tcPr>
            <w:tcW w:w="2515" w:type="dxa"/>
            <w:tcBorders>
              <w:top w:val="nil"/>
              <w:left w:val="single" w:sz="4" w:space="0" w:color="auto"/>
              <w:bottom w:val="single" w:sz="4" w:space="0" w:color="auto"/>
              <w:right w:val="single" w:sz="4" w:space="0" w:color="auto"/>
            </w:tcBorders>
          </w:tcPr>
          <w:p w14:paraId="0D0AC3A1" w14:textId="77777777" w:rsidR="00197C37" w:rsidRPr="007342D2" w:rsidRDefault="00197C37" w:rsidP="00B203C9">
            <w:pPr>
              <w:rPr>
                <w:rFonts w:ascii="Gill Sans MT" w:hAnsi="Gill Sans MT" w:cs="Nirmala UI"/>
                <w:b/>
                <w:bCs/>
                <w:color w:val="0D0D0D" w:themeColor="text1" w:themeTint="F2"/>
              </w:rPr>
            </w:pPr>
          </w:p>
        </w:tc>
        <w:tc>
          <w:tcPr>
            <w:tcW w:w="4950" w:type="dxa"/>
            <w:tcBorders>
              <w:left w:val="single" w:sz="4" w:space="0" w:color="auto"/>
              <w:right w:val="single" w:sz="4" w:space="0" w:color="auto"/>
            </w:tcBorders>
          </w:tcPr>
          <w:p w14:paraId="70FFA7BE" w14:textId="77777777" w:rsidR="00197C37" w:rsidRPr="007342D2" w:rsidRDefault="00197C37" w:rsidP="00B203C9">
            <w:pPr>
              <w:rPr>
                <w:rFonts w:ascii="Gill Sans MT" w:hAnsi="Gill Sans MT" w:cs="Nirmala UI"/>
                <w:color w:val="0D0D0D" w:themeColor="text1" w:themeTint="F2"/>
              </w:rPr>
            </w:pPr>
            <w:r w:rsidRPr="007342D2">
              <w:rPr>
                <w:rFonts w:ascii="Gill Sans MT" w:hAnsi="Gill Sans MT" w:cs="Nirmala UI"/>
                <w:color w:val="0D0D0D" w:themeColor="text1" w:themeTint="F2"/>
              </w:rPr>
              <w:t xml:space="preserve">* </w:t>
            </w:r>
            <w:r w:rsidRPr="007342D2">
              <w:rPr>
                <w:rFonts w:ascii="Gill Sans MT" w:hAnsi="Gill Sans MT" w:cs="Nirmala UI"/>
                <w:b/>
                <w:bCs/>
                <w:color w:val="0D0D0D" w:themeColor="text1" w:themeTint="F2"/>
              </w:rPr>
              <w:t>A Concrete, Prioritized GEDSI Action Plan</w:t>
            </w:r>
            <w:r w:rsidRPr="007342D2">
              <w:rPr>
                <w:rFonts w:ascii="Gill Sans MT" w:hAnsi="Gill Sans MT" w:cs="Nirmala UI"/>
                <w:color w:val="0D0D0D" w:themeColor="text1" w:themeTint="F2"/>
              </w:rPr>
              <w:t xml:space="preserve"> for the M4L Phase-2 project.</w:t>
            </w:r>
          </w:p>
        </w:tc>
        <w:tc>
          <w:tcPr>
            <w:tcW w:w="1890" w:type="dxa"/>
            <w:tcBorders>
              <w:top w:val="nil"/>
              <w:left w:val="single" w:sz="4" w:space="0" w:color="auto"/>
              <w:bottom w:val="single" w:sz="4" w:space="0" w:color="auto"/>
              <w:right w:val="single" w:sz="4" w:space="0" w:color="auto"/>
            </w:tcBorders>
          </w:tcPr>
          <w:p w14:paraId="1AD30B58" w14:textId="77777777" w:rsidR="00197C37" w:rsidRPr="007342D2" w:rsidRDefault="00197C37" w:rsidP="00B203C9">
            <w:pPr>
              <w:rPr>
                <w:rFonts w:ascii="Gill Sans MT" w:hAnsi="Gill Sans MT" w:cs="Nirmala UI"/>
                <w:color w:val="0D0D0D" w:themeColor="text1" w:themeTint="F2"/>
              </w:rPr>
            </w:pPr>
          </w:p>
        </w:tc>
      </w:tr>
    </w:tbl>
    <w:p w14:paraId="5F887B65" w14:textId="77777777" w:rsidR="00197C37" w:rsidRPr="007342D2" w:rsidRDefault="00197C37" w:rsidP="00197C37">
      <w:pPr>
        <w:spacing w:after="0" w:line="240" w:lineRule="auto"/>
        <w:jc w:val="both"/>
        <w:rPr>
          <w:rFonts w:ascii="Gill Sans MT" w:hAnsi="Gill Sans MT" w:cs="Nirmala UI"/>
          <w:color w:val="0D0D0D" w:themeColor="text1" w:themeTint="F2"/>
        </w:rPr>
      </w:pPr>
    </w:p>
    <w:p w14:paraId="11F2B593" w14:textId="77777777" w:rsidR="00197C37" w:rsidRPr="007342D2" w:rsidRDefault="00197C37" w:rsidP="00197C37">
      <w:pPr>
        <w:spacing w:after="120" w:line="240" w:lineRule="auto"/>
        <w:jc w:val="both"/>
        <w:rPr>
          <w:rFonts w:ascii="Gill Sans MT" w:hAnsi="Gill Sans MT" w:cs="Nirmala UI"/>
          <w:color w:val="0D0D0D" w:themeColor="text1" w:themeTint="F2"/>
        </w:rPr>
      </w:pPr>
    </w:p>
    <w:p w14:paraId="01857097" w14:textId="77777777" w:rsidR="00197C37" w:rsidRPr="007342D2" w:rsidRDefault="00197C37" w:rsidP="00E16AE2">
      <w:pPr>
        <w:spacing w:after="120" w:line="240" w:lineRule="auto"/>
        <w:rPr>
          <w:rFonts w:ascii="Gill Sans MT" w:hAnsi="Gill Sans MT" w:cs="Nirmala UI"/>
          <w:color w:val="0D0D0D" w:themeColor="text1" w:themeTint="F2"/>
        </w:rPr>
      </w:pPr>
    </w:p>
    <w:p w14:paraId="23DC7199" w14:textId="111D81CF" w:rsidR="00E16AE2" w:rsidRPr="007342D2" w:rsidRDefault="007342D2" w:rsidP="00E16AE2">
      <w:pPr>
        <w:spacing w:after="12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11.</w:t>
      </w:r>
      <w:r w:rsidR="00E16AE2" w:rsidRPr="007342D2">
        <w:rPr>
          <w:rFonts w:ascii="Gill Sans MT" w:hAnsi="Gill Sans MT" w:cs="Nirmala UI"/>
          <w:b/>
          <w:bCs/>
          <w:color w:val="0D0D0D" w:themeColor="text1" w:themeTint="F2"/>
        </w:rPr>
        <w:t xml:space="preserve"> Quality Assurance</w:t>
      </w:r>
    </w:p>
    <w:p w14:paraId="5AFEB8C5" w14:textId="77777777" w:rsidR="00E16AE2" w:rsidRPr="007342D2" w:rsidRDefault="00E16AE2" w:rsidP="00E16AE2">
      <w:p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The Consultant must ensure the following quality assurance measures:</w:t>
      </w:r>
    </w:p>
    <w:p w14:paraId="790354A0" w14:textId="77777777" w:rsidR="00E16AE2" w:rsidRPr="007342D2" w:rsidRDefault="00E16AE2" w:rsidP="00E16AE2">
      <w:pPr>
        <w:numPr>
          <w:ilvl w:val="0"/>
          <w:numId w:val="10"/>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Ethics and Sensitivity: Maintain strict ethical standards and cultural sensitivity when working with vulnerable populations (especially PWDs and female-headed households).</w:t>
      </w:r>
    </w:p>
    <w:p w14:paraId="0FD27005" w14:textId="77777777" w:rsidR="00E16AE2" w:rsidRPr="007342D2" w:rsidRDefault="00E16AE2" w:rsidP="00E16AE2">
      <w:pPr>
        <w:numPr>
          <w:ilvl w:val="0"/>
          <w:numId w:val="10"/>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Methodological Rigor: Ensure sampling strategies, data collection instruments, and analysis techniques meet high professional standards.</w:t>
      </w:r>
    </w:p>
    <w:p w14:paraId="172026E4" w14:textId="77777777" w:rsidR="00E16AE2" w:rsidRPr="007342D2" w:rsidRDefault="00E16AE2" w:rsidP="00E16AE2">
      <w:pPr>
        <w:numPr>
          <w:ilvl w:val="0"/>
          <w:numId w:val="10"/>
        </w:numPr>
        <w:spacing w:after="120" w:line="240" w:lineRule="auto"/>
        <w:rPr>
          <w:rFonts w:ascii="Gill Sans MT" w:hAnsi="Gill Sans MT" w:cs="Nirmala UI"/>
          <w:color w:val="0D0D0D" w:themeColor="text1" w:themeTint="F2"/>
        </w:rPr>
      </w:pPr>
      <w:r w:rsidRPr="007342D2">
        <w:rPr>
          <w:rFonts w:ascii="Gill Sans MT" w:hAnsi="Gill Sans MT" w:cs="Nirmala UI"/>
          <w:color w:val="0D0D0D" w:themeColor="text1" w:themeTint="F2"/>
        </w:rPr>
        <w:t>Data Quality Checks (DQC): Institute a mandatory dual-layered DQC process to ensure high reliability of data collected from the field.</w:t>
      </w:r>
    </w:p>
    <w:p w14:paraId="76862242" w14:textId="77777777" w:rsidR="001F1F8A" w:rsidRPr="007342D2" w:rsidRDefault="001F1F8A" w:rsidP="00E16AE2">
      <w:pPr>
        <w:spacing w:after="120" w:line="240" w:lineRule="auto"/>
        <w:rPr>
          <w:rFonts w:ascii="Gill Sans MT" w:hAnsi="Gill Sans MT" w:cs="Nirmala UI"/>
          <w:b/>
          <w:bCs/>
          <w:color w:val="0D0D0D" w:themeColor="text1" w:themeTint="F2"/>
        </w:rPr>
      </w:pPr>
    </w:p>
    <w:p w14:paraId="4780BFB6" w14:textId="4E01E578" w:rsidR="00E16AE2" w:rsidRPr="007342D2" w:rsidRDefault="007342D2" w:rsidP="00E16AE2">
      <w:pPr>
        <w:spacing w:after="120" w:line="240" w:lineRule="auto"/>
        <w:rPr>
          <w:rFonts w:ascii="Gill Sans MT" w:hAnsi="Gill Sans MT" w:cs="Nirmala UI"/>
          <w:b/>
          <w:bCs/>
          <w:color w:val="0D0D0D" w:themeColor="text1" w:themeTint="F2"/>
        </w:rPr>
      </w:pPr>
      <w:r w:rsidRPr="007342D2">
        <w:rPr>
          <w:rFonts w:ascii="Gill Sans MT" w:hAnsi="Gill Sans MT" w:cs="Nirmala UI"/>
          <w:b/>
          <w:bCs/>
          <w:color w:val="0D0D0D" w:themeColor="text1" w:themeTint="F2"/>
        </w:rPr>
        <w:t>12</w:t>
      </w:r>
      <w:r w:rsidR="00E16AE2" w:rsidRPr="007342D2">
        <w:rPr>
          <w:rFonts w:ascii="Gill Sans MT" w:hAnsi="Gill Sans MT" w:cs="Nirmala UI"/>
          <w:b/>
          <w:bCs/>
          <w:color w:val="0D0D0D" w:themeColor="text1" w:themeTint="F2"/>
        </w:rPr>
        <w:t>. Reporting and Supervision</w:t>
      </w:r>
    </w:p>
    <w:p w14:paraId="45EEE706" w14:textId="1891DDE0" w:rsidR="00355E38" w:rsidRPr="007342D2" w:rsidRDefault="00E16AE2" w:rsidP="000E71F1">
      <w:pPr>
        <w:spacing w:after="120" w:line="240" w:lineRule="auto"/>
        <w:jc w:val="both"/>
        <w:rPr>
          <w:rFonts w:ascii="Gill Sans MT" w:hAnsi="Gill Sans MT" w:cs="Nirmala UI"/>
          <w:color w:val="0D0D0D" w:themeColor="text1" w:themeTint="F2"/>
        </w:rPr>
      </w:pPr>
      <w:r w:rsidRPr="007342D2">
        <w:rPr>
          <w:rFonts w:ascii="Gill Sans MT" w:hAnsi="Gill Sans MT" w:cs="Nirmala UI"/>
          <w:color w:val="0D0D0D" w:themeColor="text1" w:themeTint="F2"/>
        </w:rPr>
        <w:t>The External Consultant will work under the direct supervision and guidance of the Project Manager at PARI Development Trust. The Project Manager is responsible for approving the methodology, monitoring pro</w:t>
      </w:r>
      <w:bookmarkStart w:id="57" w:name="_GoBack"/>
      <w:r w:rsidRPr="007342D2">
        <w:rPr>
          <w:rFonts w:ascii="Gill Sans MT" w:hAnsi="Gill Sans MT" w:cs="Nirmala UI"/>
          <w:color w:val="0D0D0D" w:themeColor="text1" w:themeTint="F2"/>
        </w:rPr>
        <w:t>gress, and ensuring the quality and timely completion of all deliverables.</w:t>
      </w:r>
      <w:bookmarkEnd w:id="57"/>
    </w:p>
    <w:sectPr w:rsidR="00355E38" w:rsidRPr="007342D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B6F74" w16cex:dateUtc="2025-12-14T06:35:00Z"/>
  <w16cex:commentExtensible w16cex:durableId="3DB24EDD" w16cex:dateUtc="2025-12-14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FC246" w16cid:durableId="3B8FC246"/>
  <w16cid:commentId w16cid:paraId="5077F56E" w16cid:durableId="25CB6F74"/>
  <w16cid:commentId w16cid:paraId="3F0D3E1D" w16cid:durableId="3F0D3E1D"/>
  <w16cid:commentId w16cid:paraId="2893FE8D" w16cid:durableId="3DB24E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U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507"/>
    <w:multiLevelType w:val="multilevel"/>
    <w:tmpl w:val="E1EE26B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54B98"/>
    <w:multiLevelType w:val="multilevel"/>
    <w:tmpl w:val="ADDC5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5EB"/>
    <w:multiLevelType w:val="multilevel"/>
    <w:tmpl w:val="328EC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72167"/>
    <w:multiLevelType w:val="multilevel"/>
    <w:tmpl w:val="5832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6EE0"/>
    <w:multiLevelType w:val="multilevel"/>
    <w:tmpl w:val="C55E4D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792E51"/>
    <w:multiLevelType w:val="multilevel"/>
    <w:tmpl w:val="200A6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009E8"/>
    <w:multiLevelType w:val="hybridMultilevel"/>
    <w:tmpl w:val="D2909124"/>
    <w:lvl w:ilvl="0" w:tplc="79C2682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7647BE"/>
    <w:multiLevelType w:val="multilevel"/>
    <w:tmpl w:val="EF4CE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257BB"/>
    <w:multiLevelType w:val="multilevel"/>
    <w:tmpl w:val="C55E4D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056767"/>
    <w:multiLevelType w:val="multilevel"/>
    <w:tmpl w:val="5D9C98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165B5F"/>
    <w:multiLevelType w:val="multilevel"/>
    <w:tmpl w:val="1E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66F8"/>
    <w:multiLevelType w:val="multilevel"/>
    <w:tmpl w:val="2BAA6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B12FC"/>
    <w:multiLevelType w:val="multilevel"/>
    <w:tmpl w:val="E69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B54AC"/>
    <w:multiLevelType w:val="multilevel"/>
    <w:tmpl w:val="2F3EA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146A93"/>
    <w:multiLevelType w:val="multilevel"/>
    <w:tmpl w:val="A96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D7543"/>
    <w:multiLevelType w:val="multilevel"/>
    <w:tmpl w:val="9FD6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F7E28"/>
    <w:multiLevelType w:val="multilevel"/>
    <w:tmpl w:val="21CAC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DD058C"/>
    <w:multiLevelType w:val="multilevel"/>
    <w:tmpl w:val="D50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D6763"/>
    <w:multiLevelType w:val="multilevel"/>
    <w:tmpl w:val="2FF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C57FA"/>
    <w:multiLevelType w:val="multilevel"/>
    <w:tmpl w:val="D6A89F98"/>
    <w:lvl w:ilvl="0">
      <w:start w:val="1"/>
      <w:numFmt w:val="lowerLetter"/>
      <w:lvlText w:val="%1)"/>
      <w:lvlJc w:val="left"/>
      <w:pPr>
        <w:ind w:left="2073" w:hanging="360"/>
      </w:pPr>
      <w:rPr>
        <w:b w:val="0"/>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0" w15:restartNumberingAfterBreak="0">
    <w:nsid w:val="77B53C35"/>
    <w:multiLevelType w:val="multilevel"/>
    <w:tmpl w:val="E186731E"/>
    <w:lvl w:ilvl="0">
      <w:start w:val="7"/>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2"/>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21" w15:restartNumberingAfterBreak="0">
    <w:nsid w:val="7BA53ECA"/>
    <w:multiLevelType w:val="multilevel"/>
    <w:tmpl w:val="2D40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87C73"/>
    <w:multiLevelType w:val="multilevel"/>
    <w:tmpl w:val="469C1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11"/>
  </w:num>
  <w:num w:numId="4">
    <w:abstractNumId w:val="14"/>
  </w:num>
  <w:num w:numId="5">
    <w:abstractNumId w:val="10"/>
  </w:num>
  <w:num w:numId="6">
    <w:abstractNumId w:val="5"/>
  </w:num>
  <w:num w:numId="7">
    <w:abstractNumId w:val="22"/>
  </w:num>
  <w:num w:numId="8">
    <w:abstractNumId w:val="0"/>
  </w:num>
  <w:num w:numId="9">
    <w:abstractNumId w:val="17"/>
  </w:num>
  <w:num w:numId="10">
    <w:abstractNumId w:val="21"/>
  </w:num>
  <w:num w:numId="11">
    <w:abstractNumId w:val="6"/>
  </w:num>
  <w:num w:numId="12">
    <w:abstractNumId w:val="4"/>
  </w:num>
  <w:num w:numId="13">
    <w:abstractNumId w:val="8"/>
  </w:num>
  <w:num w:numId="14">
    <w:abstractNumId w:val="19"/>
  </w:num>
  <w:num w:numId="15">
    <w:abstractNumId w:val="1"/>
  </w:num>
  <w:num w:numId="16">
    <w:abstractNumId w:val="7"/>
  </w:num>
  <w:num w:numId="17">
    <w:abstractNumId w:val="2"/>
  </w:num>
  <w:num w:numId="18">
    <w:abstractNumId w:val="3"/>
  </w:num>
  <w:num w:numId="19">
    <w:abstractNumId w:val="18"/>
  </w:num>
  <w:num w:numId="20">
    <w:abstractNumId w:val="12"/>
  </w:num>
  <w:num w:numId="21">
    <w:abstractNumId w:val="15"/>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A9"/>
    <w:rsid w:val="0005453A"/>
    <w:rsid w:val="000609A4"/>
    <w:rsid w:val="00072CE4"/>
    <w:rsid w:val="00090143"/>
    <w:rsid w:val="000B7CC9"/>
    <w:rsid w:val="000E71F1"/>
    <w:rsid w:val="00197C37"/>
    <w:rsid w:val="001E4F23"/>
    <w:rsid w:val="001F1F8A"/>
    <w:rsid w:val="001F7C72"/>
    <w:rsid w:val="00277DFC"/>
    <w:rsid w:val="002B177C"/>
    <w:rsid w:val="00355E38"/>
    <w:rsid w:val="00373FC5"/>
    <w:rsid w:val="003929B3"/>
    <w:rsid w:val="005822C1"/>
    <w:rsid w:val="00583494"/>
    <w:rsid w:val="005C4495"/>
    <w:rsid w:val="005F5DC7"/>
    <w:rsid w:val="00640041"/>
    <w:rsid w:val="00654013"/>
    <w:rsid w:val="00691FEA"/>
    <w:rsid w:val="00696298"/>
    <w:rsid w:val="006E70B5"/>
    <w:rsid w:val="00725FD7"/>
    <w:rsid w:val="007342D2"/>
    <w:rsid w:val="00741D84"/>
    <w:rsid w:val="007C11C4"/>
    <w:rsid w:val="007C760C"/>
    <w:rsid w:val="007E266B"/>
    <w:rsid w:val="00813EA2"/>
    <w:rsid w:val="008214A7"/>
    <w:rsid w:val="008407E1"/>
    <w:rsid w:val="00912F36"/>
    <w:rsid w:val="009164F1"/>
    <w:rsid w:val="00946CA7"/>
    <w:rsid w:val="009523A3"/>
    <w:rsid w:val="009A524F"/>
    <w:rsid w:val="009D32E7"/>
    <w:rsid w:val="009D7D57"/>
    <w:rsid w:val="00A158DE"/>
    <w:rsid w:val="00A545BE"/>
    <w:rsid w:val="00A775C7"/>
    <w:rsid w:val="00AC0A98"/>
    <w:rsid w:val="00AD77C6"/>
    <w:rsid w:val="00B203C9"/>
    <w:rsid w:val="00B2133D"/>
    <w:rsid w:val="00B753C2"/>
    <w:rsid w:val="00BC52A9"/>
    <w:rsid w:val="00BD10CB"/>
    <w:rsid w:val="00BF1F0B"/>
    <w:rsid w:val="00C028CE"/>
    <w:rsid w:val="00C6143E"/>
    <w:rsid w:val="00C6662B"/>
    <w:rsid w:val="00C97FF9"/>
    <w:rsid w:val="00CA3EBE"/>
    <w:rsid w:val="00CE6F63"/>
    <w:rsid w:val="00D1308F"/>
    <w:rsid w:val="00D14F6A"/>
    <w:rsid w:val="00D150B9"/>
    <w:rsid w:val="00D2290E"/>
    <w:rsid w:val="00D67C1C"/>
    <w:rsid w:val="00D70A33"/>
    <w:rsid w:val="00E02490"/>
    <w:rsid w:val="00E16AE2"/>
    <w:rsid w:val="00EC2B2B"/>
    <w:rsid w:val="00EF042A"/>
    <w:rsid w:val="00F10993"/>
    <w:rsid w:val="00F75664"/>
    <w:rsid w:val="00FC0291"/>
    <w:rsid w:val="00FE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9FB3"/>
  <w15:chartTrackingRefBased/>
  <w15:docId w15:val="{A2BADB4D-8C87-426F-AD2C-9D09D187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5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5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5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5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2A9"/>
    <w:rPr>
      <w:rFonts w:eastAsiaTheme="majorEastAsia" w:cstheme="majorBidi"/>
      <w:color w:val="272727" w:themeColor="text1" w:themeTint="D8"/>
    </w:rPr>
  </w:style>
  <w:style w:type="paragraph" w:styleId="Title">
    <w:name w:val="Title"/>
    <w:basedOn w:val="Normal"/>
    <w:next w:val="Normal"/>
    <w:link w:val="TitleChar"/>
    <w:uiPriority w:val="10"/>
    <w:qFormat/>
    <w:rsid w:val="00BC5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2A9"/>
    <w:pPr>
      <w:spacing w:before="160"/>
      <w:jc w:val="center"/>
    </w:pPr>
    <w:rPr>
      <w:i/>
      <w:iCs/>
      <w:color w:val="404040" w:themeColor="text1" w:themeTint="BF"/>
    </w:rPr>
  </w:style>
  <w:style w:type="character" w:customStyle="1" w:styleId="QuoteChar">
    <w:name w:val="Quote Char"/>
    <w:basedOn w:val="DefaultParagraphFont"/>
    <w:link w:val="Quote"/>
    <w:uiPriority w:val="29"/>
    <w:rsid w:val="00BC52A9"/>
    <w:rPr>
      <w:i/>
      <w:iCs/>
      <w:color w:val="404040" w:themeColor="text1" w:themeTint="BF"/>
    </w:rPr>
  </w:style>
  <w:style w:type="paragraph" w:styleId="ListParagraph">
    <w:name w:val="List Paragraph"/>
    <w:aliases w:val="????,????1,Bullet List,Bulletr List Paragraph,Citation List,Colorful List Accent 1,FooterText,List Bullet Mary,List Paragraph (numbered (a)),List Paragraph1,List Paragraph2,Paragraphe de liste1,References,Resume Title,heading 4,numbered"/>
    <w:basedOn w:val="Normal"/>
    <w:link w:val="ListParagraphChar"/>
    <w:qFormat/>
    <w:rsid w:val="00BC52A9"/>
    <w:pPr>
      <w:ind w:left="720"/>
      <w:contextualSpacing/>
    </w:pPr>
  </w:style>
  <w:style w:type="character" w:styleId="IntenseEmphasis">
    <w:name w:val="Intense Emphasis"/>
    <w:basedOn w:val="DefaultParagraphFont"/>
    <w:uiPriority w:val="21"/>
    <w:qFormat/>
    <w:rsid w:val="00BC52A9"/>
    <w:rPr>
      <w:i/>
      <w:iCs/>
      <w:color w:val="2F5496" w:themeColor="accent1" w:themeShade="BF"/>
    </w:rPr>
  </w:style>
  <w:style w:type="paragraph" w:styleId="IntenseQuote">
    <w:name w:val="Intense Quote"/>
    <w:basedOn w:val="Normal"/>
    <w:next w:val="Normal"/>
    <w:link w:val="IntenseQuoteChar"/>
    <w:uiPriority w:val="30"/>
    <w:qFormat/>
    <w:rsid w:val="00BC5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2A9"/>
    <w:rPr>
      <w:i/>
      <w:iCs/>
      <w:color w:val="2F5496" w:themeColor="accent1" w:themeShade="BF"/>
    </w:rPr>
  </w:style>
  <w:style w:type="character" w:styleId="IntenseReference">
    <w:name w:val="Intense Reference"/>
    <w:basedOn w:val="DefaultParagraphFont"/>
    <w:uiPriority w:val="32"/>
    <w:qFormat/>
    <w:rsid w:val="00BC52A9"/>
    <w:rPr>
      <w:b/>
      <w:bCs/>
      <w:smallCaps/>
      <w:color w:val="2F5496" w:themeColor="accent1" w:themeShade="BF"/>
      <w:spacing w:val="5"/>
    </w:rPr>
  </w:style>
  <w:style w:type="table" w:styleId="TableGrid">
    <w:name w:val="Table Grid"/>
    <w:basedOn w:val="TableNormal"/>
    <w:uiPriority w:val="39"/>
    <w:rsid w:val="00F1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A524F"/>
    <w:rPr>
      <w:rFonts w:ascii="Segoe UI" w:hAnsi="Segoe UI" w:cs="Segoe UI" w:hint="default"/>
      <w:sz w:val="18"/>
      <w:szCs w:val="18"/>
    </w:rPr>
  </w:style>
  <w:style w:type="paragraph" w:styleId="NoSpacing">
    <w:name w:val="No Spacing"/>
    <w:uiPriority w:val="1"/>
    <w:qFormat/>
    <w:rsid w:val="007E266B"/>
    <w:pPr>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 Char,????1 Char,Bullet List Char,Bulletr List Paragraph Char,Citation List Char,Colorful List Accent 1 Char,FooterText Char,List Bullet Mary Char,List Paragraph (numbered (a)) Char,List Paragraph1 Char,List Paragraph2 Char"/>
    <w:link w:val="ListParagraph"/>
    <w:qFormat/>
    <w:rsid w:val="00A545BE"/>
  </w:style>
  <w:style w:type="paragraph" w:styleId="NormalWeb">
    <w:name w:val="Normal (Web)"/>
    <w:basedOn w:val="Normal"/>
    <w:uiPriority w:val="99"/>
    <w:unhideWhenUsed/>
    <w:rsid w:val="00A545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203C9"/>
    <w:rPr>
      <w:sz w:val="16"/>
      <w:szCs w:val="16"/>
    </w:rPr>
  </w:style>
  <w:style w:type="paragraph" w:styleId="CommentText">
    <w:name w:val="annotation text"/>
    <w:basedOn w:val="Normal"/>
    <w:link w:val="CommentTextChar"/>
    <w:uiPriority w:val="99"/>
    <w:semiHidden/>
    <w:unhideWhenUsed/>
    <w:rsid w:val="00B203C9"/>
    <w:pPr>
      <w:spacing w:line="240" w:lineRule="auto"/>
    </w:pPr>
    <w:rPr>
      <w:sz w:val="20"/>
      <w:szCs w:val="20"/>
    </w:rPr>
  </w:style>
  <w:style w:type="character" w:customStyle="1" w:styleId="CommentTextChar">
    <w:name w:val="Comment Text Char"/>
    <w:basedOn w:val="DefaultParagraphFont"/>
    <w:link w:val="CommentText"/>
    <w:uiPriority w:val="99"/>
    <w:semiHidden/>
    <w:rsid w:val="00B203C9"/>
    <w:rPr>
      <w:sz w:val="20"/>
      <w:szCs w:val="20"/>
    </w:rPr>
  </w:style>
  <w:style w:type="paragraph" w:styleId="CommentSubject">
    <w:name w:val="annotation subject"/>
    <w:basedOn w:val="CommentText"/>
    <w:next w:val="CommentText"/>
    <w:link w:val="CommentSubjectChar"/>
    <w:uiPriority w:val="99"/>
    <w:semiHidden/>
    <w:unhideWhenUsed/>
    <w:rsid w:val="00B203C9"/>
    <w:rPr>
      <w:b/>
      <w:bCs/>
    </w:rPr>
  </w:style>
  <w:style w:type="character" w:customStyle="1" w:styleId="CommentSubjectChar">
    <w:name w:val="Comment Subject Char"/>
    <w:basedOn w:val="CommentTextChar"/>
    <w:link w:val="CommentSubject"/>
    <w:uiPriority w:val="99"/>
    <w:semiHidden/>
    <w:rsid w:val="00B203C9"/>
    <w:rPr>
      <w:b/>
      <w:bCs/>
      <w:sz w:val="20"/>
      <w:szCs w:val="20"/>
    </w:rPr>
  </w:style>
  <w:style w:type="paragraph" w:styleId="BalloonText">
    <w:name w:val="Balloon Text"/>
    <w:basedOn w:val="Normal"/>
    <w:link w:val="BalloonTextChar"/>
    <w:uiPriority w:val="99"/>
    <w:semiHidden/>
    <w:unhideWhenUsed/>
    <w:rsid w:val="00B20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A970-CE94-4788-8B2B-2107EB4D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Harun-Ar- Rashid</dc:creator>
  <cp:keywords/>
  <dc:description/>
  <cp:lastModifiedBy>User</cp:lastModifiedBy>
  <cp:revision>4</cp:revision>
  <dcterms:created xsi:type="dcterms:W3CDTF">2025-12-14T06:40:00Z</dcterms:created>
  <dcterms:modified xsi:type="dcterms:W3CDTF">2025-12-14T11:29:00Z</dcterms:modified>
</cp:coreProperties>
</file>