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E6F74" w14:textId="754EF745" w:rsidR="00AC7BA6" w:rsidRPr="00A67F97" w:rsidRDefault="00071FB9" w:rsidP="00AC7BA6">
      <w:pPr>
        <w:rPr>
          <w:rFonts w:ascii="Impact" w:hAnsi="Impact"/>
          <w:sz w:val="36"/>
          <w:szCs w:val="36"/>
        </w:rPr>
      </w:pPr>
      <w:r w:rsidRPr="00A67F97">
        <w:rPr>
          <w:rFonts w:ascii="Impact" w:hAnsi="Impact"/>
          <w:sz w:val="36"/>
          <w:szCs w:val="36"/>
        </w:rPr>
        <w:t>TERMS OF REFERENCE (TOR)</w:t>
      </w:r>
    </w:p>
    <w:tbl>
      <w:tblPr>
        <w:tblStyle w:val="GridTable6Colorful-Accent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7"/>
        <w:gridCol w:w="2927"/>
        <w:gridCol w:w="1517"/>
        <w:gridCol w:w="2935"/>
      </w:tblGrid>
      <w:tr w:rsidR="00A67F97" w:rsidRPr="00A67F97" w14:paraId="148FE22B" w14:textId="77777777" w:rsidTr="00A55FB9">
        <w:trPr>
          <w:cnfStyle w:val="100000000000" w:firstRow="1" w:lastRow="0" w:firstColumn="0" w:lastColumn="0" w:oddVBand="0" w:evenVBand="0" w:oddHBand="0" w:evenHBand="0" w:firstRowFirstColumn="0" w:firstRowLastColumn="0" w:lastRowFirstColumn="0" w:lastRowLastColumn="0"/>
          <w:trHeight w:val="740"/>
        </w:trPr>
        <w:tc>
          <w:tcPr>
            <w:cnfStyle w:val="001000000000" w:firstRow="0" w:lastRow="0" w:firstColumn="1" w:lastColumn="0" w:oddVBand="0" w:evenVBand="0" w:oddHBand="0" w:evenHBand="0" w:firstRowFirstColumn="0" w:firstRowLastColumn="0" w:lastRowFirstColumn="0" w:lastRowLastColumn="0"/>
            <w:tcW w:w="0" w:type="pct"/>
            <w:shd w:val="clear" w:color="auto" w:fill="auto"/>
          </w:tcPr>
          <w:p w14:paraId="4F4E8658" w14:textId="77777777" w:rsidR="00C44675" w:rsidRPr="00A67F97" w:rsidRDefault="00C44675" w:rsidP="00C03A9D">
            <w:pPr>
              <w:spacing w:before="120" w:after="120"/>
              <w:rPr>
                <w:rFonts w:eastAsia="Trade Gothic LT Com" w:cstheme="minorHAnsi"/>
                <w:b w:val="0"/>
                <w:bCs w:val="0"/>
                <w:color w:val="auto"/>
              </w:rPr>
            </w:pPr>
            <w:r w:rsidRPr="00A67F97">
              <w:rPr>
                <w:rFonts w:eastAsia="Trade Gothic LT Com" w:cstheme="minorHAnsi"/>
                <w:color w:val="auto"/>
              </w:rPr>
              <w:t>1.</w:t>
            </w:r>
          </w:p>
        </w:tc>
        <w:tc>
          <w:tcPr>
            <w:tcW w:w="0" w:type="pct"/>
            <w:shd w:val="clear" w:color="auto" w:fill="auto"/>
          </w:tcPr>
          <w:p w14:paraId="1284C081" w14:textId="77777777" w:rsidR="00C44675" w:rsidRPr="00A67F97" w:rsidRDefault="00C44675" w:rsidP="00C03A9D">
            <w:pPr>
              <w:spacing w:before="120" w:after="120"/>
              <w:cnfStyle w:val="100000000000" w:firstRow="1" w:lastRow="0" w:firstColumn="0" w:lastColumn="0" w:oddVBand="0" w:evenVBand="0" w:oddHBand="0" w:evenHBand="0" w:firstRowFirstColumn="0" w:firstRowLastColumn="0" w:lastRowFirstColumn="0" w:lastRowLastColumn="0"/>
              <w:rPr>
                <w:rFonts w:eastAsia="Trade Gothic LT Com" w:cstheme="minorHAnsi"/>
                <w:b w:val="0"/>
                <w:color w:val="auto"/>
              </w:rPr>
            </w:pPr>
            <w:r w:rsidRPr="00A67F97">
              <w:rPr>
                <w:rFonts w:eastAsia="Trade Gothic LT Com" w:cstheme="minorHAnsi"/>
                <w:color w:val="auto"/>
              </w:rPr>
              <w:t xml:space="preserve">Assignment title           </w:t>
            </w:r>
          </w:p>
        </w:tc>
        <w:tc>
          <w:tcPr>
            <w:tcW w:w="0" w:type="pct"/>
            <w:shd w:val="clear" w:color="auto" w:fill="auto"/>
          </w:tcPr>
          <w:p w14:paraId="09D9C2DF" w14:textId="77777777" w:rsidR="00C44675" w:rsidRPr="00A67F97" w:rsidRDefault="00C44675" w:rsidP="00C03A9D">
            <w:pPr>
              <w:spacing w:before="120" w:after="120"/>
              <w:cnfStyle w:val="100000000000" w:firstRow="1" w:lastRow="0" w:firstColumn="0" w:lastColumn="0" w:oddVBand="0" w:evenVBand="0" w:oddHBand="0" w:evenHBand="0" w:firstRowFirstColumn="0" w:firstRowLastColumn="0" w:lastRowFirstColumn="0" w:lastRowLastColumn="0"/>
              <w:rPr>
                <w:rFonts w:eastAsia="Trade Gothic LT Com" w:cstheme="minorHAnsi"/>
                <w:b w:val="0"/>
                <w:color w:val="auto"/>
              </w:rPr>
            </w:pPr>
            <w:r w:rsidRPr="00A67F97">
              <w:rPr>
                <w:rFonts w:eastAsia="Trade Gothic LT Com" w:cstheme="minorHAnsi"/>
                <w:color w:val="auto"/>
              </w:rPr>
              <w:t>:</w:t>
            </w:r>
          </w:p>
        </w:tc>
        <w:tc>
          <w:tcPr>
            <w:tcW w:w="0" w:type="pct"/>
            <w:shd w:val="clear" w:color="auto" w:fill="auto"/>
          </w:tcPr>
          <w:p w14:paraId="0215ACB9" w14:textId="4410FD57" w:rsidR="00C44675" w:rsidRPr="00A67F97" w:rsidRDefault="7509CD3B" w:rsidP="5811DB86">
            <w:pPr>
              <w:cnfStyle w:val="100000000000" w:firstRow="1" w:lastRow="0" w:firstColumn="0" w:lastColumn="0" w:oddVBand="0" w:evenVBand="0" w:oddHBand="0" w:evenHBand="0" w:firstRowFirstColumn="0" w:firstRowLastColumn="0" w:lastRowFirstColumn="0" w:lastRowLastColumn="0"/>
              <w:rPr>
                <w:rFonts w:eastAsia="Trade Gothic LT Com"/>
                <w:color w:val="auto"/>
                <w:highlight w:val="yellow"/>
              </w:rPr>
            </w:pPr>
            <w:bookmarkStart w:id="0" w:name="_Hlk199666463"/>
            <w:r w:rsidRPr="00A67F97">
              <w:rPr>
                <w:color w:val="auto"/>
              </w:rPr>
              <w:t xml:space="preserve">Consultancy for Climate Vulnerability and Risk Assessment, </w:t>
            </w:r>
            <w:r w:rsidR="2EE530DF" w:rsidRPr="00A67F97">
              <w:rPr>
                <w:color w:val="auto"/>
              </w:rPr>
              <w:t xml:space="preserve">and </w:t>
            </w:r>
            <w:r w:rsidRPr="00A67F97">
              <w:rPr>
                <w:color w:val="auto"/>
              </w:rPr>
              <w:t>GIS Mapping for People’s Adaptation Planning in Narayanganj City Corporation</w:t>
            </w:r>
            <w:r w:rsidR="585FB63B" w:rsidRPr="00A67F97">
              <w:rPr>
                <w:color w:val="auto"/>
              </w:rPr>
              <w:t xml:space="preserve"> (NCC)</w:t>
            </w:r>
            <w:bookmarkEnd w:id="0"/>
          </w:p>
        </w:tc>
      </w:tr>
      <w:tr w:rsidR="00A67F97" w:rsidRPr="00A67F97" w14:paraId="5D0C796A" w14:textId="77777777" w:rsidTr="00A55FB9">
        <w:trPr>
          <w:cnfStyle w:val="000000100000" w:firstRow="0" w:lastRow="0" w:firstColumn="0" w:lastColumn="0" w:oddVBand="0" w:evenVBand="0" w:oddHBand="1"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0" w:type="pct"/>
            <w:shd w:val="clear" w:color="auto" w:fill="auto"/>
          </w:tcPr>
          <w:p w14:paraId="13FB3A63" w14:textId="77777777" w:rsidR="00C44675" w:rsidRPr="00A67F97" w:rsidRDefault="00C44675" w:rsidP="00C03A9D">
            <w:pPr>
              <w:spacing w:before="120" w:after="120"/>
              <w:rPr>
                <w:rFonts w:eastAsia="Trade Gothic LT Com" w:cstheme="minorHAnsi"/>
                <w:b w:val="0"/>
                <w:bCs w:val="0"/>
                <w:color w:val="auto"/>
              </w:rPr>
            </w:pPr>
            <w:r w:rsidRPr="00A67F97">
              <w:rPr>
                <w:rFonts w:eastAsia="Trade Gothic LT Com" w:cstheme="minorHAnsi"/>
                <w:color w:val="auto"/>
              </w:rPr>
              <w:t>2.</w:t>
            </w:r>
          </w:p>
        </w:tc>
        <w:tc>
          <w:tcPr>
            <w:tcW w:w="0" w:type="pct"/>
            <w:shd w:val="clear" w:color="auto" w:fill="auto"/>
          </w:tcPr>
          <w:p w14:paraId="27FB9440" w14:textId="77777777" w:rsidR="00C44675" w:rsidRPr="00A67F97" w:rsidRDefault="00C44675" w:rsidP="00C03A9D">
            <w:pPr>
              <w:keepLines/>
              <w:spacing w:before="120" w:after="120"/>
              <w:cnfStyle w:val="000000100000" w:firstRow="0" w:lastRow="0" w:firstColumn="0" w:lastColumn="0" w:oddVBand="0" w:evenVBand="0" w:oddHBand="1" w:evenHBand="0" w:firstRowFirstColumn="0" w:firstRowLastColumn="0" w:lastRowFirstColumn="0" w:lastRowLastColumn="0"/>
              <w:rPr>
                <w:rFonts w:cstheme="minorHAnsi"/>
                <w:b/>
                <w:color w:val="auto"/>
              </w:rPr>
            </w:pPr>
            <w:r w:rsidRPr="00A67F97">
              <w:rPr>
                <w:rFonts w:eastAsia="Trade Gothic LT Com" w:cstheme="minorHAnsi"/>
                <w:b/>
                <w:bCs/>
                <w:color w:val="auto"/>
              </w:rPr>
              <w:t>Location</w:t>
            </w:r>
          </w:p>
        </w:tc>
        <w:tc>
          <w:tcPr>
            <w:tcW w:w="0" w:type="pct"/>
            <w:shd w:val="clear" w:color="auto" w:fill="auto"/>
          </w:tcPr>
          <w:p w14:paraId="79731C22" w14:textId="77777777" w:rsidR="00C44675" w:rsidRPr="00A67F97" w:rsidRDefault="00C44675" w:rsidP="00C03A9D">
            <w:pPr>
              <w:keepLines/>
              <w:spacing w:before="120" w:after="120"/>
              <w:cnfStyle w:val="000000100000" w:firstRow="0" w:lastRow="0" w:firstColumn="0" w:lastColumn="0" w:oddVBand="0" w:evenVBand="0" w:oddHBand="1" w:evenHBand="0" w:firstRowFirstColumn="0" w:firstRowLastColumn="0" w:lastRowFirstColumn="0" w:lastRowLastColumn="0"/>
              <w:rPr>
                <w:rFonts w:cstheme="minorHAnsi"/>
                <w:b/>
                <w:color w:val="auto"/>
              </w:rPr>
            </w:pPr>
            <w:r w:rsidRPr="00A67F97">
              <w:rPr>
                <w:rFonts w:cstheme="minorHAnsi"/>
                <w:b/>
                <w:color w:val="auto"/>
              </w:rPr>
              <w:t>:</w:t>
            </w:r>
          </w:p>
        </w:tc>
        <w:tc>
          <w:tcPr>
            <w:tcW w:w="0" w:type="pct"/>
            <w:shd w:val="clear" w:color="auto" w:fill="auto"/>
          </w:tcPr>
          <w:p w14:paraId="500B5018" w14:textId="59ED9F73" w:rsidR="00C44675" w:rsidRPr="00A67F97" w:rsidRDefault="6A29B512" w:rsidP="5811DB86">
            <w:pPr>
              <w:keepLines/>
              <w:spacing w:before="120" w:after="120"/>
              <w:cnfStyle w:val="000000100000" w:firstRow="0" w:lastRow="0" w:firstColumn="0" w:lastColumn="0" w:oddVBand="0" w:evenVBand="0" w:oddHBand="1" w:evenHBand="0" w:firstRowFirstColumn="0" w:firstRowLastColumn="0" w:lastRowFirstColumn="0" w:lastRowLastColumn="0"/>
              <w:rPr>
                <w:rFonts w:eastAsia="Trade Gothic LT Com"/>
                <w:color w:val="auto"/>
              </w:rPr>
            </w:pPr>
            <w:r w:rsidRPr="00A67F97">
              <w:rPr>
                <w:color w:val="auto"/>
              </w:rPr>
              <w:t>Narayanganj City Corporation</w:t>
            </w:r>
            <w:r w:rsidR="4E855C4A" w:rsidRPr="00A67F97">
              <w:rPr>
                <w:color w:val="auto"/>
              </w:rPr>
              <w:t xml:space="preserve"> Area</w:t>
            </w:r>
          </w:p>
        </w:tc>
      </w:tr>
      <w:tr w:rsidR="00A67F97" w:rsidRPr="00A67F97" w14:paraId="3D47F4CE" w14:textId="77777777" w:rsidTr="00A55FB9">
        <w:trPr>
          <w:trHeight w:val="490"/>
        </w:trPr>
        <w:tc>
          <w:tcPr>
            <w:cnfStyle w:val="001000000000" w:firstRow="0" w:lastRow="0" w:firstColumn="1" w:lastColumn="0" w:oddVBand="0" w:evenVBand="0" w:oddHBand="0" w:evenHBand="0" w:firstRowFirstColumn="0" w:firstRowLastColumn="0" w:lastRowFirstColumn="0" w:lastRowLastColumn="0"/>
            <w:tcW w:w="0" w:type="pct"/>
            <w:shd w:val="clear" w:color="auto" w:fill="auto"/>
          </w:tcPr>
          <w:p w14:paraId="429AC966" w14:textId="77777777" w:rsidR="00C44675" w:rsidRPr="00A67F97" w:rsidRDefault="00C44675" w:rsidP="00C03A9D">
            <w:pPr>
              <w:spacing w:before="120" w:after="120"/>
              <w:rPr>
                <w:rFonts w:eastAsia="Trade Gothic LT Com" w:cstheme="minorHAnsi"/>
                <w:b w:val="0"/>
                <w:bCs w:val="0"/>
                <w:color w:val="auto"/>
              </w:rPr>
            </w:pPr>
            <w:r w:rsidRPr="00A67F97">
              <w:rPr>
                <w:rFonts w:eastAsia="Trade Gothic LT Com" w:cstheme="minorHAnsi"/>
                <w:color w:val="auto"/>
              </w:rPr>
              <w:t>3.</w:t>
            </w:r>
          </w:p>
        </w:tc>
        <w:tc>
          <w:tcPr>
            <w:tcW w:w="0" w:type="pct"/>
            <w:shd w:val="clear" w:color="auto" w:fill="auto"/>
          </w:tcPr>
          <w:p w14:paraId="472D2B7D" w14:textId="77777777" w:rsidR="00C44675" w:rsidRPr="00A67F97" w:rsidRDefault="00C44675" w:rsidP="00C03A9D">
            <w:pPr>
              <w:keepLines/>
              <w:spacing w:before="120" w:after="120"/>
              <w:cnfStyle w:val="000000000000" w:firstRow="0" w:lastRow="0" w:firstColumn="0" w:lastColumn="0" w:oddVBand="0" w:evenVBand="0" w:oddHBand="0" w:evenHBand="0" w:firstRowFirstColumn="0" w:firstRowLastColumn="0" w:lastRowFirstColumn="0" w:lastRowLastColumn="0"/>
              <w:rPr>
                <w:rFonts w:eastAsia="Trade Gothic LT Com" w:cstheme="minorHAnsi"/>
                <w:b/>
                <w:color w:val="auto"/>
              </w:rPr>
            </w:pPr>
            <w:r w:rsidRPr="00A67F97">
              <w:rPr>
                <w:rFonts w:eastAsia="Trade Gothic LT Com" w:cstheme="minorHAnsi"/>
                <w:b/>
                <w:bCs/>
                <w:color w:val="auto"/>
              </w:rPr>
              <w:t>Targeted Stakeholders</w:t>
            </w:r>
          </w:p>
        </w:tc>
        <w:tc>
          <w:tcPr>
            <w:tcW w:w="0" w:type="pct"/>
            <w:shd w:val="clear" w:color="auto" w:fill="auto"/>
          </w:tcPr>
          <w:p w14:paraId="2AEA47A8" w14:textId="77777777" w:rsidR="00C44675" w:rsidRPr="00A67F97" w:rsidRDefault="00C44675" w:rsidP="00C03A9D">
            <w:pPr>
              <w:keepLines/>
              <w:spacing w:before="120" w:after="120"/>
              <w:cnfStyle w:val="000000000000" w:firstRow="0" w:lastRow="0" w:firstColumn="0" w:lastColumn="0" w:oddVBand="0" w:evenVBand="0" w:oddHBand="0" w:evenHBand="0" w:firstRowFirstColumn="0" w:firstRowLastColumn="0" w:lastRowFirstColumn="0" w:lastRowLastColumn="0"/>
              <w:rPr>
                <w:rFonts w:eastAsia="Trade Gothic LT Com" w:cstheme="minorHAnsi"/>
                <w:b/>
                <w:color w:val="auto"/>
              </w:rPr>
            </w:pPr>
            <w:r w:rsidRPr="00A67F97">
              <w:rPr>
                <w:rFonts w:eastAsia="Trade Gothic LT Com" w:cstheme="minorHAnsi"/>
                <w:b/>
                <w:color w:val="auto"/>
              </w:rPr>
              <w:t>:</w:t>
            </w:r>
          </w:p>
        </w:tc>
        <w:tc>
          <w:tcPr>
            <w:tcW w:w="0" w:type="pct"/>
            <w:shd w:val="clear" w:color="auto" w:fill="auto"/>
          </w:tcPr>
          <w:p w14:paraId="78CBCB6C" w14:textId="62769D20" w:rsidR="00C44675" w:rsidRPr="00A67F97" w:rsidRDefault="00864EFD" w:rsidP="00C03A9D">
            <w:pPr>
              <w:keepLines/>
              <w:spacing w:before="120" w:after="120"/>
              <w:cnfStyle w:val="000000000000" w:firstRow="0" w:lastRow="0" w:firstColumn="0" w:lastColumn="0" w:oddVBand="0" w:evenVBand="0" w:oddHBand="0" w:evenHBand="0" w:firstRowFirstColumn="0" w:firstRowLastColumn="0" w:lastRowFirstColumn="0" w:lastRowLastColumn="0"/>
              <w:rPr>
                <w:rFonts w:eastAsia="Trade Gothic LT Com" w:cstheme="minorHAnsi"/>
                <w:bCs/>
                <w:color w:val="auto"/>
              </w:rPr>
            </w:pPr>
            <w:r w:rsidRPr="00A67F97">
              <w:rPr>
                <w:rFonts w:eastAsia="Trade Gothic LT Com" w:cstheme="minorHAnsi"/>
                <w:bCs/>
                <w:color w:val="auto"/>
              </w:rPr>
              <w:t>Narayanganj City Corporation, Slum/LIC</w:t>
            </w:r>
            <w:r w:rsidR="004E5DAF" w:rsidRPr="00A67F97">
              <w:rPr>
                <w:rFonts w:eastAsia="Trade Gothic LT Com" w:cstheme="minorHAnsi"/>
                <w:bCs/>
                <w:color w:val="auto"/>
              </w:rPr>
              <w:t xml:space="preserve">, Government dept. (LGED, DPHE, BMD, </w:t>
            </w:r>
            <w:r w:rsidR="00571FEB" w:rsidRPr="00A67F97">
              <w:rPr>
                <w:rFonts w:eastAsia="Trade Gothic LT Com" w:cstheme="minorHAnsi"/>
                <w:bCs/>
                <w:color w:val="auto"/>
              </w:rPr>
              <w:t>DOE, BIWTA</w:t>
            </w:r>
            <w:r w:rsidR="00151CFD" w:rsidRPr="00A67F97">
              <w:rPr>
                <w:rFonts w:eastAsia="Trade Gothic LT Com" w:cstheme="minorHAnsi"/>
                <w:bCs/>
                <w:color w:val="auto"/>
              </w:rPr>
              <w:t xml:space="preserve"> etc</w:t>
            </w:r>
            <w:r w:rsidR="00571FEB" w:rsidRPr="00A67F97">
              <w:rPr>
                <w:rFonts w:eastAsia="Trade Gothic LT Com" w:cstheme="minorHAnsi"/>
                <w:bCs/>
                <w:color w:val="auto"/>
              </w:rPr>
              <w:t>.</w:t>
            </w:r>
            <w:r w:rsidR="00151CFD" w:rsidRPr="00A67F97">
              <w:rPr>
                <w:rFonts w:eastAsia="Trade Gothic LT Com" w:cstheme="minorHAnsi"/>
                <w:bCs/>
                <w:color w:val="auto"/>
              </w:rPr>
              <w:t>), local NGOs</w:t>
            </w:r>
            <w:r w:rsidR="00F31E59" w:rsidRPr="00A67F97">
              <w:rPr>
                <w:rFonts w:eastAsia="Trade Gothic LT Com" w:cstheme="minorHAnsi"/>
                <w:bCs/>
                <w:color w:val="auto"/>
              </w:rPr>
              <w:t xml:space="preserve">, </w:t>
            </w:r>
            <w:r w:rsidR="00071FB9" w:rsidRPr="00A67F97">
              <w:rPr>
                <w:rFonts w:eastAsia="Trade Gothic LT Com" w:cstheme="minorHAnsi"/>
                <w:bCs/>
                <w:color w:val="auto"/>
              </w:rPr>
              <w:t>Ward-based</w:t>
            </w:r>
            <w:r w:rsidR="00F31E59" w:rsidRPr="00A67F97">
              <w:rPr>
                <w:rFonts w:eastAsia="Trade Gothic LT Com" w:cstheme="minorHAnsi"/>
                <w:bCs/>
                <w:color w:val="auto"/>
              </w:rPr>
              <w:t xml:space="preserve"> communities</w:t>
            </w:r>
            <w:r w:rsidR="007B145A" w:rsidRPr="00A67F97">
              <w:rPr>
                <w:rFonts w:eastAsia="Trade Gothic LT Com" w:cstheme="minorHAnsi"/>
                <w:bCs/>
                <w:color w:val="auto"/>
              </w:rPr>
              <w:t xml:space="preserve">, </w:t>
            </w:r>
            <w:r w:rsidR="003075D7" w:rsidRPr="00A67F97">
              <w:rPr>
                <w:rFonts w:eastAsia="Trade Gothic LT Com" w:cstheme="minorHAnsi"/>
                <w:bCs/>
                <w:color w:val="auto"/>
              </w:rPr>
              <w:t>Donors,</w:t>
            </w:r>
            <w:r w:rsidR="00F31E59" w:rsidRPr="00A67F97">
              <w:rPr>
                <w:rFonts w:eastAsia="Trade Gothic LT Com" w:cstheme="minorHAnsi"/>
                <w:bCs/>
                <w:color w:val="auto"/>
              </w:rPr>
              <w:t xml:space="preserve"> etc.</w:t>
            </w:r>
          </w:p>
        </w:tc>
      </w:tr>
    </w:tbl>
    <w:p w14:paraId="0D033680" w14:textId="77777777" w:rsidR="00C44675" w:rsidRPr="00A67F97" w:rsidRDefault="00C44675" w:rsidP="0171205E">
      <w:pPr>
        <w:spacing w:line="276" w:lineRule="auto"/>
        <w:rPr>
          <w:b/>
          <w:bCs/>
        </w:rPr>
      </w:pPr>
    </w:p>
    <w:p w14:paraId="4EF15537" w14:textId="6DCC3AD3" w:rsidR="00AC7BA6" w:rsidRPr="00A67F97" w:rsidRDefault="0B17D817" w:rsidP="0171205E">
      <w:pPr>
        <w:spacing w:line="276" w:lineRule="auto"/>
        <w:rPr>
          <w:rFonts w:eastAsia="Georgia" w:cs="Georgia"/>
        </w:rPr>
      </w:pPr>
      <w:r w:rsidRPr="00A67F97">
        <w:rPr>
          <w:b/>
          <w:bCs/>
        </w:rPr>
        <w:t>Background:</w:t>
      </w:r>
      <w:r w:rsidRPr="00A67F97">
        <w:t xml:space="preserve"> </w:t>
      </w:r>
      <w:r w:rsidR="64D71439" w:rsidRPr="00A67F97">
        <w:rPr>
          <w:rFonts w:eastAsia="Georgia" w:cs="Georgia"/>
        </w:rPr>
        <w:t xml:space="preserve">The Narayanganj City Corporation (NCC), formed in 2011 with 27 wards consisting </w:t>
      </w:r>
      <w:proofErr w:type="gramStart"/>
      <w:r w:rsidR="64D71439" w:rsidRPr="00A67F97">
        <w:rPr>
          <w:rFonts w:eastAsia="Georgia" w:cs="Georgia"/>
        </w:rPr>
        <w:t>of  95</w:t>
      </w:r>
      <w:proofErr w:type="gramEnd"/>
      <w:r w:rsidR="64D71439" w:rsidRPr="00A67F97">
        <w:rPr>
          <w:rFonts w:eastAsia="Georgia" w:cs="Georgia"/>
        </w:rPr>
        <w:t xml:space="preserve"> urban slums</w:t>
      </w:r>
      <w:r w:rsidR="2EA2A9F2" w:rsidRPr="00A67F97">
        <w:rPr>
          <w:rFonts w:eastAsia="Georgia" w:cs="Georgia"/>
        </w:rPr>
        <w:t xml:space="preserve"> and </w:t>
      </w:r>
      <w:r w:rsidR="64D71439" w:rsidRPr="00A67F97">
        <w:rPr>
          <w:rFonts w:eastAsia="Georgia" w:cs="Georgia"/>
        </w:rPr>
        <w:t>informal settlement</w:t>
      </w:r>
      <w:r w:rsidR="100A2A4C" w:rsidRPr="00A67F97">
        <w:rPr>
          <w:rFonts w:eastAsia="Georgia" w:cs="Georgia"/>
        </w:rPr>
        <w:t>s</w:t>
      </w:r>
      <w:r w:rsidR="29AD617F" w:rsidRPr="00A67F97">
        <w:rPr>
          <w:rFonts w:eastAsia="Georgia" w:cs="Georgia"/>
        </w:rPr>
        <w:t>,</w:t>
      </w:r>
      <w:r w:rsidR="100A2A4C" w:rsidRPr="00A67F97">
        <w:rPr>
          <w:rFonts w:eastAsia="Georgia" w:cs="Georgia"/>
        </w:rPr>
        <w:t xml:space="preserve"> </w:t>
      </w:r>
      <w:r w:rsidR="64D71439" w:rsidRPr="00A67F97">
        <w:rPr>
          <w:rFonts w:eastAsia="Georgia" w:cs="Georgia"/>
        </w:rPr>
        <w:t>is growing fast but fac</w:t>
      </w:r>
      <w:r w:rsidR="2D2E9594" w:rsidRPr="00A67F97">
        <w:rPr>
          <w:rFonts w:eastAsia="Georgia" w:cs="Georgia"/>
        </w:rPr>
        <w:t>ing</w:t>
      </w:r>
      <w:r w:rsidR="64D71439" w:rsidRPr="00A67F97">
        <w:rPr>
          <w:rFonts w:eastAsia="Georgia" w:cs="Georgia"/>
        </w:rPr>
        <w:t xml:space="preserve"> challenges in </w:t>
      </w:r>
      <w:r w:rsidR="7D6F57E4" w:rsidRPr="00A67F97">
        <w:rPr>
          <w:rFonts w:eastAsia="Georgia" w:cs="Georgia"/>
        </w:rPr>
        <w:t>un</w:t>
      </w:r>
      <w:r w:rsidR="64D71439" w:rsidRPr="00A67F97">
        <w:rPr>
          <w:rFonts w:eastAsia="Georgia" w:cs="Georgia"/>
        </w:rPr>
        <w:t xml:space="preserve">planned </w:t>
      </w:r>
      <w:proofErr w:type="spellStart"/>
      <w:r w:rsidR="20DC1340" w:rsidRPr="00A67F97">
        <w:rPr>
          <w:rFonts w:eastAsia="Georgia" w:cs="Georgia"/>
        </w:rPr>
        <w:t>urbanisation</w:t>
      </w:r>
      <w:proofErr w:type="spellEnd"/>
      <w:r w:rsidR="64D71439" w:rsidRPr="00A67F97">
        <w:rPr>
          <w:rFonts w:eastAsia="Georgia" w:cs="Georgia"/>
        </w:rPr>
        <w:t xml:space="preserve">, waste management, and pollution. Climate change is making these issues worse, with the city already </w:t>
      </w:r>
      <w:r w:rsidR="20DC1340" w:rsidRPr="00A67F97">
        <w:rPr>
          <w:rFonts w:eastAsia="Georgia" w:cs="Georgia"/>
        </w:rPr>
        <w:t>experiencing</w:t>
      </w:r>
      <w:r w:rsidR="64D71439" w:rsidRPr="00A67F97">
        <w:rPr>
          <w:rFonts w:eastAsia="Georgia" w:cs="Georgia"/>
        </w:rPr>
        <w:t xml:space="preserve"> droughts, heatwaves, heavy rains, water shortages, and drainage problems. To address the</w:t>
      </w:r>
      <w:r w:rsidR="0BE9C845" w:rsidRPr="00A67F97">
        <w:rPr>
          <w:rFonts w:eastAsia="Georgia" w:cs="Georgia"/>
        </w:rPr>
        <w:t>se</w:t>
      </w:r>
      <w:r w:rsidR="64D71439" w:rsidRPr="00A67F97">
        <w:rPr>
          <w:rFonts w:eastAsia="Georgia" w:cs="Georgia"/>
        </w:rPr>
        <w:t xml:space="preserve"> challenges, the Asian Development Bank (ADB) is planning to support </w:t>
      </w:r>
      <w:r w:rsidR="20DC1340" w:rsidRPr="00A67F97">
        <w:rPr>
          <w:rFonts w:eastAsia="Georgia" w:cs="Georgia"/>
        </w:rPr>
        <w:t xml:space="preserve">the </w:t>
      </w:r>
      <w:r w:rsidR="64D71439" w:rsidRPr="00A67F97">
        <w:rPr>
          <w:rFonts w:eastAsia="Georgia" w:cs="Georgia"/>
        </w:rPr>
        <w:t xml:space="preserve">Narayanganj Green and Resilient Urban Development Project (NGURDP) to build sustainable and climate-resilient urban infrastructure, aiming to deliver sustainable, climate-resilient, and inclusive urban infrastructure. To ensure </w:t>
      </w:r>
      <w:r w:rsidR="77198BF8" w:rsidRPr="00A67F97">
        <w:rPr>
          <w:rFonts w:eastAsia="Georgia" w:cs="Georgia"/>
        </w:rPr>
        <w:t xml:space="preserve">that </w:t>
      </w:r>
      <w:r w:rsidR="64D71439" w:rsidRPr="00A67F97">
        <w:rPr>
          <w:rFonts w:eastAsia="Georgia" w:cs="Georgia"/>
        </w:rPr>
        <w:t xml:space="preserve">low-income and informal settlement communities are included in planning and investment, </w:t>
      </w:r>
      <w:r w:rsidR="05296F05" w:rsidRPr="00A67F97">
        <w:rPr>
          <w:rFonts w:eastAsia="Georgia" w:cs="Georgia"/>
        </w:rPr>
        <w:t xml:space="preserve">the </w:t>
      </w:r>
      <w:r w:rsidR="64D71439" w:rsidRPr="00A67F97">
        <w:rPr>
          <w:rFonts w:eastAsia="Georgia" w:cs="Georgia"/>
        </w:rPr>
        <w:t xml:space="preserve">ADB has engaged the Global Center on Adaptation (GCA) to develop People’s Adaptation Plan. With funding from Global Affairs Canada, </w:t>
      </w:r>
      <w:r w:rsidR="5AF7062D" w:rsidRPr="00A67F97">
        <w:rPr>
          <w:rFonts w:eastAsia="Georgia" w:cs="Georgia"/>
        </w:rPr>
        <w:t xml:space="preserve">the </w:t>
      </w:r>
      <w:r w:rsidR="64D71439" w:rsidRPr="00A67F97">
        <w:rPr>
          <w:rFonts w:eastAsia="Georgia" w:cs="Georgia"/>
        </w:rPr>
        <w:t>GCA is partnering with Practical Action in Bangladesh to support NCC in preparing People’s Adaptation Plan for priority wards in NCC.</w:t>
      </w:r>
    </w:p>
    <w:p w14:paraId="7D012D7B" w14:textId="64A1BFEE" w:rsidR="00AC7BA6" w:rsidRPr="00A67F97" w:rsidRDefault="30A22F64" w:rsidP="3B849FC6">
      <w:pPr>
        <w:spacing w:after="0"/>
      </w:pPr>
      <w:r w:rsidRPr="00A67F97">
        <w:rPr>
          <w:rFonts w:eastAsia="Georgia" w:cs="Georgia"/>
        </w:rPr>
        <w:t>The goal is to create a People’s Adaptation Plan for NCC</w:t>
      </w:r>
      <w:r w:rsidR="6E1305C2" w:rsidRPr="00A67F97">
        <w:rPr>
          <w:rFonts w:eastAsia="Georgia" w:cs="Georgia"/>
        </w:rPr>
        <w:t xml:space="preserve"> </w:t>
      </w:r>
      <w:r w:rsidRPr="00A67F97">
        <w:rPr>
          <w:rFonts w:eastAsia="Georgia" w:cs="Georgia"/>
        </w:rPr>
        <w:t xml:space="preserve">that ensures </w:t>
      </w:r>
      <w:r w:rsidR="4A4EB432" w:rsidRPr="00A67F97">
        <w:rPr>
          <w:rFonts w:eastAsia="Georgia" w:cs="Georgia"/>
        </w:rPr>
        <w:t xml:space="preserve">that </w:t>
      </w:r>
      <w:r w:rsidRPr="00A67F97">
        <w:rPr>
          <w:rFonts w:eastAsia="Georgia" w:cs="Georgia"/>
        </w:rPr>
        <w:t>the climate resilience priorities of the urban poor are reflected in the NGURDP</w:t>
      </w:r>
      <w:r w:rsidR="59FBF879" w:rsidRPr="00A67F97">
        <w:rPr>
          <w:rFonts w:eastAsia="Georgia" w:cs="Georgia"/>
        </w:rPr>
        <w:t>'s</w:t>
      </w:r>
      <w:r w:rsidRPr="00A67F97">
        <w:rPr>
          <w:rFonts w:eastAsia="Georgia" w:cs="Georgia"/>
        </w:rPr>
        <w:t xml:space="preserve"> investments and results, as well as in the three related master plans—the Urban Action Plan, Sewerage Master Plan, and Solid Waste Management Plan. The project focuses on integrating climate-sensitive priorities for marginalized communities into master plans, promoting nature-based solutions (</w:t>
      </w:r>
      <w:proofErr w:type="spellStart"/>
      <w:r w:rsidRPr="00A67F97">
        <w:rPr>
          <w:rFonts w:eastAsia="Georgia" w:cs="Georgia"/>
        </w:rPr>
        <w:t>NbS</w:t>
      </w:r>
      <w:proofErr w:type="spellEnd"/>
      <w:r w:rsidRPr="00A67F97">
        <w:rPr>
          <w:rFonts w:eastAsia="Georgia" w:cs="Georgia"/>
        </w:rPr>
        <w:t>) to address long-term climate risks, informing infrastructure planning at the community level</w:t>
      </w:r>
      <w:r w:rsidR="4C345CD0" w:rsidRPr="00A67F97">
        <w:rPr>
          <w:rFonts w:eastAsia="Georgia" w:cs="Georgia"/>
        </w:rPr>
        <w:t>,</w:t>
      </w:r>
      <w:r w:rsidRPr="00A67F97">
        <w:rPr>
          <w:rFonts w:eastAsia="Georgia" w:cs="Georgia"/>
        </w:rPr>
        <w:t xml:space="preserve"> and creating green job opportunities. This approach will enhance climate resilience, empower women, and contribute to sustainable urban development. At its core, it will </w:t>
      </w:r>
      <w:r w:rsidR="3C7F5449" w:rsidRPr="00A67F97">
        <w:rPr>
          <w:rFonts w:eastAsia="Georgia" w:cs="Georgia"/>
        </w:rPr>
        <w:t>follow</w:t>
      </w:r>
      <w:r w:rsidRPr="00A67F97">
        <w:rPr>
          <w:rFonts w:eastAsia="Georgia" w:cs="Georgia"/>
        </w:rPr>
        <w:t xml:space="preserve"> </w:t>
      </w:r>
      <w:r w:rsidRPr="00A67F97">
        <w:rPr>
          <w:rFonts w:eastAsia="Georgia" w:cs="Georgia"/>
          <w:b/>
          <w:bCs/>
        </w:rPr>
        <w:t>Locally Led Adaptation</w:t>
      </w:r>
      <w:r w:rsidRPr="00A67F97">
        <w:rPr>
          <w:rFonts w:eastAsia="Georgia" w:cs="Georgia"/>
        </w:rPr>
        <w:t xml:space="preserve"> </w:t>
      </w:r>
      <w:r w:rsidRPr="00A67F97">
        <w:rPr>
          <w:rFonts w:eastAsia="Georgia" w:cs="Georgia"/>
          <w:b/>
          <w:bCs/>
        </w:rPr>
        <w:t>(LLA)</w:t>
      </w:r>
      <w:r w:rsidRPr="00A67F97">
        <w:rPr>
          <w:rFonts w:eastAsia="Georgia" w:cs="Georgia"/>
        </w:rPr>
        <w:t xml:space="preserve"> principles.</w:t>
      </w:r>
    </w:p>
    <w:p w14:paraId="6DC3399E" w14:textId="2F3A7E54" w:rsidR="00AC7BA6" w:rsidRPr="00A67F97" w:rsidRDefault="1FC7207B" w:rsidP="008C18A9">
      <w:pPr>
        <w:spacing w:after="0"/>
      </w:pPr>
      <w:r w:rsidRPr="00A67F97">
        <w:rPr>
          <w:rFonts w:eastAsia="Georgia" w:cs="Georgia"/>
        </w:rPr>
        <w:t xml:space="preserve"> </w:t>
      </w:r>
    </w:p>
    <w:p w14:paraId="504CCFD5" w14:textId="0D8B6B91" w:rsidR="00AC7BA6" w:rsidRPr="00A67F97" w:rsidRDefault="00AC7BA6" w:rsidP="00AC7BA6">
      <w:r w:rsidRPr="00A67F97">
        <w:rPr>
          <w:b/>
          <w:bCs/>
        </w:rPr>
        <w:t>Objectives of the Consultancy:</w:t>
      </w:r>
      <w:r w:rsidRPr="00A67F97">
        <w:t xml:space="preserve"> </w:t>
      </w:r>
    </w:p>
    <w:p w14:paraId="73DBB8B1" w14:textId="0373D1E3" w:rsidR="00AC7BA6" w:rsidRPr="00A67F97" w:rsidRDefault="1A8B0981" w:rsidP="00AC7BA6">
      <w:r w:rsidRPr="00A67F97">
        <w:rPr>
          <w:rFonts w:eastAsia="Georgia" w:cs="Georgia"/>
        </w:rPr>
        <w:t xml:space="preserve">Under the Narayanganj City Corporation, a </w:t>
      </w:r>
      <w:r w:rsidRPr="00A67F97">
        <w:rPr>
          <w:rFonts w:eastAsia="Georgia" w:cs="Georgia"/>
          <w:b/>
          <w:bCs/>
        </w:rPr>
        <w:t>Climate Resilient City Action Plan</w:t>
      </w:r>
      <w:r w:rsidRPr="00A67F97">
        <w:rPr>
          <w:rFonts w:eastAsia="Georgia" w:cs="Georgia"/>
        </w:rPr>
        <w:t xml:space="preserve"> is in place, focusing on greenhouse gas emissions</w:t>
      </w:r>
      <w:r w:rsidR="7C947114" w:rsidRPr="00A67F97">
        <w:rPr>
          <w:rFonts w:eastAsia="Georgia" w:cs="Georgia"/>
        </w:rPr>
        <w:t xml:space="preserve"> reduction</w:t>
      </w:r>
      <w:r w:rsidRPr="00A67F97">
        <w:rPr>
          <w:rFonts w:eastAsia="Georgia" w:cs="Georgia"/>
        </w:rPr>
        <w:t xml:space="preserve">, climate hazard identification, and resilience-building interventions. As part of the </w:t>
      </w:r>
      <w:r w:rsidRPr="00A67F97">
        <w:rPr>
          <w:rFonts w:eastAsia="Georgia" w:cs="Georgia"/>
          <w:b/>
          <w:bCs/>
        </w:rPr>
        <w:t>Practical Action</w:t>
      </w:r>
      <w:r w:rsidRPr="00A67F97">
        <w:rPr>
          <w:rFonts w:eastAsia="Georgia" w:cs="Georgia"/>
        </w:rPr>
        <w:t xml:space="preserve"> project, special emphasis will be placed on identifying climate risks in informal settlements and climate impact in delivering urban services with qualitative and quantitative data </w:t>
      </w:r>
      <w:r w:rsidR="7AC32E93" w:rsidRPr="00A67F97">
        <w:rPr>
          <w:rFonts w:eastAsia="Georgia" w:cs="Georgia"/>
        </w:rPr>
        <w:t>evidence</w:t>
      </w:r>
      <w:r w:rsidRPr="00A67F97">
        <w:rPr>
          <w:rFonts w:eastAsia="Georgia" w:cs="Georgia"/>
        </w:rPr>
        <w:t xml:space="preserve">. This includes creating GIS maps of slum areas, conducting climate data modeling for the past, present, and </w:t>
      </w:r>
      <w:r w:rsidRPr="00A67F97">
        <w:rPr>
          <w:rFonts w:eastAsia="Georgia" w:cs="Georgia"/>
        </w:rPr>
        <w:lastRenderedPageBreak/>
        <w:t>future, and developing a climate risk index that incorporates both scientific and social data. The assessment will also strengthen local capacity for data collection.</w:t>
      </w:r>
    </w:p>
    <w:p w14:paraId="75865B8E" w14:textId="2C4CE727" w:rsidR="00AC7BA6" w:rsidRPr="00A67F97" w:rsidRDefault="140F8EDE" w:rsidP="00AC7BA6">
      <w:r w:rsidRPr="00A67F97">
        <w:t xml:space="preserve">To </w:t>
      </w:r>
      <w:r w:rsidR="0EF81366" w:rsidRPr="00A67F97">
        <w:t xml:space="preserve">support </w:t>
      </w:r>
      <w:r w:rsidRPr="00A67F97">
        <w:t xml:space="preserve">the above </w:t>
      </w:r>
      <w:r w:rsidR="217D4BAC" w:rsidRPr="00A67F97">
        <w:t>activities</w:t>
      </w:r>
      <w:r w:rsidRPr="00A67F97">
        <w:t xml:space="preserve">, </w:t>
      </w:r>
      <w:r w:rsidR="3B91E485" w:rsidRPr="00A67F97">
        <w:t>t</w:t>
      </w:r>
      <w:r w:rsidR="27BF8C27" w:rsidRPr="00A67F97">
        <w:t xml:space="preserve">he </w:t>
      </w:r>
      <w:r w:rsidR="2DD23653" w:rsidRPr="00A67F97">
        <w:t>present</w:t>
      </w:r>
      <w:r w:rsidR="403D1099" w:rsidRPr="00A67F97">
        <w:t xml:space="preserve"> </w:t>
      </w:r>
      <w:r w:rsidR="27BF8C27" w:rsidRPr="00A67F97">
        <w:t xml:space="preserve">consultancy will support </w:t>
      </w:r>
      <w:r w:rsidR="401BBA41" w:rsidRPr="00A67F97">
        <w:t>four</w:t>
      </w:r>
      <w:r w:rsidR="27BF8C27" w:rsidRPr="00A67F97">
        <w:t xml:space="preserve"> interrelated objectives:</w:t>
      </w:r>
    </w:p>
    <w:p w14:paraId="3E734BD9" w14:textId="1D4C86E8" w:rsidR="00AC7BA6" w:rsidRPr="00A67F97" w:rsidRDefault="0F91A72B" w:rsidP="00AC7BA6">
      <w:pPr>
        <w:numPr>
          <w:ilvl w:val="0"/>
          <w:numId w:val="1"/>
        </w:numPr>
      </w:pPr>
      <w:r w:rsidRPr="00A67F97">
        <w:t xml:space="preserve">Conduct </w:t>
      </w:r>
      <w:r w:rsidR="0DE46E7B" w:rsidRPr="00A67F97">
        <w:t>s</w:t>
      </w:r>
      <w:r w:rsidR="27BF8C27" w:rsidRPr="00A67F97">
        <w:t>ettlement profiling and GIS mapping of key infrastructure</w:t>
      </w:r>
      <w:r w:rsidR="2DFE1C25" w:rsidRPr="00A67F97">
        <w:t>, natural resources</w:t>
      </w:r>
      <w:r w:rsidR="27BF8C27" w:rsidRPr="00A67F97">
        <w:t xml:space="preserve"> and communities, including low-income settlements (LICs), waste/sanitation workers (W/SWs), and vulnerable wards, with socioeconomic and health data.</w:t>
      </w:r>
    </w:p>
    <w:p w14:paraId="1164690E" w14:textId="30781C3A" w:rsidR="00AC7BA6" w:rsidRPr="00A67F97" w:rsidRDefault="27BF8C27" w:rsidP="00AC7BA6">
      <w:pPr>
        <w:numPr>
          <w:ilvl w:val="0"/>
          <w:numId w:val="1"/>
        </w:numPr>
      </w:pPr>
      <w:r w:rsidRPr="00A67F97">
        <w:t>Conduct a comprehensive Climate Vulnerability and Risk Assessment (CVRA) considering both slow-onset and extreme climate events, critical infrastructure, and urban poor exposure.</w:t>
      </w:r>
      <w:r w:rsidR="7E959774" w:rsidRPr="00A67F97">
        <w:t xml:space="preserve"> </w:t>
      </w:r>
      <w:r w:rsidR="6B17839D" w:rsidRPr="00A67F97">
        <w:t>This assessment includes risk profiling and developing risk index of informal settlement</w:t>
      </w:r>
      <w:r w:rsidR="0EC87633" w:rsidRPr="00A67F97">
        <w:t>s</w:t>
      </w:r>
      <w:r w:rsidR="6B17839D" w:rsidRPr="00A67F97">
        <w:t xml:space="preserve"> (slums).</w:t>
      </w:r>
    </w:p>
    <w:p w14:paraId="6831A802" w14:textId="024047B4" w:rsidR="00AC7BA6" w:rsidRPr="00A67F97" w:rsidRDefault="456CE2D9" w:rsidP="00AC7BA6">
      <w:pPr>
        <w:numPr>
          <w:ilvl w:val="0"/>
          <w:numId w:val="1"/>
        </w:numPr>
      </w:pPr>
      <w:proofErr w:type="spellStart"/>
      <w:r w:rsidRPr="00A67F97">
        <w:t>A</w:t>
      </w:r>
      <w:r w:rsidR="69167CF7" w:rsidRPr="00A67F97">
        <w:t>nalys</w:t>
      </w:r>
      <w:r w:rsidR="721D338F" w:rsidRPr="00A67F97">
        <w:t>e</w:t>
      </w:r>
      <w:proofErr w:type="spellEnd"/>
      <w:r w:rsidR="69167CF7" w:rsidRPr="00A67F97">
        <w:t xml:space="preserve"> climate impact in delivering urban services in </w:t>
      </w:r>
      <w:r w:rsidR="74077966" w:rsidRPr="00A67F97">
        <w:t>informal</w:t>
      </w:r>
      <w:r w:rsidR="69167CF7" w:rsidRPr="00A67F97">
        <w:t xml:space="preserve"> settlements </w:t>
      </w:r>
      <w:r w:rsidR="15DFE5B6" w:rsidRPr="00A67F97">
        <w:t>and predict the trends/modeling</w:t>
      </w:r>
      <w:r w:rsidR="703CBE92" w:rsidRPr="00A67F97">
        <w:t xml:space="preserve"> the climate scenarios</w:t>
      </w:r>
      <w:r w:rsidR="15DFE5B6" w:rsidRPr="00A67F97">
        <w:t xml:space="preserve"> for future</w:t>
      </w:r>
      <w:r w:rsidR="72FD0379" w:rsidRPr="00A67F97">
        <w:t xml:space="preserve"> with scientific information.</w:t>
      </w:r>
    </w:p>
    <w:p w14:paraId="54074F4F" w14:textId="77777777" w:rsidR="00AC7BA6" w:rsidRPr="00A67F97" w:rsidRDefault="00AC7BA6" w:rsidP="00AC7BA6">
      <w:pPr>
        <w:numPr>
          <w:ilvl w:val="0"/>
          <w:numId w:val="1"/>
        </w:numPr>
      </w:pPr>
      <w:r w:rsidRPr="00A67F97">
        <w:t>Develop a list of costed priority interventions and adaptation measures based on risk profiling and community input.</w:t>
      </w:r>
    </w:p>
    <w:p w14:paraId="377A69D5" w14:textId="770B70D2" w:rsidR="00AC7BA6" w:rsidRPr="00A67F97" w:rsidRDefault="27BF8C27" w:rsidP="00AC7BA6">
      <w:r w:rsidRPr="00A67F97">
        <w:rPr>
          <w:b/>
          <w:bCs/>
        </w:rPr>
        <w:t>Scope of Work:</w:t>
      </w:r>
      <w:r w:rsidRPr="00A67F97">
        <w:t xml:space="preserve"> The </w:t>
      </w:r>
      <w:r w:rsidR="53CDCFBC" w:rsidRPr="00A67F97">
        <w:t>Consulting</w:t>
      </w:r>
      <w:r w:rsidRPr="00A67F97">
        <w:t xml:space="preserve"> firm will undertake the following </w:t>
      </w:r>
      <w:r w:rsidR="4D894020" w:rsidRPr="00A67F97">
        <w:t>activities</w:t>
      </w:r>
      <w:r w:rsidRPr="00A67F97">
        <w:t>:</w:t>
      </w:r>
    </w:p>
    <w:p w14:paraId="6E3AEBF0" w14:textId="0CF41D7C" w:rsidR="00AC7BA6" w:rsidRPr="00A67F97" w:rsidRDefault="27BF8C27" w:rsidP="00AC7BA6">
      <w:pPr>
        <w:rPr>
          <w:b/>
          <w:bCs/>
        </w:rPr>
      </w:pPr>
      <w:r w:rsidRPr="00A67F97">
        <w:rPr>
          <w:b/>
          <w:bCs/>
        </w:rPr>
        <w:t>1. Climate Vulnerability and Risk A</w:t>
      </w:r>
      <w:r w:rsidR="36BDBC04" w:rsidRPr="00A67F97">
        <w:rPr>
          <w:b/>
          <w:bCs/>
        </w:rPr>
        <w:t>ssessment</w:t>
      </w:r>
    </w:p>
    <w:p w14:paraId="657A550A" w14:textId="57723FE8" w:rsidR="00AC7BA6" w:rsidRPr="00A67F97" w:rsidRDefault="27BF8C27" w:rsidP="00AC7BA6">
      <w:pPr>
        <w:numPr>
          <w:ilvl w:val="0"/>
          <w:numId w:val="2"/>
        </w:numPr>
      </w:pPr>
      <w:r w:rsidRPr="00A67F97">
        <w:t xml:space="preserve">Conduct scientific assessment of </w:t>
      </w:r>
      <w:r w:rsidRPr="00A67F97">
        <w:rPr>
          <w:b/>
          <w:bCs/>
        </w:rPr>
        <w:t>current</w:t>
      </w:r>
      <w:r w:rsidRPr="00A67F97">
        <w:t xml:space="preserve"> and </w:t>
      </w:r>
      <w:r w:rsidRPr="00A67F97">
        <w:rPr>
          <w:b/>
          <w:bCs/>
        </w:rPr>
        <w:t>projected future climate risks</w:t>
      </w:r>
      <w:r w:rsidRPr="00A67F97">
        <w:t>, including both extreme events (e.g., floods</w:t>
      </w:r>
      <w:r w:rsidR="00DB2C04" w:rsidRPr="00A67F97">
        <w:t>/waterlog</w:t>
      </w:r>
      <w:r w:rsidRPr="00A67F97">
        <w:t>, heatwaves) and slow-onset processes (e.g., urban heat island effect, water scarcity).</w:t>
      </w:r>
    </w:p>
    <w:p w14:paraId="6A875134" w14:textId="2075E80C" w:rsidR="3B0DE8ED" w:rsidRPr="00A67F97" w:rsidRDefault="1C107E37" w:rsidP="3B849FC6">
      <w:pPr>
        <w:numPr>
          <w:ilvl w:val="0"/>
          <w:numId w:val="2"/>
        </w:numPr>
      </w:pPr>
      <w:proofErr w:type="spellStart"/>
      <w:r w:rsidRPr="00A67F97">
        <w:t>Analys</w:t>
      </w:r>
      <w:r w:rsidR="7D2E2693" w:rsidRPr="00A67F97">
        <w:t>e</w:t>
      </w:r>
      <w:proofErr w:type="spellEnd"/>
      <w:r w:rsidRPr="00A67F97">
        <w:t xml:space="preserve"> the climate impacts in urban service deliveries with data </w:t>
      </w:r>
      <w:r w:rsidR="12B246A0" w:rsidRPr="00A67F97">
        <w:t xml:space="preserve">and/or </w:t>
      </w:r>
      <w:r w:rsidRPr="00A67F97">
        <w:t xml:space="preserve">evidence. </w:t>
      </w:r>
    </w:p>
    <w:p w14:paraId="211D4E68" w14:textId="6653CE94" w:rsidR="00AC7BA6" w:rsidRPr="00A67F97" w:rsidRDefault="27BF8C27" w:rsidP="00AC7BA6">
      <w:pPr>
        <w:numPr>
          <w:ilvl w:val="0"/>
          <w:numId w:val="2"/>
        </w:numPr>
      </w:pPr>
      <w:r w:rsidRPr="00A67F97">
        <w:t xml:space="preserve">Integrate socioeconomic, demographic, and environmental trends into the risk </w:t>
      </w:r>
      <w:r w:rsidR="5D9ECE6D" w:rsidRPr="00A67F97">
        <w:t>assessment</w:t>
      </w:r>
      <w:r w:rsidRPr="00A67F97">
        <w:t>.</w:t>
      </w:r>
    </w:p>
    <w:p w14:paraId="36E4A9E3" w14:textId="4481CA89" w:rsidR="00C926D4" w:rsidRPr="00A67F97" w:rsidRDefault="320EB28A" w:rsidP="00AC7BA6">
      <w:pPr>
        <w:numPr>
          <w:ilvl w:val="0"/>
          <w:numId w:val="2"/>
        </w:numPr>
      </w:pPr>
      <w:r w:rsidRPr="00A67F97">
        <w:t xml:space="preserve">Integrate </w:t>
      </w:r>
      <w:r w:rsidR="177EAD36" w:rsidRPr="00A67F97">
        <w:t xml:space="preserve">relevant key </w:t>
      </w:r>
      <w:r w:rsidRPr="00A67F97">
        <w:t xml:space="preserve">resilience indicators from </w:t>
      </w:r>
      <w:hyperlink r:id="rId6" w:history="1">
        <w:r w:rsidRPr="00A67F97">
          <w:rPr>
            <w:rStyle w:val="Hyperlink"/>
            <w:color w:val="auto"/>
          </w:rPr>
          <w:t xml:space="preserve">the Climate Resilience Measurement for Communities (CRMC) </w:t>
        </w:r>
        <w:r w:rsidR="177EAD36" w:rsidRPr="00A67F97">
          <w:rPr>
            <w:rStyle w:val="Hyperlink"/>
            <w:color w:val="auto"/>
          </w:rPr>
          <w:t>tool</w:t>
        </w:r>
      </w:hyperlink>
      <w:r w:rsidR="177EAD36" w:rsidRPr="00A67F97">
        <w:t xml:space="preserve"> </w:t>
      </w:r>
      <w:r w:rsidR="08BEBE9E" w:rsidRPr="00A67F97">
        <w:t xml:space="preserve">of </w:t>
      </w:r>
      <w:r w:rsidRPr="00A67F97">
        <w:t>Practical Action</w:t>
      </w:r>
      <w:r w:rsidR="00260CD2" w:rsidRPr="00A67F97">
        <w:t>-</w:t>
      </w:r>
      <w:r w:rsidR="00047D1F" w:rsidRPr="00A67F97">
        <w:t xml:space="preserve"> developed in association with the </w:t>
      </w:r>
      <w:hyperlink r:id="rId7" w:history="1">
        <w:r w:rsidR="00047D1F" w:rsidRPr="00A67F97">
          <w:rPr>
            <w:rStyle w:val="Hyperlink"/>
            <w:color w:val="auto"/>
          </w:rPr>
          <w:t>Zurich Climate Resilience Alliance (ZCRA)</w:t>
        </w:r>
      </w:hyperlink>
    </w:p>
    <w:p w14:paraId="7C55A33A" w14:textId="77777777" w:rsidR="00AC7BA6" w:rsidRPr="00A67F97" w:rsidRDefault="00AC7BA6" w:rsidP="00AC7BA6">
      <w:pPr>
        <w:numPr>
          <w:ilvl w:val="0"/>
          <w:numId w:val="2"/>
        </w:numPr>
      </w:pPr>
      <w:r w:rsidRPr="00A67F97">
        <w:t>Utilize Shared Socioeconomic Pathways (SSP2, SSP3, SSP4) for scenario development.</w:t>
      </w:r>
    </w:p>
    <w:p w14:paraId="65ED636D" w14:textId="03E5B798" w:rsidR="00347730" w:rsidRPr="00A67F97" w:rsidRDefault="008F1C23" w:rsidP="00AC7BA6">
      <w:pPr>
        <w:numPr>
          <w:ilvl w:val="0"/>
          <w:numId w:val="2"/>
        </w:numPr>
      </w:pPr>
      <w:r w:rsidRPr="00A67F97">
        <w:t>Undertake climate risk profiling and develop a risk index for informal settlements (slums), incorporating indicators of hazard exposure, sensitivity, and adaptive capacity at the ward and community level</w:t>
      </w:r>
    </w:p>
    <w:p w14:paraId="75E20A68" w14:textId="77777777" w:rsidR="004A6684" w:rsidRPr="00A67F97" w:rsidRDefault="27BF8C27" w:rsidP="00FE3544">
      <w:pPr>
        <w:rPr>
          <w:b/>
          <w:bCs/>
        </w:rPr>
      </w:pPr>
      <w:r w:rsidRPr="00A67F97">
        <w:rPr>
          <w:b/>
          <w:bCs/>
        </w:rPr>
        <w:t xml:space="preserve">2. </w:t>
      </w:r>
      <w:r w:rsidR="00FE3544" w:rsidRPr="00A67F97">
        <w:rPr>
          <w:b/>
          <w:bCs/>
        </w:rPr>
        <w:t>Geospatial Mapping and Spatial Analysis</w:t>
      </w:r>
    </w:p>
    <w:p w14:paraId="3E71A315" w14:textId="3828E2C7" w:rsidR="007C0A70" w:rsidRPr="00A67F97" w:rsidRDefault="007C0A70" w:rsidP="00940B27">
      <w:pPr>
        <w:numPr>
          <w:ilvl w:val="0"/>
          <w:numId w:val="2"/>
        </w:numPr>
      </w:pPr>
      <w:r w:rsidRPr="00A67F97">
        <w:t>Use satellite imagery and drone surveys to map topography, settlement patterns, waterlogging zones, natural resources, and infrastructure in 95 slum</w:t>
      </w:r>
      <w:r w:rsidR="00EF25FE" w:rsidRPr="00A67F97">
        <w:t>/LICs</w:t>
      </w:r>
      <w:r w:rsidR="00267A55" w:rsidRPr="00A67F97">
        <w:t xml:space="preserve"> </w:t>
      </w:r>
      <w:r w:rsidRPr="00A67F97">
        <w:t>across 27 wards in NCC.</w:t>
      </w:r>
    </w:p>
    <w:p w14:paraId="564D6E50" w14:textId="45372A70" w:rsidR="007C0A70" w:rsidRPr="00A67F97" w:rsidRDefault="007C0A70" w:rsidP="00940B27">
      <w:pPr>
        <w:numPr>
          <w:ilvl w:val="0"/>
          <w:numId w:val="2"/>
        </w:numPr>
      </w:pPr>
      <w:r w:rsidRPr="00A67F97">
        <w:t>Generate updated base maps overlaid with flood-prone/waterlogged zones, heat stress areas, and waste accumulation hotspots.</w:t>
      </w:r>
    </w:p>
    <w:p w14:paraId="228D24FF" w14:textId="5F461869" w:rsidR="007C0A70" w:rsidRPr="00A67F97" w:rsidRDefault="007C0A70" w:rsidP="00940B27">
      <w:pPr>
        <w:numPr>
          <w:ilvl w:val="0"/>
          <w:numId w:val="2"/>
        </w:numPr>
      </w:pPr>
      <w:r w:rsidRPr="00A67F97">
        <w:t>Create GIS maps visualizing climate risks (current and future), infrastructure, housing, drainage, WASH, and key facilities (e.g. schools, health care facilities, etc.).</w:t>
      </w:r>
    </w:p>
    <w:p w14:paraId="3EA28E53" w14:textId="52E5AF41" w:rsidR="007C0A70" w:rsidRPr="00A67F97" w:rsidRDefault="007C0A70" w:rsidP="00940B27">
      <w:pPr>
        <w:numPr>
          <w:ilvl w:val="0"/>
          <w:numId w:val="2"/>
        </w:numPr>
      </w:pPr>
      <w:r w:rsidRPr="00A67F97">
        <w:lastRenderedPageBreak/>
        <w:t>Develop ward-level and settlement-level risk maps highlighting high vulnerability zones.</w:t>
      </w:r>
    </w:p>
    <w:p w14:paraId="3C01D258" w14:textId="2A7ABCD6" w:rsidR="004A6684" w:rsidRPr="00A67F97" w:rsidRDefault="007C0A70" w:rsidP="00940B27">
      <w:pPr>
        <w:numPr>
          <w:ilvl w:val="0"/>
          <w:numId w:val="2"/>
        </w:numPr>
      </w:pPr>
      <w:r w:rsidRPr="00A67F97">
        <w:t>Provide GIS shapefiles, geo-tagged data points, and hazard overlays.</w:t>
      </w:r>
    </w:p>
    <w:p w14:paraId="08EC3348" w14:textId="66EE641A" w:rsidR="00AC7BA6" w:rsidRPr="00A67F97" w:rsidRDefault="004A6684" w:rsidP="00AC7BA6">
      <w:pPr>
        <w:rPr>
          <w:b/>
          <w:bCs/>
        </w:rPr>
      </w:pPr>
      <w:r w:rsidRPr="00A67F97">
        <w:rPr>
          <w:b/>
          <w:bCs/>
        </w:rPr>
        <w:t xml:space="preserve">3. </w:t>
      </w:r>
      <w:r w:rsidR="00AC7BA6" w:rsidRPr="00A67F97">
        <w:rPr>
          <w:b/>
          <w:bCs/>
        </w:rPr>
        <w:t>Settlement Profiling and Enumeration</w:t>
      </w:r>
    </w:p>
    <w:p w14:paraId="68780A2D" w14:textId="62831921" w:rsidR="00AC7BA6" w:rsidRPr="00A67F97" w:rsidRDefault="27BF8C27" w:rsidP="00AC7BA6">
      <w:pPr>
        <w:numPr>
          <w:ilvl w:val="0"/>
          <w:numId w:val="5"/>
        </w:numPr>
      </w:pPr>
      <w:r w:rsidRPr="00A67F97">
        <w:t xml:space="preserve">Facilitate community-led mapping with trained </w:t>
      </w:r>
      <w:r w:rsidR="364F0B3F" w:rsidRPr="00A67F97">
        <w:t xml:space="preserve">community </w:t>
      </w:r>
      <w:r w:rsidRPr="00A67F97">
        <w:t xml:space="preserve">mobilizers </w:t>
      </w:r>
      <w:r w:rsidR="73C72BB7" w:rsidRPr="00A67F97">
        <w:t>(from the communities)</w:t>
      </w:r>
      <w:r w:rsidR="29898476" w:rsidRPr="00A67F97">
        <w:t>, data collectors,</w:t>
      </w:r>
      <w:r w:rsidR="73C72BB7" w:rsidRPr="00A67F97">
        <w:t xml:space="preserve"> </w:t>
      </w:r>
      <w:r w:rsidRPr="00A67F97">
        <w:t>and co-researchers</w:t>
      </w:r>
      <w:r w:rsidR="127E2E18" w:rsidRPr="00A67F97">
        <w:t xml:space="preserve"> </w:t>
      </w:r>
      <w:r w:rsidR="73C72BB7" w:rsidRPr="00A67F97">
        <w:t>guided by Practical Action</w:t>
      </w:r>
      <w:r w:rsidR="5F4B26F7" w:rsidRPr="00A67F97">
        <w:t>.</w:t>
      </w:r>
    </w:p>
    <w:p w14:paraId="619CF4F0" w14:textId="77777777" w:rsidR="00AE1CE3" w:rsidRPr="00A67F97" w:rsidRDefault="00AE1CE3" w:rsidP="00AE1CE3">
      <w:pPr>
        <w:numPr>
          <w:ilvl w:val="0"/>
          <w:numId w:val="5"/>
        </w:numPr>
      </w:pPr>
      <w:r w:rsidRPr="00A67F97">
        <w:t>Design and apply detailed questionnaires in consultation with GCA and steering committee.</w:t>
      </w:r>
    </w:p>
    <w:p w14:paraId="7A47FCB1" w14:textId="3DD62755" w:rsidR="00AC7BA6" w:rsidRPr="00A67F97" w:rsidRDefault="71F505FC" w:rsidP="003245E9">
      <w:pPr>
        <w:numPr>
          <w:ilvl w:val="0"/>
          <w:numId w:val="5"/>
        </w:numPr>
      </w:pPr>
      <w:r w:rsidRPr="00A67F97">
        <w:t>Conduct detail</w:t>
      </w:r>
      <w:r w:rsidR="28006607" w:rsidRPr="00A67F97">
        <w:t>ed</w:t>
      </w:r>
      <w:r w:rsidRPr="00A67F97">
        <w:t xml:space="preserve"> census/data collection</w:t>
      </w:r>
      <w:r w:rsidR="69F84CCF" w:rsidRPr="00A67F97">
        <w:t>/enumeration</w:t>
      </w:r>
      <w:r w:rsidR="0043100C" w:rsidRPr="00A67F97">
        <w:t xml:space="preserve"> at the </w:t>
      </w:r>
      <w:r w:rsidR="00CB03A1" w:rsidRPr="00A67F97">
        <w:t xml:space="preserve">individual </w:t>
      </w:r>
      <w:r w:rsidR="0043100C" w:rsidRPr="00A67F97">
        <w:t>household level</w:t>
      </w:r>
      <w:r w:rsidRPr="00A67F97">
        <w:t xml:space="preserve"> for </w:t>
      </w:r>
      <w:r w:rsidR="43F78E33" w:rsidRPr="00A67F97">
        <w:t>two</w:t>
      </w:r>
      <w:r w:rsidRPr="00A67F97">
        <w:t xml:space="preserve"> most vulnerable slums or LICs with priority basis requirements/development for that communities (after all the assessment</w:t>
      </w:r>
      <w:r w:rsidR="4EC772DB" w:rsidRPr="00A67F97">
        <w:t>s</w:t>
      </w:r>
      <w:r w:rsidRPr="00A67F97">
        <w:t>)</w:t>
      </w:r>
      <w:r w:rsidR="5E7C6E37" w:rsidRPr="00A67F97">
        <w:t xml:space="preserve">. </w:t>
      </w:r>
      <w:r w:rsidR="08F169DF" w:rsidRPr="00A67F97">
        <w:t xml:space="preserve">The </w:t>
      </w:r>
      <w:r w:rsidR="760808E3" w:rsidRPr="00A67F97">
        <w:t>c</w:t>
      </w:r>
      <w:r w:rsidR="5E7C6E37" w:rsidRPr="00A67F97">
        <w:t>ensus will cover:</w:t>
      </w:r>
    </w:p>
    <w:p w14:paraId="6505AA94" w14:textId="22001D63" w:rsidR="00D167C8" w:rsidRPr="00A67F97" w:rsidRDefault="00F93E58" w:rsidP="00AC7BA6">
      <w:pPr>
        <w:numPr>
          <w:ilvl w:val="1"/>
          <w:numId w:val="5"/>
        </w:numPr>
      </w:pPr>
      <w:r w:rsidRPr="00A67F97">
        <w:t>H</w:t>
      </w:r>
      <w:r w:rsidR="003245E9" w:rsidRPr="00A67F97">
        <w:t>ousehold numbering</w:t>
      </w:r>
    </w:p>
    <w:p w14:paraId="76B465FA" w14:textId="03CCDB4C" w:rsidR="00AC7BA6" w:rsidRPr="00A67F97" w:rsidRDefault="00AC7BA6" w:rsidP="00AC7BA6">
      <w:pPr>
        <w:numPr>
          <w:ilvl w:val="1"/>
          <w:numId w:val="5"/>
        </w:numPr>
      </w:pPr>
      <w:r w:rsidRPr="00A67F97">
        <w:t>Demographics and migration</w:t>
      </w:r>
    </w:p>
    <w:p w14:paraId="01B911C6" w14:textId="77777777" w:rsidR="00AC7BA6" w:rsidRPr="00A67F97" w:rsidRDefault="00AC7BA6" w:rsidP="00AC7BA6">
      <w:pPr>
        <w:numPr>
          <w:ilvl w:val="1"/>
          <w:numId w:val="5"/>
        </w:numPr>
      </w:pPr>
      <w:r w:rsidRPr="00A67F97">
        <w:t>Income, occupation, housing materials</w:t>
      </w:r>
    </w:p>
    <w:p w14:paraId="33EB866A" w14:textId="77777777" w:rsidR="00AC7BA6" w:rsidRPr="00A67F97" w:rsidRDefault="00AC7BA6" w:rsidP="00AC7BA6">
      <w:pPr>
        <w:numPr>
          <w:ilvl w:val="1"/>
          <w:numId w:val="5"/>
        </w:numPr>
      </w:pPr>
      <w:r w:rsidRPr="00A67F97">
        <w:t>Access to water, sanitation, health, and education</w:t>
      </w:r>
    </w:p>
    <w:p w14:paraId="6D904DCD" w14:textId="77777777" w:rsidR="00AC7BA6" w:rsidRPr="00A67F97" w:rsidRDefault="00AC7BA6" w:rsidP="00AC7BA6">
      <w:pPr>
        <w:numPr>
          <w:ilvl w:val="1"/>
          <w:numId w:val="5"/>
        </w:numPr>
      </w:pPr>
      <w:r w:rsidRPr="00A67F97">
        <w:t>Climate-related losses and adaptation behaviors</w:t>
      </w:r>
    </w:p>
    <w:p w14:paraId="74C9A1B4" w14:textId="17F2BAFE" w:rsidR="00AC7BA6" w:rsidRPr="00A67F97" w:rsidRDefault="00690B46" w:rsidP="00AC7BA6">
      <w:pPr>
        <w:rPr>
          <w:b/>
          <w:bCs/>
        </w:rPr>
      </w:pPr>
      <w:r w:rsidRPr="00A67F97">
        <w:rPr>
          <w:b/>
          <w:bCs/>
        </w:rPr>
        <w:t>4</w:t>
      </w:r>
      <w:r w:rsidR="00AC7BA6" w:rsidRPr="00A67F97">
        <w:rPr>
          <w:b/>
          <w:bCs/>
        </w:rPr>
        <w:t>. Participatory Tools and Qualitative Research</w:t>
      </w:r>
    </w:p>
    <w:p w14:paraId="764D7684" w14:textId="0487C018" w:rsidR="00AC7BA6" w:rsidRPr="00A67F97" w:rsidRDefault="27BF8C27" w:rsidP="00AC7BA6">
      <w:pPr>
        <w:numPr>
          <w:ilvl w:val="0"/>
          <w:numId w:val="6"/>
        </w:numPr>
      </w:pPr>
      <w:r w:rsidRPr="00A67F97">
        <w:t xml:space="preserve">Conduct </w:t>
      </w:r>
      <w:r w:rsidR="01C908B9" w:rsidRPr="00A67F97">
        <w:t>Community</w:t>
      </w:r>
      <w:r w:rsidR="00D24F1E" w:rsidRPr="00A67F97">
        <w:t>/Urban</w:t>
      </w:r>
      <w:r w:rsidR="01C908B9" w:rsidRPr="00A67F97">
        <w:t xml:space="preserve"> Risk Assessments, </w:t>
      </w:r>
      <w:r w:rsidR="109652D6" w:rsidRPr="00A67F97">
        <w:t>conduct Focus</w:t>
      </w:r>
      <w:r w:rsidRPr="00A67F97">
        <w:t xml:space="preserve"> Group Discussions (FGDs), Key Informant Interviews (KIIs), and Social Mapping exercises </w:t>
      </w:r>
      <w:r w:rsidR="000C268B" w:rsidRPr="00A67F97">
        <w:t xml:space="preserve">involving local community mobilizers </w:t>
      </w:r>
      <w:r w:rsidRPr="00A67F97">
        <w:t>with:</w:t>
      </w:r>
    </w:p>
    <w:p w14:paraId="6E5C3824" w14:textId="69DE17EA" w:rsidR="00AC7BA6" w:rsidRPr="00A67F97" w:rsidRDefault="27BF8C27" w:rsidP="00377151">
      <w:pPr>
        <w:numPr>
          <w:ilvl w:val="1"/>
          <w:numId w:val="6"/>
        </w:numPr>
      </w:pPr>
      <w:r w:rsidRPr="00A67F97">
        <w:t>Residents of LICs</w:t>
      </w:r>
      <w:r w:rsidR="00377151" w:rsidRPr="00A67F97">
        <w:t xml:space="preserve"> including women, youth, elderly and persons with disabilities</w:t>
      </w:r>
    </w:p>
    <w:p w14:paraId="62E2B004" w14:textId="77777777" w:rsidR="00AC7BA6" w:rsidRPr="00A67F97" w:rsidRDefault="00AC7BA6" w:rsidP="00AC7BA6">
      <w:pPr>
        <w:numPr>
          <w:ilvl w:val="1"/>
          <w:numId w:val="6"/>
        </w:numPr>
      </w:pPr>
      <w:r w:rsidRPr="00A67F97">
        <w:t>Waste and sanitation workers</w:t>
      </w:r>
    </w:p>
    <w:p w14:paraId="2D877BDF" w14:textId="77777777" w:rsidR="00AC7BA6" w:rsidRPr="00A67F97" w:rsidRDefault="00AC7BA6" w:rsidP="00AC7BA6">
      <w:pPr>
        <w:numPr>
          <w:ilvl w:val="1"/>
          <w:numId w:val="6"/>
        </w:numPr>
      </w:pPr>
      <w:r w:rsidRPr="00A67F97">
        <w:t>Local officials and service providers</w:t>
      </w:r>
    </w:p>
    <w:p w14:paraId="41A7DB80" w14:textId="5BE0A9DA" w:rsidR="00AC7BA6" w:rsidRPr="00A67F97" w:rsidRDefault="27BF8C27" w:rsidP="00AC7BA6">
      <w:pPr>
        <w:numPr>
          <w:ilvl w:val="0"/>
          <w:numId w:val="6"/>
        </w:numPr>
      </w:pPr>
      <w:r w:rsidRPr="00A67F97">
        <w:t xml:space="preserve">Compile </w:t>
      </w:r>
      <w:r w:rsidR="00F22EAB" w:rsidRPr="00A67F97">
        <w:t>10 case</w:t>
      </w:r>
      <w:r w:rsidR="00D70A94" w:rsidRPr="00A67F97">
        <w:t xml:space="preserve"> studies</w:t>
      </w:r>
      <w:r w:rsidR="00F22EAB" w:rsidRPr="00A67F97">
        <w:t xml:space="preserve"> </w:t>
      </w:r>
      <w:r w:rsidRPr="00A67F97">
        <w:t>capturing lived experiences and quotes from vulnerable residents.</w:t>
      </w:r>
    </w:p>
    <w:p w14:paraId="5F9C8DE5" w14:textId="54E0F6D9" w:rsidR="00AC7BA6" w:rsidRPr="00A67F97" w:rsidRDefault="27BF8C27" w:rsidP="00AC7BA6">
      <w:pPr>
        <w:rPr>
          <w:b/>
          <w:bCs/>
        </w:rPr>
      </w:pPr>
      <w:r w:rsidRPr="00A67F97">
        <w:rPr>
          <w:b/>
          <w:bCs/>
        </w:rPr>
        <w:t>6. Capacity Building</w:t>
      </w:r>
    </w:p>
    <w:p w14:paraId="13FC8693" w14:textId="77777777" w:rsidR="00AC7BA6" w:rsidRPr="00A67F97" w:rsidRDefault="00AC7BA6" w:rsidP="00AC7BA6">
      <w:pPr>
        <w:numPr>
          <w:ilvl w:val="0"/>
          <w:numId w:val="7"/>
        </w:numPr>
      </w:pPr>
      <w:r w:rsidRPr="00A67F97">
        <w:rPr>
          <w:b/>
          <w:bCs/>
        </w:rPr>
        <w:t>Design and deliver</w:t>
      </w:r>
      <w:r w:rsidRPr="00A67F97">
        <w:t xml:space="preserve"> structured training for selected community members from each ward to serve as </w:t>
      </w:r>
      <w:r w:rsidRPr="00A67F97">
        <w:rPr>
          <w:b/>
          <w:bCs/>
        </w:rPr>
        <w:t>community mobilizers, data collectors, and co-researchers</w:t>
      </w:r>
      <w:r w:rsidRPr="00A67F97">
        <w:t>.</w:t>
      </w:r>
    </w:p>
    <w:p w14:paraId="59C37CF5" w14:textId="77777777" w:rsidR="00AC7BA6" w:rsidRPr="00A67F97" w:rsidRDefault="00AC7BA6" w:rsidP="00AC7BA6">
      <w:pPr>
        <w:numPr>
          <w:ilvl w:val="0"/>
          <w:numId w:val="7"/>
        </w:numPr>
      </w:pPr>
      <w:r w:rsidRPr="00A67F97">
        <w:t>Training will cover:</w:t>
      </w:r>
    </w:p>
    <w:p w14:paraId="3B9DAEC0" w14:textId="77777777" w:rsidR="00AC7BA6" w:rsidRPr="00A67F97" w:rsidRDefault="00AC7BA6" w:rsidP="00C71C39">
      <w:pPr>
        <w:numPr>
          <w:ilvl w:val="1"/>
          <w:numId w:val="7"/>
        </w:numPr>
        <w:spacing w:before="120" w:after="120"/>
      </w:pPr>
      <w:r w:rsidRPr="00A67F97">
        <w:t>Basics of climate change and urban vulnerability</w:t>
      </w:r>
    </w:p>
    <w:p w14:paraId="2B45DD3C" w14:textId="77777777" w:rsidR="00AC7BA6" w:rsidRPr="00A67F97" w:rsidRDefault="00AC7BA6" w:rsidP="00C71C39">
      <w:pPr>
        <w:numPr>
          <w:ilvl w:val="1"/>
          <w:numId w:val="7"/>
        </w:numPr>
        <w:spacing w:before="120" w:after="120"/>
      </w:pPr>
      <w:r w:rsidRPr="00A67F97">
        <w:t>Use of mobile data collection tools and GPS</w:t>
      </w:r>
    </w:p>
    <w:p w14:paraId="32450656" w14:textId="77777777" w:rsidR="00AC7BA6" w:rsidRPr="00A67F97" w:rsidRDefault="00AC7BA6" w:rsidP="00C71C39">
      <w:pPr>
        <w:numPr>
          <w:ilvl w:val="1"/>
          <w:numId w:val="7"/>
        </w:numPr>
        <w:spacing w:before="120" w:after="120"/>
      </w:pPr>
      <w:r w:rsidRPr="00A67F97">
        <w:t>Interviewing techniques and ethical considerations</w:t>
      </w:r>
    </w:p>
    <w:p w14:paraId="1D10EC48" w14:textId="77777777" w:rsidR="00AC7BA6" w:rsidRPr="00A67F97" w:rsidRDefault="00AC7BA6" w:rsidP="00C71C39">
      <w:pPr>
        <w:numPr>
          <w:ilvl w:val="1"/>
          <w:numId w:val="7"/>
        </w:numPr>
        <w:spacing w:before="120" w:after="120"/>
      </w:pPr>
      <w:r w:rsidRPr="00A67F97">
        <w:t>Data quality assurance</w:t>
      </w:r>
    </w:p>
    <w:p w14:paraId="2D45543C" w14:textId="77777777" w:rsidR="00AC7BA6" w:rsidRPr="00A67F97" w:rsidRDefault="00AC7BA6" w:rsidP="00AC7BA6">
      <w:pPr>
        <w:numPr>
          <w:ilvl w:val="0"/>
          <w:numId w:val="7"/>
        </w:numPr>
      </w:pPr>
      <w:r w:rsidRPr="00A67F97">
        <w:t>Refresher sessions and continuous mentoring support during data collection phases.</w:t>
      </w:r>
    </w:p>
    <w:p w14:paraId="214E562E" w14:textId="77777777" w:rsidR="00557B0B" w:rsidRPr="00A67F97" w:rsidRDefault="00557B0B" w:rsidP="00940B27">
      <w:pPr>
        <w:ind w:left="720"/>
      </w:pPr>
    </w:p>
    <w:p w14:paraId="57BD3F9D" w14:textId="77777777" w:rsidR="00AC7BA6" w:rsidRPr="00A67F97" w:rsidRDefault="00AC7BA6" w:rsidP="00AC7BA6">
      <w:pPr>
        <w:rPr>
          <w:b/>
          <w:bCs/>
        </w:rPr>
      </w:pPr>
      <w:r w:rsidRPr="00A67F97">
        <w:rPr>
          <w:b/>
          <w:bCs/>
        </w:rPr>
        <w:t>7. Priority Investment Planning</w:t>
      </w:r>
    </w:p>
    <w:p w14:paraId="123E3E42" w14:textId="3ACD6873" w:rsidR="00AC7BA6" w:rsidRPr="00A67F97" w:rsidRDefault="27BF8C27" w:rsidP="00AC7BA6">
      <w:pPr>
        <w:numPr>
          <w:ilvl w:val="0"/>
          <w:numId w:val="8"/>
        </w:numPr>
      </w:pPr>
      <w:r w:rsidRPr="00A67F97">
        <w:t>Identify and document adaptation in</w:t>
      </w:r>
      <w:r w:rsidR="00557B0B" w:rsidRPr="00A67F97">
        <w:t>terventions</w:t>
      </w:r>
      <w:r w:rsidRPr="00A67F97">
        <w:t xml:space="preserve"> across the </w:t>
      </w:r>
      <w:r w:rsidR="00E65707" w:rsidRPr="00A67F97">
        <w:t xml:space="preserve">priority </w:t>
      </w:r>
      <w:r w:rsidR="00557B0B" w:rsidRPr="00A67F97">
        <w:t>LICs from vulnerable</w:t>
      </w:r>
      <w:r w:rsidR="007A46B8" w:rsidRPr="00A67F97">
        <w:t xml:space="preserve"> </w:t>
      </w:r>
      <w:r w:rsidRPr="00A67F97">
        <w:t>wards</w:t>
      </w:r>
      <w:r w:rsidR="6233BF68" w:rsidRPr="00A67F97">
        <w:t xml:space="preserve"> of </w:t>
      </w:r>
      <w:proofErr w:type="gramStart"/>
      <w:r w:rsidR="6233BF68" w:rsidRPr="00A67F97">
        <w:t>NCC</w:t>
      </w:r>
      <w:r w:rsidR="007A46B8" w:rsidRPr="00A67F97">
        <w:t xml:space="preserve"> </w:t>
      </w:r>
      <w:r w:rsidRPr="00A67F97">
        <w:t>:</w:t>
      </w:r>
      <w:proofErr w:type="gramEnd"/>
    </w:p>
    <w:p w14:paraId="78E723BE" w14:textId="77777777" w:rsidR="00AC7BA6" w:rsidRPr="00A67F97" w:rsidRDefault="00AC7BA6" w:rsidP="00AC7BA6">
      <w:pPr>
        <w:numPr>
          <w:ilvl w:val="1"/>
          <w:numId w:val="8"/>
        </w:numPr>
      </w:pPr>
      <w:r w:rsidRPr="00A67F97">
        <w:t>Infrastructure upgrades (drainage, WASH, housing)</w:t>
      </w:r>
    </w:p>
    <w:p w14:paraId="565331F3" w14:textId="1A85409A" w:rsidR="00AC7BA6" w:rsidRPr="00A67F97" w:rsidRDefault="27BF8C27" w:rsidP="00AC7BA6">
      <w:pPr>
        <w:numPr>
          <w:ilvl w:val="1"/>
          <w:numId w:val="8"/>
        </w:numPr>
      </w:pPr>
      <w:r w:rsidRPr="00A67F97">
        <w:t>Ecosystem-based measures</w:t>
      </w:r>
      <w:r w:rsidR="5F9FBB23" w:rsidRPr="00A67F97">
        <w:t>, or Nature-based Solutions (</w:t>
      </w:r>
      <w:proofErr w:type="spellStart"/>
      <w:r w:rsidR="5F9FBB23" w:rsidRPr="00A67F97">
        <w:t>NbS</w:t>
      </w:r>
      <w:proofErr w:type="spellEnd"/>
      <w:r w:rsidR="5F9FBB23" w:rsidRPr="00A67F97">
        <w:t>)</w:t>
      </w:r>
    </w:p>
    <w:p w14:paraId="50B00FEB" w14:textId="77777777" w:rsidR="00AC7BA6" w:rsidRPr="00A67F97" w:rsidRDefault="00AC7BA6" w:rsidP="00AC7BA6">
      <w:pPr>
        <w:numPr>
          <w:ilvl w:val="1"/>
          <w:numId w:val="8"/>
        </w:numPr>
      </w:pPr>
      <w:r w:rsidRPr="00A67F97">
        <w:t>Early warning and disaster preparedness</w:t>
      </w:r>
    </w:p>
    <w:p w14:paraId="363711DB" w14:textId="77777777" w:rsidR="00AC7BA6" w:rsidRPr="00A67F97" w:rsidRDefault="00AC7BA6" w:rsidP="00AC7BA6">
      <w:r w:rsidRPr="00A67F97">
        <w:rPr>
          <w:b/>
          <w:bCs/>
        </w:rPr>
        <w:t>Deliverables:</w:t>
      </w:r>
    </w:p>
    <w:p w14:paraId="79B4C7D6" w14:textId="77777777" w:rsidR="00AC7BA6" w:rsidRPr="00A67F97" w:rsidRDefault="00AC7BA6" w:rsidP="00AC7BA6">
      <w:pPr>
        <w:numPr>
          <w:ilvl w:val="0"/>
          <w:numId w:val="10"/>
        </w:numPr>
      </w:pPr>
      <w:r w:rsidRPr="00A67F97">
        <w:t>Inception Report (within 10 working days of contract signing)</w:t>
      </w:r>
    </w:p>
    <w:p w14:paraId="27634F4F" w14:textId="13DAEC99" w:rsidR="00AC7BA6" w:rsidRPr="00A67F97" w:rsidRDefault="00AC7BA6" w:rsidP="00AC7BA6">
      <w:pPr>
        <w:numPr>
          <w:ilvl w:val="0"/>
          <w:numId w:val="10"/>
        </w:numPr>
      </w:pPr>
      <w:r w:rsidRPr="00A67F97">
        <w:t>Satellite base maps and updated GIS layers (ward and settlement levels)</w:t>
      </w:r>
    </w:p>
    <w:p w14:paraId="27E65933" w14:textId="77777777" w:rsidR="00AC7BA6" w:rsidRPr="00A67F97" w:rsidRDefault="00AC7BA6" w:rsidP="00AC7BA6">
      <w:pPr>
        <w:numPr>
          <w:ilvl w:val="0"/>
          <w:numId w:val="10"/>
        </w:numPr>
      </w:pPr>
      <w:r w:rsidRPr="00A67F97">
        <w:t>Settlement profiling and household database (enumeration outputs)</w:t>
      </w:r>
    </w:p>
    <w:p w14:paraId="4AF8C8A7" w14:textId="7E377FB0" w:rsidR="00AC7BA6" w:rsidRPr="00A67F97" w:rsidRDefault="004A3BA2" w:rsidP="00AC7BA6">
      <w:pPr>
        <w:numPr>
          <w:ilvl w:val="0"/>
          <w:numId w:val="10"/>
        </w:numPr>
      </w:pPr>
      <w:r w:rsidRPr="00A67F97">
        <w:t xml:space="preserve">A CVRA Report including </w:t>
      </w:r>
      <w:r w:rsidR="27BF8C27" w:rsidRPr="00A67F97">
        <w:t xml:space="preserve">Risk and vulnerability </w:t>
      </w:r>
      <w:r w:rsidR="53786722" w:rsidRPr="00A67F97">
        <w:t>data, risk index and</w:t>
      </w:r>
      <w:r w:rsidR="0B17D817" w:rsidRPr="00A67F97">
        <w:t xml:space="preserve"> </w:t>
      </w:r>
      <w:r w:rsidR="27BF8C27" w:rsidRPr="00A67F97">
        <w:t>maps (present and projected scenarios)</w:t>
      </w:r>
      <w:r w:rsidR="1DE3959C" w:rsidRPr="00A67F97">
        <w:t xml:space="preserve"> including C</w:t>
      </w:r>
      <w:r w:rsidR="00050632" w:rsidRPr="00A67F97">
        <w:t>limate Risk Assessment (C</w:t>
      </w:r>
      <w:r w:rsidR="1DE3959C" w:rsidRPr="00A67F97">
        <w:t>RA</w:t>
      </w:r>
      <w:r w:rsidR="00050632" w:rsidRPr="00A67F97">
        <w:t>)</w:t>
      </w:r>
      <w:r w:rsidR="1DE3959C" w:rsidRPr="00A67F97">
        <w:t>/</w:t>
      </w:r>
      <w:r w:rsidR="00050632" w:rsidRPr="00A67F97">
        <w:t>Urban Risk Assessment (</w:t>
      </w:r>
      <w:r w:rsidR="1DE3959C" w:rsidRPr="00A67F97">
        <w:t>URA</w:t>
      </w:r>
      <w:r w:rsidR="00050632" w:rsidRPr="00A67F97">
        <w:t>)</w:t>
      </w:r>
      <w:r w:rsidR="1DE3959C" w:rsidRPr="00A67F97">
        <w:t xml:space="preserve"> report</w:t>
      </w:r>
    </w:p>
    <w:p w14:paraId="45368150" w14:textId="77777777" w:rsidR="00AC7BA6" w:rsidRPr="00A67F97" w:rsidRDefault="00AC7BA6" w:rsidP="00AC7BA6">
      <w:pPr>
        <w:numPr>
          <w:ilvl w:val="0"/>
          <w:numId w:val="10"/>
        </w:numPr>
      </w:pPr>
      <w:r w:rsidRPr="00A67F97">
        <w:t>Case studies and qualitative insights report</w:t>
      </w:r>
    </w:p>
    <w:p w14:paraId="570BC150" w14:textId="013161E5" w:rsidR="00AC7BA6" w:rsidRPr="00A67F97" w:rsidRDefault="00AC7BA6" w:rsidP="00AC7BA6">
      <w:pPr>
        <w:numPr>
          <w:ilvl w:val="0"/>
          <w:numId w:val="10"/>
        </w:numPr>
      </w:pPr>
      <w:r w:rsidRPr="00A67F97">
        <w:t xml:space="preserve">List of costed adaptation priorities </w:t>
      </w:r>
      <w:r w:rsidR="005E4469" w:rsidRPr="00A67F97">
        <w:t>from targeted LICs</w:t>
      </w:r>
    </w:p>
    <w:p w14:paraId="7903FF70" w14:textId="77777777" w:rsidR="00AC7BA6" w:rsidRPr="00A67F97" w:rsidRDefault="00AC7BA6" w:rsidP="00AC7BA6">
      <w:pPr>
        <w:numPr>
          <w:ilvl w:val="0"/>
          <w:numId w:val="10"/>
        </w:numPr>
      </w:pPr>
      <w:r w:rsidRPr="00A67F97">
        <w:t>Final Report with all annexes, data files, and shapefiles</w:t>
      </w:r>
    </w:p>
    <w:p w14:paraId="0BC28148" w14:textId="77777777" w:rsidR="00545CD5" w:rsidRPr="00A67F97" w:rsidRDefault="00545CD5" w:rsidP="00940B27">
      <w:pPr>
        <w:rPr>
          <w:b/>
          <w:bCs/>
        </w:rPr>
      </w:pPr>
      <w:r w:rsidRPr="00A67F97">
        <w:rPr>
          <w:b/>
          <w:bCs/>
        </w:rPr>
        <w:t>Duration and Length of Expected Engagement:</w:t>
      </w:r>
    </w:p>
    <w:p w14:paraId="3FE64B92" w14:textId="77777777" w:rsidR="00545CD5" w:rsidRPr="00A67F97" w:rsidRDefault="00545CD5" w:rsidP="00940B27">
      <w:pPr>
        <w:spacing w:before="60" w:after="120"/>
        <w:rPr>
          <w:rFonts w:cs="Calibri"/>
        </w:rPr>
      </w:pPr>
      <w:r w:rsidRPr="00A67F97">
        <w:rPr>
          <w:rFonts w:cs="Calibri"/>
        </w:rPr>
        <w:t xml:space="preserve">There will be a maximum </w:t>
      </w:r>
      <w:r w:rsidRPr="00FA616C">
        <w:rPr>
          <w:rFonts w:cs="Calibri"/>
        </w:rPr>
        <w:t>of 13 weeks from</w:t>
      </w:r>
      <w:r w:rsidRPr="00A67F97">
        <w:rPr>
          <w:rFonts w:cs="Calibri"/>
        </w:rPr>
        <w:t xml:space="preserve"> the commencement of the tenure, which begins upon signing the contract.</w:t>
      </w:r>
    </w:p>
    <w:p w14:paraId="6CF9E5DF" w14:textId="77777777" w:rsidR="00874C99" w:rsidRPr="00A67F97" w:rsidRDefault="00874C99" w:rsidP="00874C99">
      <w:pPr>
        <w:rPr>
          <w:b/>
          <w:bCs/>
        </w:rPr>
      </w:pPr>
      <w:r w:rsidRPr="00A67F97">
        <w:rPr>
          <w:b/>
          <w:bCs/>
        </w:rPr>
        <w:t>Role of Practical Action:</w:t>
      </w:r>
    </w:p>
    <w:p w14:paraId="49F47BEB" w14:textId="04E5BE8C" w:rsidR="00874C99" w:rsidRPr="00A67F97" w:rsidRDefault="5DEF8F07" w:rsidP="00874C99">
      <w:pPr>
        <w:spacing w:before="60" w:afterLines="60" w:after="144"/>
        <w:rPr>
          <w:rFonts w:cs="Calibri"/>
        </w:rPr>
      </w:pPr>
      <w:r w:rsidRPr="00A67F97">
        <w:rPr>
          <w:rFonts w:cs="Calibri"/>
        </w:rPr>
        <w:t>Practical Action will perform the supporting role to the consultant(s)/firm(s) in terms of linkage, guidance, advi</w:t>
      </w:r>
      <w:r w:rsidR="2C812AD3" w:rsidRPr="00A67F97">
        <w:rPr>
          <w:rFonts w:cs="Calibri"/>
        </w:rPr>
        <w:t>c</w:t>
      </w:r>
      <w:r w:rsidRPr="00A67F97">
        <w:rPr>
          <w:rFonts w:cs="Calibri"/>
        </w:rPr>
        <w:t>e</w:t>
      </w:r>
      <w:r w:rsidR="530C18F5" w:rsidRPr="00A67F97">
        <w:rPr>
          <w:rFonts w:cs="Calibri"/>
        </w:rPr>
        <w:t>,</w:t>
      </w:r>
      <w:r w:rsidRPr="00A67F97">
        <w:rPr>
          <w:rFonts w:cs="Calibri"/>
        </w:rPr>
        <w:t xml:space="preserve"> and financial aspect</w:t>
      </w:r>
      <w:r w:rsidR="045B502C" w:rsidRPr="00A67F97">
        <w:rPr>
          <w:rFonts w:cs="Calibri"/>
        </w:rPr>
        <w:t>s</w:t>
      </w:r>
      <w:r w:rsidRPr="00A67F97">
        <w:rPr>
          <w:rFonts w:cs="Calibri"/>
        </w:rPr>
        <w:t>. The major responsibilities of Practical Action are to:</w:t>
      </w:r>
    </w:p>
    <w:p w14:paraId="4342D364" w14:textId="77777777" w:rsidR="00874C99" w:rsidRPr="00A67F97" w:rsidRDefault="00874C99" w:rsidP="006C3A21">
      <w:pPr>
        <w:pStyle w:val="ListParagraph"/>
        <w:numPr>
          <w:ilvl w:val="0"/>
          <w:numId w:val="11"/>
        </w:numPr>
        <w:spacing w:before="60" w:afterLines="60" w:after="144" w:line="276" w:lineRule="auto"/>
        <w:contextualSpacing w:val="0"/>
        <w:textAlignment w:val="baseline"/>
        <w:rPr>
          <w:rFonts w:eastAsia="Times New Roman" w:cs="Segoe UI"/>
        </w:rPr>
      </w:pPr>
      <w:r w:rsidRPr="00A67F97">
        <w:rPr>
          <w:rFonts w:eastAsia="Times New Roman" w:cs="Segoe UI"/>
        </w:rPr>
        <w:t>Provide technical feedback and support throughout the process.</w:t>
      </w:r>
    </w:p>
    <w:p w14:paraId="7E4CB55D" w14:textId="314E70B4" w:rsidR="00143D95" w:rsidRPr="00A67F97" w:rsidRDefault="00874C99" w:rsidP="00110DCE">
      <w:pPr>
        <w:pStyle w:val="ListParagraph"/>
        <w:numPr>
          <w:ilvl w:val="0"/>
          <w:numId w:val="11"/>
        </w:numPr>
        <w:spacing w:before="60" w:afterLines="60" w:after="144" w:line="276" w:lineRule="auto"/>
        <w:contextualSpacing w:val="0"/>
        <w:textAlignment w:val="baseline"/>
        <w:rPr>
          <w:rFonts w:eastAsia="Times New Roman" w:cs="Segoe UI"/>
        </w:rPr>
      </w:pPr>
      <w:r w:rsidRPr="00A67F97">
        <w:rPr>
          <w:rFonts w:eastAsia="Times New Roman" w:cs="Segoe UI"/>
        </w:rPr>
        <w:t>Provide financial resources to execute the assignment.</w:t>
      </w:r>
    </w:p>
    <w:p w14:paraId="29D93949" w14:textId="7CCBB59B" w:rsidR="00874C99" w:rsidRPr="00A67F97" w:rsidRDefault="5DEF8F07" w:rsidP="006C3A21">
      <w:pPr>
        <w:pStyle w:val="ListParagraph"/>
        <w:numPr>
          <w:ilvl w:val="0"/>
          <w:numId w:val="11"/>
        </w:numPr>
        <w:spacing w:before="60" w:afterLines="60" w:after="144" w:line="276" w:lineRule="auto"/>
        <w:textAlignment w:val="baseline"/>
        <w:rPr>
          <w:rFonts w:eastAsia="Times New Roman" w:cs="Segoe UI"/>
        </w:rPr>
      </w:pPr>
      <w:r w:rsidRPr="00A67F97">
        <w:rPr>
          <w:rFonts w:eastAsia="Times New Roman" w:cs="Segoe UI"/>
        </w:rPr>
        <w:t xml:space="preserve">In consultation with the consultant(s)/firm(s), arrange consultation events as required. </w:t>
      </w:r>
    </w:p>
    <w:p w14:paraId="18BD6696" w14:textId="712B943A" w:rsidR="00E33A12" w:rsidRPr="00A67F97" w:rsidRDefault="00C82D18" w:rsidP="00DD7F37">
      <w:pPr>
        <w:rPr>
          <w:b/>
          <w:bCs/>
        </w:rPr>
      </w:pPr>
      <w:r w:rsidRPr="00A67F97">
        <w:rPr>
          <w:b/>
          <w:bCs/>
        </w:rPr>
        <w:t>Preparation of Technical and Financial Proposal</w:t>
      </w:r>
    </w:p>
    <w:p w14:paraId="6E58EB0C" w14:textId="77777777" w:rsidR="00936584" w:rsidRPr="00A67F97" w:rsidRDefault="00AA3CD2" w:rsidP="00940B27">
      <w:pPr>
        <w:pStyle w:val="ListParagraph"/>
        <w:numPr>
          <w:ilvl w:val="0"/>
          <w:numId w:val="16"/>
        </w:numPr>
        <w:spacing w:line="276" w:lineRule="auto"/>
      </w:pPr>
      <w:r w:rsidRPr="00A67F97">
        <w:t>Consultants are requested to submit their proposal written in English</w:t>
      </w:r>
    </w:p>
    <w:p w14:paraId="2DB5DB78" w14:textId="29D1BD53" w:rsidR="00AA3CD2" w:rsidRPr="00A67F97" w:rsidRDefault="00AA3CD2" w:rsidP="00940B27">
      <w:pPr>
        <w:pStyle w:val="ListParagraph"/>
        <w:numPr>
          <w:ilvl w:val="0"/>
          <w:numId w:val="16"/>
        </w:numPr>
        <w:spacing w:line="276" w:lineRule="auto"/>
      </w:pPr>
      <w:r w:rsidRPr="00A67F97">
        <w:t>The technical part of the proposal should contain the following:</w:t>
      </w:r>
    </w:p>
    <w:p w14:paraId="185317EA" w14:textId="77777777" w:rsidR="00936584" w:rsidRPr="00A67F97" w:rsidRDefault="00AA3CD2" w:rsidP="00940B27">
      <w:pPr>
        <w:pStyle w:val="ListParagraph"/>
        <w:numPr>
          <w:ilvl w:val="1"/>
          <w:numId w:val="17"/>
        </w:numPr>
        <w:spacing w:line="276" w:lineRule="auto"/>
      </w:pPr>
      <w:r w:rsidRPr="00A67F97">
        <w:t>Detailed methodology of the study including work plan in line with the assignment objective(s</w:t>
      </w:r>
      <w:proofErr w:type="gramStart"/>
      <w:r w:rsidRPr="00A67F97">
        <w:t>);</w:t>
      </w:r>
      <w:proofErr w:type="gramEnd"/>
    </w:p>
    <w:p w14:paraId="2567E36B" w14:textId="77777777" w:rsidR="00936584" w:rsidRPr="00A67F97" w:rsidRDefault="00AA3CD2" w:rsidP="00940B27">
      <w:pPr>
        <w:pStyle w:val="ListParagraph"/>
        <w:numPr>
          <w:ilvl w:val="1"/>
          <w:numId w:val="17"/>
        </w:numPr>
        <w:spacing w:line="276" w:lineRule="auto"/>
      </w:pPr>
      <w:r w:rsidRPr="00A67F97">
        <w:t>Detailed timeframe including dates for submission of the outputs/deliverables as specified in the Term of Reference (TOR).</w:t>
      </w:r>
    </w:p>
    <w:p w14:paraId="65FD5C25" w14:textId="77777777" w:rsidR="00936584" w:rsidRPr="00A67F97" w:rsidRDefault="00AA3CD2" w:rsidP="00940B27">
      <w:pPr>
        <w:pStyle w:val="ListParagraph"/>
        <w:numPr>
          <w:ilvl w:val="1"/>
          <w:numId w:val="17"/>
        </w:numPr>
        <w:spacing w:line="276" w:lineRule="auto"/>
      </w:pPr>
      <w:r w:rsidRPr="00A67F97">
        <w:t>Relevant experience and credibility to undertake the given assignment and experience in relation to the methodology proposed.</w:t>
      </w:r>
    </w:p>
    <w:p w14:paraId="28E359A7" w14:textId="5E8D18CD" w:rsidR="00AA3CD2" w:rsidRPr="00A67F97" w:rsidRDefault="00AA3CD2" w:rsidP="00940B27">
      <w:pPr>
        <w:pStyle w:val="ListParagraph"/>
        <w:numPr>
          <w:ilvl w:val="1"/>
          <w:numId w:val="17"/>
        </w:numPr>
        <w:spacing w:line="276" w:lineRule="auto"/>
      </w:pPr>
      <w:r w:rsidRPr="00A67F97">
        <w:lastRenderedPageBreak/>
        <w:t>Detailed CV of the team leader and key members of the study team.</w:t>
      </w:r>
    </w:p>
    <w:p w14:paraId="6D7DE7D5" w14:textId="55CDA142" w:rsidR="00936584" w:rsidRPr="00A67F97" w:rsidRDefault="00545CD5" w:rsidP="00940B27">
      <w:pPr>
        <w:pStyle w:val="ListParagraph"/>
        <w:numPr>
          <w:ilvl w:val="1"/>
          <w:numId w:val="17"/>
        </w:numPr>
        <w:spacing w:line="276" w:lineRule="auto"/>
      </w:pPr>
      <w:r w:rsidRPr="00A67F97">
        <w:t xml:space="preserve">Technical proposal must not exceed ten pages (excluding CVs and </w:t>
      </w:r>
      <w:proofErr w:type="spellStart"/>
      <w:r w:rsidRPr="00A67F97">
        <w:t>organisational</w:t>
      </w:r>
      <w:proofErr w:type="spellEnd"/>
      <w:r w:rsidRPr="00A67F97">
        <w:t xml:space="preserve"> profile) and be submitted in PDF format.</w:t>
      </w:r>
      <w:r w:rsidR="00EA2526" w:rsidRPr="00A67F97">
        <w:t xml:space="preserve"> </w:t>
      </w:r>
    </w:p>
    <w:p w14:paraId="0E05E41A" w14:textId="1ECCF36C" w:rsidR="00E33A12" w:rsidRPr="00A67F97" w:rsidRDefault="00913DAA" w:rsidP="00940B27">
      <w:pPr>
        <w:pStyle w:val="ListParagraph"/>
        <w:numPr>
          <w:ilvl w:val="0"/>
          <w:numId w:val="18"/>
        </w:numPr>
        <w:spacing w:line="276" w:lineRule="auto"/>
      </w:pPr>
      <w:r w:rsidRPr="00A67F97">
        <w:t>The Consultant is expected to provide justified budget to be consistent with technical proposal.</w:t>
      </w:r>
    </w:p>
    <w:p w14:paraId="00D4273B" w14:textId="039B8BA4" w:rsidR="00913DAA" w:rsidRPr="00A67F97" w:rsidRDefault="00204E44" w:rsidP="00940B27">
      <w:pPr>
        <w:pStyle w:val="ListParagraph"/>
        <w:numPr>
          <w:ilvl w:val="0"/>
          <w:numId w:val="18"/>
        </w:numPr>
        <w:spacing w:line="276" w:lineRule="auto"/>
      </w:pPr>
      <w:r w:rsidRPr="00A67F97">
        <w:t>The financial proposal should clearly identify, item wise cost for the assignment with necessary details. The budget must be including applicable AIT; however, VAT can be mentioned separately at the bottom on total budgeted amount.</w:t>
      </w:r>
    </w:p>
    <w:p w14:paraId="150ED553" w14:textId="1632B671" w:rsidR="00204E44" w:rsidRPr="00A67F97" w:rsidRDefault="003E34EA" w:rsidP="00940B27">
      <w:pPr>
        <w:pStyle w:val="ListParagraph"/>
        <w:numPr>
          <w:ilvl w:val="0"/>
          <w:numId w:val="18"/>
        </w:numPr>
        <w:spacing w:line="276" w:lineRule="auto"/>
      </w:pPr>
      <w:r w:rsidRPr="00A67F97">
        <w:t xml:space="preserve">Practical Action will deduct VAT and Tax at source according to the </w:t>
      </w:r>
      <w:proofErr w:type="spellStart"/>
      <w:r w:rsidRPr="00A67F97">
        <w:t>GoB</w:t>
      </w:r>
      <w:proofErr w:type="spellEnd"/>
      <w:r w:rsidRPr="00A67F97">
        <w:t xml:space="preserve"> rules and deposit the said amount to government treasury</w:t>
      </w:r>
    </w:p>
    <w:p w14:paraId="2BF1FEC7" w14:textId="69C4494E" w:rsidR="00E66EBC" w:rsidRPr="00A67F97" w:rsidRDefault="00E66EBC" w:rsidP="00E66EBC">
      <w:pPr>
        <w:rPr>
          <w:rFonts w:cs="Calibri"/>
          <w:i/>
          <w:iCs/>
        </w:rPr>
      </w:pPr>
      <w:r w:rsidRPr="00A67F97">
        <w:rPr>
          <w:rFonts w:cs="Calibri"/>
          <w:i/>
          <w:iCs/>
        </w:rPr>
        <w:t>Note that, costs associated with conducting advocacy events (meetings, and/or workshops, and/or consultations, and/or validations) will be taken care of by Practical Action.</w:t>
      </w:r>
    </w:p>
    <w:p w14:paraId="36B2486D" w14:textId="0F4DACA3" w:rsidR="00B73906" w:rsidRPr="00A67F97" w:rsidRDefault="00B73906" w:rsidP="00A631C2">
      <w:pPr>
        <w:rPr>
          <w:rFonts w:cs="Calibri"/>
        </w:rPr>
      </w:pPr>
      <w:r w:rsidRPr="00A67F97">
        <w:rPr>
          <w:rFonts w:cs="Calibri"/>
          <w:b/>
          <w:bCs/>
        </w:rPr>
        <w:t>Technical proposal will include the followings</w:t>
      </w:r>
      <w:r w:rsidRPr="00A67F97">
        <w:rPr>
          <w:rFonts w:cs="Calibri"/>
        </w:rPr>
        <w:t xml:space="preserve"> </w:t>
      </w:r>
      <w:r w:rsidR="00B004DC" w:rsidRPr="00A67F97">
        <w:rPr>
          <w:rFonts w:cs="Calibri"/>
        </w:rPr>
        <w:t xml:space="preserve">– </w:t>
      </w:r>
      <w:r w:rsidR="00A631C2" w:rsidRPr="00A67F97">
        <w:rPr>
          <w:rFonts w:cs="Calibri"/>
        </w:rPr>
        <w:t xml:space="preserve">Suitability of the assignment, </w:t>
      </w:r>
      <w:proofErr w:type="gramStart"/>
      <w:r w:rsidR="00B004DC" w:rsidRPr="00A67F97">
        <w:rPr>
          <w:rFonts w:cs="Calibri"/>
        </w:rPr>
        <w:t>Understanding</w:t>
      </w:r>
      <w:proofErr w:type="gramEnd"/>
      <w:r w:rsidR="00B004DC" w:rsidRPr="00A67F97">
        <w:rPr>
          <w:rFonts w:cs="Calibri"/>
        </w:rPr>
        <w:t xml:space="preserve"> of the assignment, </w:t>
      </w:r>
      <w:r w:rsidR="008C493F" w:rsidRPr="00A67F97">
        <w:rPr>
          <w:rFonts w:cs="Calibri"/>
        </w:rPr>
        <w:t>Implementation Strategy (</w:t>
      </w:r>
      <w:r w:rsidR="000832C4" w:rsidRPr="00A67F97">
        <w:rPr>
          <w:rFonts w:cs="Calibri"/>
        </w:rPr>
        <w:t>Methodology, deliverables, workplan),</w:t>
      </w:r>
      <w:r w:rsidR="007F58C3" w:rsidRPr="00A67F97">
        <w:rPr>
          <w:rFonts w:cs="Calibri"/>
        </w:rPr>
        <w:t xml:space="preserve"> </w:t>
      </w:r>
      <w:r w:rsidR="00416D71" w:rsidRPr="00A67F97">
        <w:rPr>
          <w:rFonts w:cs="Calibri"/>
        </w:rPr>
        <w:t xml:space="preserve">Team Composition, Relevant Experience, </w:t>
      </w:r>
      <w:r w:rsidR="008A36EF" w:rsidRPr="00A67F97">
        <w:rPr>
          <w:rFonts w:cs="Calibri"/>
        </w:rPr>
        <w:t xml:space="preserve">Company profile, Ethical practices (please specify, </w:t>
      </w:r>
      <w:proofErr w:type="spellStart"/>
      <w:r w:rsidR="008A36EF" w:rsidRPr="00A67F97">
        <w:rPr>
          <w:rFonts w:cs="Calibri"/>
        </w:rPr>
        <w:t>Safegurding</w:t>
      </w:r>
      <w:proofErr w:type="spellEnd"/>
      <w:r w:rsidR="008A36EF" w:rsidRPr="00A67F97">
        <w:rPr>
          <w:rFonts w:cs="Calibri"/>
        </w:rPr>
        <w:t>, Health and Safety)</w:t>
      </w:r>
    </w:p>
    <w:p w14:paraId="1E480118" w14:textId="01CDC2CF" w:rsidR="00681799" w:rsidRPr="00A67F97" w:rsidRDefault="00681799" w:rsidP="00A631C2">
      <w:r w:rsidRPr="00A67F97">
        <w:rPr>
          <w:rFonts w:cs="Calibri"/>
          <w:b/>
          <w:bCs/>
        </w:rPr>
        <w:t>Financial prop</w:t>
      </w:r>
      <w:r w:rsidR="00221E5A" w:rsidRPr="00A67F97">
        <w:rPr>
          <w:rFonts w:cs="Calibri"/>
          <w:b/>
          <w:bCs/>
        </w:rPr>
        <w:t>osal will include the followings</w:t>
      </w:r>
      <w:r w:rsidR="00221E5A" w:rsidRPr="00A67F97">
        <w:rPr>
          <w:rFonts w:cs="Calibri"/>
        </w:rPr>
        <w:t xml:space="preserve"> </w:t>
      </w:r>
      <w:r w:rsidR="00D25E2B" w:rsidRPr="00A67F97">
        <w:rPr>
          <w:rFonts w:cs="Calibri"/>
        </w:rPr>
        <w:t>–</w:t>
      </w:r>
      <w:r w:rsidR="00221E5A" w:rsidRPr="00A67F97">
        <w:rPr>
          <w:rFonts w:cs="Calibri"/>
        </w:rPr>
        <w:t xml:space="preserve"> </w:t>
      </w:r>
      <w:r w:rsidR="00D25E2B" w:rsidRPr="00A67F97">
        <w:rPr>
          <w:rFonts w:cs="Calibri"/>
        </w:rPr>
        <w:t>detailed breakdown of budget/cost including narrative, Legal documents (</w:t>
      </w:r>
      <w:r w:rsidR="002512A6" w:rsidRPr="00A67F97">
        <w:rPr>
          <w:rFonts w:cs="Calibri"/>
        </w:rPr>
        <w:t xml:space="preserve">Copy of Trade License, TIN Certificate, BIN Certificate, </w:t>
      </w:r>
      <w:r w:rsidR="003036C0" w:rsidRPr="00A67F97">
        <w:rPr>
          <w:rFonts w:cs="Calibri"/>
        </w:rPr>
        <w:t>PSR (last tax return submission acknowledgement slip)</w:t>
      </w:r>
    </w:p>
    <w:p w14:paraId="36FA204B" w14:textId="31C0BAFD" w:rsidR="00DA629B" w:rsidRPr="00A67F97" w:rsidRDefault="00470C2E" w:rsidP="00DD7F37">
      <w:pPr>
        <w:rPr>
          <w:b/>
          <w:bCs/>
        </w:rPr>
      </w:pPr>
      <w:r w:rsidRPr="00A67F97">
        <w:rPr>
          <w:b/>
          <w:bCs/>
        </w:rPr>
        <w:t xml:space="preserve">Mode of </w:t>
      </w:r>
      <w:r w:rsidR="00DA629B" w:rsidRPr="00A67F97">
        <w:rPr>
          <w:b/>
          <w:bCs/>
        </w:rPr>
        <w:t>Payment</w:t>
      </w:r>
      <w:r w:rsidRPr="00A67F97">
        <w:rPr>
          <w:b/>
          <w:bCs/>
        </w:rPr>
        <w:t>s</w:t>
      </w:r>
    </w:p>
    <w:p w14:paraId="266165DF" w14:textId="6FD36F32" w:rsidR="00DA629B" w:rsidRPr="00A67F97" w:rsidRDefault="5C411135" w:rsidP="00DC05E6">
      <w:pPr>
        <w:spacing w:before="60" w:after="120"/>
        <w:rPr>
          <w:rFonts w:eastAsia="Times New Roman" w:cs="Segoe UI"/>
          <w:highlight w:val="yellow"/>
        </w:rPr>
      </w:pPr>
      <w:r w:rsidRPr="00A67F97">
        <w:rPr>
          <w:rFonts w:cs="Calibri"/>
        </w:rPr>
        <w:t xml:space="preserve">The release of funds will be made upon acceptance of deliverables </w:t>
      </w:r>
      <w:r w:rsidR="3B9EED2D" w:rsidRPr="00A67F97">
        <w:rPr>
          <w:rFonts w:cs="Calibri"/>
        </w:rPr>
        <w:t>as per the</w:t>
      </w:r>
      <w:r w:rsidR="000B052E" w:rsidRPr="00A67F97">
        <w:rPr>
          <w:rFonts w:cs="Calibri"/>
        </w:rPr>
        <w:t xml:space="preserve"> policy</w:t>
      </w:r>
      <w:r w:rsidR="00DC05E6" w:rsidRPr="00A67F97">
        <w:rPr>
          <w:rFonts w:cs="Calibri"/>
        </w:rPr>
        <w:t>.</w:t>
      </w:r>
      <w:r w:rsidR="3B9EED2D" w:rsidRPr="00A67F97">
        <w:rPr>
          <w:rFonts w:cs="Calibri"/>
        </w:rPr>
        <w:t xml:space="preserve"> </w:t>
      </w:r>
    </w:p>
    <w:p w14:paraId="018DD9D5" w14:textId="77777777" w:rsidR="00DA629B" w:rsidRPr="00A67F97" w:rsidRDefault="00DA629B" w:rsidP="00DD7F37">
      <w:pPr>
        <w:rPr>
          <w:b/>
          <w:bCs/>
        </w:rPr>
      </w:pPr>
      <w:r w:rsidRPr="00A67F97">
        <w:rPr>
          <w:b/>
          <w:bCs/>
        </w:rPr>
        <w:t>Minimum Requirements:</w:t>
      </w:r>
    </w:p>
    <w:p w14:paraId="526CE3E4" w14:textId="0BE7040C" w:rsidR="00D04C20" w:rsidRPr="00A67F97" w:rsidRDefault="00D04C20" w:rsidP="00940B27">
      <w:pPr>
        <w:spacing w:before="60" w:after="120" w:line="276" w:lineRule="auto"/>
        <w:textAlignment w:val="baseline"/>
        <w:rPr>
          <w:rFonts w:eastAsia="Times New Roman" w:cs="Segoe UI"/>
        </w:rPr>
      </w:pPr>
      <w:r w:rsidRPr="00A67F97">
        <w:rPr>
          <w:rFonts w:eastAsia="Times New Roman" w:cs="Segoe UI"/>
        </w:rPr>
        <w:t>Interested team of consultants/consulting/ firm(s) is expected to have the following competencies and experience</w:t>
      </w:r>
      <w:r w:rsidR="003E1491" w:rsidRPr="00A67F97">
        <w:rPr>
          <w:rFonts w:eastAsia="Times New Roman" w:cs="Segoe UI"/>
        </w:rPr>
        <w:t xml:space="preserve"> </w:t>
      </w:r>
      <w:r w:rsidRPr="00A67F97">
        <w:rPr>
          <w:rFonts w:eastAsia="Times New Roman" w:cs="Segoe UI"/>
        </w:rPr>
        <w:t>-</w:t>
      </w:r>
    </w:p>
    <w:p w14:paraId="49FACE30" w14:textId="59877F5B" w:rsidR="007757BF" w:rsidRPr="00A67F97" w:rsidRDefault="007757BF" w:rsidP="00DA629B">
      <w:pPr>
        <w:pStyle w:val="ListParagraph"/>
        <w:numPr>
          <w:ilvl w:val="0"/>
          <w:numId w:val="11"/>
        </w:numPr>
        <w:spacing w:before="60" w:after="120" w:line="276" w:lineRule="auto"/>
        <w:contextualSpacing w:val="0"/>
        <w:textAlignment w:val="baseline"/>
        <w:rPr>
          <w:rFonts w:eastAsia="Times New Roman" w:cs="Segoe UI"/>
        </w:rPr>
      </w:pPr>
      <w:r w:rsidRPr="00A67F97">
        <w:rPr>
          <w:rFonts w:eastAsia="Times New Roman" w:cs="Segoe UI"/>
        </w:rPr>
        <w:t xml:space="preserve">Proven experience </w:t>
      </w:r>
      <w:r w:rsidR="0007296B" w:rsidRPr="00A67F97">
        <w:rPr>
          <w:rFonts w:eastAsia="Times New Roman" w:cs="Segoe UI"/>
        </w:rPr>
        <w:t>in Climate Risk assessment</w:t>
      </w:r>
      <w:r w:rsidR="004C6D11" w:rsidRPr="00A67F97">
        <w:rPr>
          <w:rFonts w:eastAsia="Times New Roman" w:cs="Segoe UI"/>
        </w:rPr>
        <w:t xml:space="preserve">, </w:t>
      </w:r>
      <w:r w:rsidR="00D9695E" w:rsidRPr="00A67F97">
        <w:rPr>
          <w:rFonts w:eastAsia="Times New Roman" w:cs="Segoe UI"/>
        </w:rPr>
        <w:t>Master plan development re</w:t>
      </w:r>
      <w:r w:rsidR="004C6D11" w:rsidRPr="00A67F97">
        <w:rPr>
          <w:rFonts w:eastAsia="Times New Roman" w:cs="Segoe UI"/>
        </w:rPr>
        <w:t>lated works</w:t>
      </w:r>
      <w:r w:rsidR="00E0041B" w:rsidRPr="00A67F97">
        <w:rPr>
          <w:rFonts w:eastAsia="Times New Roman" w:cs="Segoe UI"/>
        </w:rPr>
        <w:t xml:space="preserve"> which includes modelling of climate change related scenarios</w:t>
      </w:r>
    </w:p>
    <w:p w14:paraId="03555DF3" w14:textId="11CF3564" w:rsidR="00DD7F37" w:rsidRPr="00A67F97" w:rsidRDefault="00DD7F37" w:rsidP="00DA629B">
      <w:pPr>
        <w:pStyle w:val="ListParagraph"/>
        <w:numPr>
          <w:ilvl w:val="0"/>
          <w:numId w:val="11"/>
        </w:numPr>
        <w:spacing w:before="60" w:after="120" w:line="276" w:lineRule="auto"/>
        <w:contextualSpacing w:val="0"/>
        <w:textAlignment w:val="baseline"/>
        <w:rPr>
          <w:rFonts w:eastAsia="Times New Roman" w:cs="Segoe UI"/>
        </w:rPr>
      </w:pPr>
      <w:r w:rsidRPr="00A67F97">
        <w:rPr>
          <w:rFonts w:eastAsia="Times New Roman" w:cs="Segoe UI"/>
        </w:rPr>
        <w:t xml:space="preserve">The team leader or </w:t>
      </w:r>
      <w:r w:rsidR="00591D81" w:rsidRPr="00A67F97">
        <w:rPr>
          <w:rFonts w:eastAsia="Times New Roman" w:cs="Segoe UI"/>
        </w:rPr>
        <w:t xml:space="preserve">the climate expert </w:t>
      </w:r>
      <w:r w:rsidR="003F1B5C" w:rsidRPr="00A67F97">
        <w:rPr>
          <w:rFonts w:eastAsia="Times New Roman" w:cs="Segoe UI"/>
        </w:rPr>
        <w:t>should</w:t>
      </w:r>
      <w:r w:rsidR="00387927" w:rsidRPr="00A67F97">
        <w:rPr>
          <w:rFonts w:eastAsia="Times New Roman" w:cs="Segoe UI"/>
        </w:rPr>
        <w:t xml:space="preserve"> </w:t>
      </w:r>
      <w:r w:rsidR="00591D81" w:rsidRPr="00A67F97">
        <w:rPr>
          <w:rFonts w:eastAsia="Times New Roman" w:cs="Segoe UI"/>
        </w:rPr>
        <w:t xml:space="preserve">be an </w:t>
      </w:r>
      <w:r w:rsidR="00591D81" w:rsidRPr="00A67F97">
        <w:rPr>
          <w:rFonts w:eastAsia="Times New Roman" w:cs="Segoe UI"/>
          <w:b/>
          <w:bCs/>
        </w:rPr>
        <w:t>academic professional</w:t>
      </w:r>
      <w:r w:rsidR="00591D81" w:rsidRPr="00A67F97">
        <w:rPr>
          <w:rFonts w:eastAsia="Times New Roman" w:cs="Segoe UI"/>
        </w:rPr>
        <w:t xml:space="preserve"> having vast experience </w:t>
      </w:r>
      <w:r w:rsidR="00A2484F" w:rsidRPr="00A67F97">
        <w:rPr>
          <w:rFonts w:eastAsia="Times New Roman" w:cs="Segoe UI"/>
        </w:rPr>
        <w:t xml:space="preserve">on </w:t>
      </w:r>
      <w:r w:rsidR="003F1B5C" w:rsidRPr="00A67F97">
        <w:rPr>
          <w:rFonts w:eastAsia="Times New Roman" w:cs="Segoe UI"/>
        </w:rPr>
        <w:t xml:space="preserve">scientific </w:t>
      </w:r>
      <w:r w:rsidR="0017714E" w:rsidRPr="00A67F97">
        <w:rPr>
          <w:rFonts w:eastAsia="Times New Roman" w:cs="Segoe UI"/>
        </w:rPr>
        <w:t>climate</w:t>
      </w:r>
      <w:r w:rsidR="003F1B5C" w:rsidRPr="00A67F97">
        <w:rPr>
          <w:rFonts w:eastAsia="Times New Roman" w:cs="Segoe UI"/>
        </w:rPr>
        <w:t xml:space="preserve"> </w:t>
      </w:r>
      <w:r w:rsidR="0017714E" w:rsidRPr="00A67F97">
        <w:rPr>
          <w:rFonts w:eastAsia="Times New Roman" w:cs="Segoe UI"/>
        </w:rPr>
        <w:t xml:space="preserve">risk and vulnerability assessment. </w:t>
      </w:r>
    </w:p>
    <w:p w14:paraId="39EA6E3C" w14:textId="1584E320" w:rsidR="00DA629B" w:rsidRPr="00A67F97" w:rsidRDefault="5C411135" w:rsidP="5811DB86">
      <w:pPr>
        <w:pStyle w:val="ListParagraph"/>
        <w:numPr>
          <w:ilvl w:val="0"/>
          <w:numId w:val="11"/>
        </w:numPr>
        <w:spacing w:before="60" w:after="120" w:line="276" w:lineRule="auto"/>
        <w:textAlignment w:val="baseline"/>
        <w:rPr>
          <w:rFonts w:eastAsia="Times New Roman" w:cs="Segoe UI"/>
        </w:rPr>
      </w:pPr>
      <w:r w:rsidRPr="00A67F97">
        <w:rPr>
          <w:rFonts w:eastAsia="Times New Roman" w:cs="Segoe UI"/>
        </w:rPr>
        <w:t>The</w:t>
      </w:r>
      <w:r w:rsidR="4BEFDC3A" w:rsidRPr="00A67F97">
        <w:rPr>
          <w:rFonts w:eastAsia="Times New Roman" w:cs="Segoe UI"/>
        </w:rPr>
        <w:t xml:space="preserve"> other</w:t>
      </w:r>
      <w:r w:rsidRPr="00A67F97">
        <w:rPr>
          <w:rFonts w:eastAsia="Times New Roman" w:cs="Segoe UI"/>
        </w:rPr>
        <w:t xml:space="preserve"> key professional staff</w:t>
      </w:r>
      <w:r w:rsidR="4BEFDC3A" w:rsidRPr="00A67F97">
        <w:rPr>
          <w:rFonts w:eastAsia="Times New Roman" w:cs="Segoe UI"/>
        </w:rPr>
        <w:t>s</w:t>
      </w:r>
      <w:r w:rsidR="00344CE4" w:rsidRPr="00A67F97">
        <w:rPr>
          <w:rFonts w:eastAsia="Times New Roman" w:cs="Segoe UI"/>
        </w:rPr>
        <w:t xml:space="preserve"> </w:t>
      </w:r>
      <w:r w:rsidRPr="00A67F97">
        <w:rPr>
          <w:rFonts w:eastAsia="Times New Roman" w:cs="Segoe UI"/>
        </w:rPr>
        <w:t xml:space="preserve">will have experience and extended knowledge </w:t>
      </w:r>
      <w:r w:rsidR="119BA4D8" w:rsidRPr="00A67F97">
        <w:rPr>
          <w:rFonts w:eastAsia="Times New Roman" w:cs="Segoe UI"/>
        </w:rPr>
        <w:t>o</w:t>
      </w:r>
      <w:r w:rsidR="00E25BF8" w:rsidRPr="00A67F97">
        <w:rPr>
          <w:rFonts w:eastAsia="Times New Roman" w:cs="Segoe UI"/>
        </w:rPr>
        <w:t>n</w:t>
      </w:r>
      <w:r w:rsidRPr="00A67F97">
        <w:rPr>
          <w:rFonts w:eastAsia="Times New Roman" w:cs="Segoe UI"/>
        </w:rPr>
        <w:t xml:space="preserve"> the subject matter. </w:t>
      </w:r>
    </w:p>
    <w:p w14:paraId="54D8C92C" w14:textId="260A0011" w:rsidR="004528F1" w:rsidRPr="00A67F97" w:rsidRDefault="004528F1" w:rsidP="00DA629B">
      <w:pPr>
        <w:pStyle w:val="ListParagraph"/>
        <w:numPr>
          <w:ilvl w:val="0"/>
          <w:numId w:val="11"/>
        </w:numPr>
        <w:spacing w:before="60" w:after="120" w:line="276" w:lineRule="auto"/>
        <w:contextualSpacing w:val="0"/>
        <w:textAlignment w:val="baseline"/>
        <w:rPr>
          <w:rFonts w:eastAsia="Times New Roman" w:cs="Segoe UI"/>
        </w:rPr>
      </w:pPr>
      <w:r w:rsidRPr="00A67F97">
        <w:rPr>
          <w:rFonts w:eastAsia="Times New Roman" w:cs="Segoe UI"/>
        </w:rPr>
        <w:t>One dedicated GIS/RS expert w</w:t>
      </w:r>
      <w:r w:rsidR="00E2411B" w:rsidRPr="00A67F97">
        <w:rPr>
          <w:rFonts w:eastAsia="Times New Roman" w:cs="Segoe UI"/>
        </w:rPr>
        <w:t xml:space="preserve">ill be required </w:t>
      </w:r>
      <w:r w:rsidR="00293A00" w:rsidRPr="00A67F97">
        <w:rPr>
          <w:rFonts w:eastAsia="Times New Roman" w:cs="Segoe UI"/>
        </w:rPr>
        <w:t xml:space="preserve">within </w:t>
      </w:r>
      <w:r w:rsidR="00887449" w:rsidRPr="00A67F97">
        <w:rPr>
          <w:rFonts w:eastAsia="Times New Roman" w:cs="Segoe UI"/>
        </w:rPr>
        <w:t xml:space="preserve">a </w:t>
      </w:r>
      <w:r w:rsidR="00E2411B" w:rsidRPr="00A67F97">
        <w:rPr>
          <w:rFonts w:eastAsia="Times New Roman" w:cs="Segoe UI"/>
        </w:rPr>
        <w:t>specific time frame.</w:t>
      </w:r>
    </w:p>
    <w:p w14:paraId="6D6067CD" w14:textId="68ACE652" w:rsidR="00ED7FBD" w:rsidRPr="00A67F97" w:rsidRDefault="00ED7FBD" w:rsidP="00DA629B">
      <w:pPr>
        <w:pStyle w:val="ListParagraph"/>
        <w:numPr>
          <w:ilvl w:val="0"/>
          <w:numId w:val="11"/>
        </w:numPr>
        <w:spacing w:before="60" w:after="120" w:line="276" w:lineRule="auto"/>
        <w:contextualSpacing w:val="0"/>
        <w:textAlignment w:val="baseline"/>
        <w:rPr>
          <w:rFonts w:eastAsia="Times New Roman" w:cs="Segoe UI"/>
        </w:rPr>
      </w:pPr>
      <w:r w:rsidRPr="00A67F97">
        <w:rPr>
          <w:rFonts w:eastAsia="Times New Roman" w:cs="Segoe UI"/>
        </w:rPr>
        <w:t>Experience of previous related projects (minimum of 05) should be provided with completion certificates.</w:t>
      </w:r>
      <w:r w:rsidRPr="00A67F97">
        <w:rPr>
          <w:rFonts w:eastAsia="Times New Roman" w:cs="Segoe UI"/>
          <w:sz w:val="24"/>
          <w:szCs w:val="24"/>
        </w:rPr>
        <w:t xml:space="preserve"> </w:t>
      </w:r>
    </w:p>
    <w:p w14:paraId="69071207" w14:textId="0CB430D3" w:rsidR="00B82723" w:rsidRPr="00A67F97" w:rsidRDefault="00BF3E62" w:rsidP="00940B27">
      <w:pPr>
        <w:pStyle w:val="ListParagraph"/>
        <w:numPr>
          <w:ilvl w:val="0"/>
          <w:numId w:val="11"/>
        </w:numPr>
        <w:spacing w:before="60" w:after="120" w:line="276" w:lineRule="auto"/>
        <w:contextualSpacing w:val="0"/>
        <w:textAlignment w:val="baseline"/>
        <w:rPr>
          <w:sz w:val="24"/>
          <w:szCs w:val="24"/>
        </w:rPr>
      </w:pPr>
      <w:r w:rsidRPr="00A67F97">
        <w:rPr>
          <w:rFonts w:eastAsia="Times New Roman" w:cs="Segoe UI"/>
        </w:rPr>
        <w:t xml:space="preserve">Ability to provide capacity </w:t>
      </w:r>
      <w:r w:rsidR="00ED7FBD" w:rsidRPr="00A67F97">
        <w:rPr>
          <w:rFonts w:eastAsia="Times New Roman" w:cs="Segoe UI"/>
        </w:rPr>
        <w:t>building</w:t>
      </w:r>
      <w:r w:rsidRPr="00A67F97">
        <w:rPr>
          <w:rFonts w:eastAsia="Times New Roman" w:cs="Segoe UI"/>
        </w:rPr>
        <w:t xml:space="preserve"> for the </w:t>
      </w:r>
      <w:r w:rsidR="00ED7FBD" w:rsidRPr="00A67F97">
        <w:rPr>
          <w:rFonts w:eastAsia="Times New Roman" w:cs="Segoe UI"/>
        </w:rPr>
        <w:t>data enumerators</w:t>
      </w:r>
    </w:p>
    <w:p w14:paraId="75A12B46" w14:textId="77777777" w:rsidR="00B82723" w:rsidRPr="00A67F97" w:rsidRDefault="00B82723" w:rsidP="00B82723">
      <w:pPr>
        <w:rPr>
          <w:b/>
          <w:bCs/>
        </w:rPr>
      </w:pPr>
      <w:r w:rsidRPr="00A67F97">
        <w:rPr>
          <w:b/>
          <w:bCs/>
        </w:rPr>
        <w:t>Deadline &amp; Submission Process:</w:t>
      </w:r>
    </w:p>
    <w:p w14:paraId="441A4BBA" w14:textId="77777777" w:rsidR="00DC05E6" w:rsidRPr="00A67F97" w:rsidRDefault="07164531" w:rsidP="00B82723">
      <w:pPr>
        <w:rPr>
          <w:rFonts w:cs="Calibri"/>
        </w:rPr>
      </w:pPr>
      <w:r w:rsidRPr="00A67F97">
        <w:rPr>
          <w:rFonts w:cs="Calibri"/>
        </w:rPr>
        <w:t>Interested personnel(s)/firm(s) are requested to send proposal</w:t>
      </w:r>
      <w:r w:rsidR="00D64312" w:rsidRPr="00A67F97">
        <w:rPr>
          <w:rFonts w:cs="Calibri"/>
        </w:rPr>
        <w:t>s</w:t>
      </w:r>
      <w:r w:rsidRPr="00A67F97">
        <w:rPr>
          <w:rFonts w:cs="Calibri"/>
        </w:rPr>
        <w:t xml:space="preserve"> (</w:t>
      </w:r>
      <w:r w:rsidR="6FBF03F6" w:rsidRPr="00A67F97">
        <w:rPr>
          <w:rFonts w:cs="Calibri"/>
        </w:rPr>
        <w:t>Technical -</w:t>
      </w:r>
      <w:r w:rsidRPr="00A67F97">
        <w:rPr>
          <w:rFonts w:cs="Calibri"/>
        </w:rPr>
        <w:t xml:space="preserve">max </w:t>
      </w:r>
      <w:r w:rsidR="6FBF03F6" w:rsidRPr="00A67F97">
        <w:rPr>
          <w:rFonts w:cs="Calibri"/>
        </w:rPr>
        <w:t>10</w:t>
      </w:r>
      <w:r w:rsidRPr="00A67F97">
        <w:rPr>
          <w:rFonts w:cs="Calibri"/>
        </w:rPr>
        <w:t xml:space="preserve"> pages</w:t>
      </w:r>
      <w:r w:rsidR="6FBF03F6" w:rsidRPr="00A67F97">
        <w:rPr>
          <w:rFonts w:cs="Calibri"/>
        </w:rPr>
        <w:t xml:space="preserve"> and Financial</w:t>
      </w:r>
      <w:r w:rsidRPr="00A67F97">
        <w:rPr>
          <w:rFonts w:cs="Calibri"/>
        </w:rPr>
        <w:t>) and relevant CV(s) at</w:t>
      </w:r>
      <w:r w:rsidR="6FBF03F6" w:rsidRPr="00A67F97">
        <w:rPr>
          <w:rFonts w:cs="Calibri"/>
        </w:rPr>
        <w:t xml:space="preserve"> </w:t>
      </w:r>
      <w:hyperlink r:id="rId8">
        <w:r w:rsidR="7C228CB4" w:rsidRPr="00A67F97">
          <w:rPr>
            <w:rStyle w:val="Hyperlink"/>
            <w:rFonts w:cs="Calibri"/>
            <w:b/>
            <w:bCs/>
            <w:color w:val="auto"/>
          </w:rPr>
          <w:t>procurement.bd@practicalaction.org.bd</w:t>
        </w:r>
      </w:hyperlink>
      <w:r w:rsidRPr="00A67F97">
        <w:rPr>
          <w:rFonts w:cs="Calibri"/>
          <w:b/>
          <w:bCs/>
        </w:rPr>
        <w:t xml:space="preserve"> </w:t>
      </w:r>
      <w:r w:rsidRPr="00A67F97">
        <w:rPr>
          <w:rFonts w:cs="Calibri"/>
        </w:rPr>
        <w:t>and mentioning subject line “</w:t>
      </w:r>
      <w:r w:rsidR="7C228CB4" w:rsidRPr="00A67F97">
        <w:t>Consultancy for Climate Vulnerability and Risk Assessment, GIS Mapping for People’s Adaptation Planning in Narayanganj City Corporation</w:t>
      </w:r>
      <w:r w:rsidRPr="00A67F97">
        <w:t xml:space="preserve">.” </w:t>
      </w:r>
      <w:r w:rsidR="00DC05E6" w:rsidRPr="00A67F97">
        <w:rPr>
          <w:rFonts w:cs="Calibri"/>
        </w:rPr>
        <w:t>B</w:t>
      </w:r>
      <w:r w:rsidRPr="00A67F97">
        <w:rPr>
          <w:rFonts w:cs="Calibri"/>
        </w:rPr>
        <w:t>y</w:t>
      </w:r>
      <w:r w:rsidR="00DC05E6" w:rsidRPr="00A67F97">
        <w:rPr>
          <w:rFonts w:cs="Calibri"/>
        </w:rPr>
        <w:t xml:space="preserve"> 05 July 2025</w:t>
      </w:r>
    </w:p>
    <w:p w14:paraId="58622858" w14:textId="77777777" w:rsidR="00DC05E6" w:rsidRPr="00A67F97" w:rsidRDefault="00DC05E6" w:rsidP="00B82723">
      <w:pPr>
        <w:rPr>
          <w:rFonts w:cs="Calibri"/>
        </w:rPr>
      </w:pPr>
    </w:p>
    <w:p w14:paraId="5AB0B99A" w14:textId="3FD7E467" w:rsidR="00B82723" w:rsidRPr="00A67F97" w:rsidRDefault="00630EE4" w:rsidP="00B82723">
      <w:pPr>
        <w:rPr>
          <w:rFonts w:cs="Calibri"/>
        </w:rPr>
      </w:pPr>
      <w:r w:rsidRPr="00A67F97">
        <w:rPr>
          <w:b/>
          <w:bCs/>
        </w:rPr>
        <w:lastRenderedPageBreak/>
        <w:t>Proposal Evaluation</w:t>
      </w:r>
    </w:p>
    <w:p w14:paraId="63AF6A78" w14:textId="448F06FC" w:rsidR="004E13A7" w:rsidRPr="00A67F97" w:rsidRDefault="004E13A7" w:rsidP="00B82723">
      <w:r w:rsidRPr="00A67F97">
        <w:t xml:space="preserve">The evaluation committee will evaluate the proposals in relation to the TOR and applying the set evaluation criteria and </w:t>
      </w:r>
      <w:r w:rsidR="00AC4786" w:rsidRPr="00A67F97">
        <w:t>weightage</w:t>
      </w:r>
      <w:r w:rsidRPr="00A67F97">
        <w:t xml:space="preserve"> system specified herein. Each responsive proposal will be given score. Proposal(s) will be rejected at this stage if it does not respond to important aspects of the TOR.</w:t>
      </w:r>
    </w:p>
    <w:p w14:paraId="48CD35E4" w14:textId="77777777" w:rsidR="00B82723" w:rsidRPr="00A67F97" w:rsidRDefault="00B82723" w:rsidP="00B82723">
      <w:pPr>
        <w:rPr>
          <w:sz w:val="24"/>
          <w:szCs w:val="24"/>
        </w:rPr>
      </w:pPr>
      <w:r w:rsidRPr="00A67F97">
        <w:rPr>
          <w:sz w:val="24"/>
          <w:szCs w:val="24"/>
        </w:rPr>
        <w:t xml:space="preserve">The proposals will be evaluated according to criteria and the weightage as below- </w:t>
      </w:r>
    </w:p>
    <w:tbl>
      <w:tblPr>
        <w:tblStyle w:val="GridTable4-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5854"/>
        <w:gridCol w:w="1329"/>
      </w:tblGrid>
      <w:tr w:rsidR="00A67F97" w:rsidRPr="00A67F97" w14:paraId="48A31AE4" w14:textId="77777777" w:rsidTr="00A55F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39949B8" w14:textId="77777777" w:rsidR="00B82723" w:rsidRPr="00A67F97" w:rsidRDefault="00B82723" w:rsidP="00C03A9D">
            <w:pPr>
              <w:spacing w:before="60" w:after="60"/>
              <w:jc w:val="center"/>
              <w:rPr>
                <w:rFonts w:ascii="Georgia" w:hAnsi="Georgia" w:cs="Calibri"/>
                <w:color w:val="auto"/>
              </w:rPr>
            </w:pPr>
            <w:r w:rsidRPr="00A67F97">
              <w:rPr>
                <w:rFonts w:cs="Calibri"/>
                <w:color w:val="auto"/>
              </w:rPr>
              <w:t>S</w:t>
            </w:r>
            <w:r w:rsidRPr="00A67F97">
              <w:rPr>
                <w:color w:val="auto"/>
              </w:rPr>
              <w:t>l. No.</w:t>
            </w:r>
          </w:p>
        </w:tc>
        <w:tc>
          <w:tcPr>
            <w:tcW w:w="0" w:type="auto"/>
            <w:shd w:val="clear" w:color="auto" w:fill="auto"/>
          </w:tcPr>
          <w:p w14:paraId="2AADBBD0" w14:textId="77777777" w:rsidR="00B82723" w:rsidRPr="00A67F97" w:rsidRDefault="00B82723" w:rsidP="00C03A9D">
            <w:pPr>
              <w:spacing w:before="60" w:after="60"/>
              <w:jc w:val="center"/>
              <w:cnfStyle w:val="100000000000" w:firstRow="1" w:lastRow="0" w:firstColumn="0" w:lastColumn="0" w:oddVBand="0" w:evenVBand="0" w:oddHBand="0" w:evenHBand="0" w:firstRowFirstColumn="0" w:firstRowLastColumn="0" w:lastRowFirstColumn="0" w:lastRowLastColumn="0"/>
              <w:rPr>
                <w:rFonts w:ascii="Georgia" w:hAnsi="Georgia" w:cs="Calibri"/>
                <w:color w:val="auto"/>
              </w:rPr>
            </w:pPr>
            <w:r w:rsidRPr="00A67F97">
              <w:rPr>
                <w:rFonts w:cs="Calibri"/>
                <w:color w:val="auto"/>
              </w:rPr>
              <w:t>C</w:t>
            </w:r>
            <w:r w:rsidRPr="00A67F97">
              <w:rPr>
                <w:color w:val="auto"/>
              </w:rPr>
              <w:t>riteria</w:t>
            </w:r>
          </w:p>
        </w:tc>
        <w:tc>
          <w:tcPr>
            <w:tcW w:w="0" w:type="auto"/>
            <w:shd w:val="clear" w:color="auto" w:fill="auto"/>
          </w:tcPr>
          <w:p w14:paraId="660AD53B" w14:textId="77777777" w:rsidR="00B82723" w:rsidRPr="00A67F97" w:rsidRDefault="00B82723" w:rsidP="00C03A9D">
            <w:pPr>
              <w:spacing w:before="60" w:after="60"/>
              <w:jc w:val="center"/>
              <w:cnfStyle w:val="100000000000" w:firstRow="1" w:lastRow="0" w:firstColumn="0" w:lastColumn="0" w:oddVBand="0" w:evenVBand="0" w:oddHBand="0" w:evenHBand="0" w:firstRowFirstColumn="0" w:firstRowLastColumn="0" w:lastRowFirstColumn="0" w:lastRowLastColumn="0"/>
              <w:rPr>
                <w:rFonts w:ascii="Georgia" w:hAnsi="Georgia" w:cs="Calibri"/>
                <w:color w:val="auto"/>
              </w:rPr>
            </w:pPr>
            <w:r w:rsidRPr="00A67F97">
              <w:rPr>
                <w:rFonts w:cs="Calibri"/>
                <w:color w:val="auto"/>
              </w:rPr>
              <w:t>Weightage</w:t>
            </w:r>
          </w:p>
        </w:tc>
      </w:tr>
      <w:tr w:rsidR="00A67F97" w:rsidRPr="00A67F97" w14:paraId="7FD12347" w14:textId="77777777" w:rsidTr="00A55F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44B6A3B" w14:textId="77777777" w:rsidR="00B82723" w:rsidRPr="00A67F97" w:rsidRDefault="00B82723" w:rsidP="00C03A9D">
            <w:pPr>
              <w:spacing w:before="60" w:after="60"/>
              <w:rPr>
                <w:rFonts w:ascii="Georgia" w:hAnsi="Georgia" w:cs="Calibri"/>
              </w:rPr>
            </w:pPr>
            <w:r w:rsidRPr="00A67F97">
              <w:rPr>
                <w:rFonts w:cs="Calibri"/>
              </w:rPr>
              <w:t>01</w:t>
            </w:r>
          </w:p>
        </w:tc>
        <w:tc>
          <w:tcPr>
            <w:tcW w:w="0" w:type="auto"/>
            <w:shd w:val="clear" w:color="auto" w:fill="auto"/>
          </w:tcPr>
          <w:p w14:paraId="4C372543" w14:textId="4BEECEB5" w:rsidR="00B82723" w:rsidRPr="00A67F97" w:rsidRDefault="007B3219" w:rsidP="00C03A9D">
            <w:pPr>
              <w:spacing w:before="60" w:after="60"/>
              <w:cnfStyle w:val="000000100000" w:firstRow="0" w:lastRow="0" w:firstColumn="0" w:lastColumn="0" w:oddVBand="0" w:evenVBand="0" w:oddHBand="1" w:evenHBand="0" w:firstRowFirstColumn="0" w:firstRowLastColumn="0" w:lastRowFirstColumn="0" w:lastRowLastColumn="0"/>
              <w:rPr>
                <w:rFonts w:ascii="Georgia" w:hAnsi="Georgia" w:cs="Calibri"/>
              </w:rPr>
            </w:pPr>
            <w:r w:rsidRPr="00A67F97">
              <w:rPr>
                <w:rFonts w:cs="Calibri"/>
              </w:rPr>
              <w:t>Understanding of the assignment</w:t>
            </w:r>
          </w:p>
        </w:tc>
        <w:tc>
          <w:tcPr>
            <w:tcW w:w="0" w:type="auto"/>
            <w:shd w:val="clear" w:color="auto" w:fill="auto"/>
          </w:tcPr>
          <w:p w14:paraId="7A9D4E48" w14:textId="6EDE62FD" w:rsidR="00B82723" w:rsidRPr="00A67F97" w:rsidRDefault="00B82723" w:rsidP="00C03A9D">
            <w:pPr>
              <w:spacing w:before="60" w:after="60"/>
              <w:jc w:val="center"/>
              <w:cnfStyle w:val="000000100000" w:firstRow="0" w:lastRow="0" w:firstColumn="0" w:lastColumn="0" w:oddVBand="0" w:evenVBand="0" w:oddHBand="1" w:evenHBand="0" w:firstRowFirstColumn="0" w:firstRowLastColumn="0" w:lastRowFirstColumn="0" w:lastRowLastColumn="0"/>
              <w:rPr>
                <w:rFonts w:ascii="Georgia" w:hAnsi="Georgia" w:cs="Calibri"/>
              </w:rPr>
            </w:pPr>
            <w:r w:rsidRPr="00A67F97">
              <w:rPr>
                <w:rFonts w:cs="Calibri"/>
              </w:rPr>
              <w:t>1</w:t>
            </w:r>
            <w:r w:rsidR="003C2A31" w:rsidRPr="00A67F97">
              <w:rPr>
                <w:rFonts w:cs="Calibri"/>
              </w:rPr>
              <w:t>0</w:t>
            </w:r>
            <w:r w:rsidRPr="00A67F97">
              <w:rPr>
                <w:rFonts w:cs="Calibri"/>
              </w:rPr>
              <w:t>%</w:t>
            </w:r>
          </w:p>
        </w:tc>
      </w:tr>
      <w:tr w:rsidR="00A67F97" w:rsidRPr="00A67F97" w14:paraId="629A610F" w14:textId="77777777" w:rsidTr="00A55FB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2870362" w14:textId="3D92A245" w:rsidR="007B3219" w:rsidRPr="00A67F97" w:rsidRDefault="00C800F7" w:rsidP="007B3219">
            <w:pPr>
              <w:spacing w:before="60" w:after="60"/>
              <w:rPr>
                <w:rFonts w:ascii="Georgia" w:hAnsi="Georgia" w:cs="Calibri"/>
              </w:rPr>
            </w:pPr>
            <w:r w:rsidRPr="00A67F97">
              <w:rPr>
                <w:rFonts w:ascii="Georgia" w:hAnsi="Georgia" w:cs="Calibri"/>
              </w:rPr>
              <w:t>02</w:t>
            </w:r>
          </w:p>
        </w:tc>
        <w:tc>
          <w:tcPr>
            <w:tcW w:w="0" w:type="auto"/>
            <w:shd w:val="clear" w:color="auto" w:fill="auto"/>
          </w:tcPr>
          <w:p w14:paraId="4099B8CB" w14:textId="32E9673C" w:rsidR="007B3219" w:rsidRPr="00A67F97" w:rsidRDefault="007B3219" w:rsidP="007B3219">
            <w:pPr>
              <w:spacing w:before="60" w:after="60"/>
              <w:cnfStyle w:val="000000000000" w:firstRow="0" w:lastRow="0" w:firstColumn="0" w:lastColumn="0" w:oddVBand="0" w:evenVBand="0" w:oddHBand="0" w:evenHBand="0" w:firstRowFirstColumn="0" w:firstRowLastColumn="0" w:lastRowFirstColumn="0" w:lastRowLastColumn="0"/>
              <w:rPr>
                <w:rFonts w:ascii="Georgia" w:hAnsi="Georgia" w:cs="Calibri"/>
              </w:rPr>
            </w:pPr>
            <w:r w:rsidRPr="00A67F97">
              <w:rPr>
                <w:rFonts w:cs="Calibri"/>
              </w:rPr>
              <w:t>Technical proposal with detailed methodology &amp; approach</w:t>
            </w:r>
          </w:p>
        </w:tc>
        <w:tc>
          <w:tcPr>
            <w:tcW w:w="0" w:type="auto"/>
            <w:shd w:val="clear" w:color="auto" w:fill="auto"/>
          </w:tcPr>
          <w:p w14:paraId="645316B1" w14:textId="0128DA6A" w:rsidR="007B3219" w:rsidRPr="00A67F97" w:rsidRDefault="007B3219" w:rsidP="007B3219">
            <w:pPr>
              <w:spacing w:before="60" w:after="60"/>
              <w:jc w:val="center"/>
              <w:cnfStyle w:val="000000000000" w:firstRow="0" w:lastRow="0" w:firstColumn="0" w:lastColumn="0" w:oddVBand="0" w:evenVBand="0" w:oddHBand="0" w:evenHBand="0" w:firstRowFirstColumn="0" w:firstRowLastColumn="0" w:lastRowFirstColumn="0" w:lastRowLastColumn="0"/>
              <w:rPr>
                <w:rFonts w:ascii="Georgia" w:hAnsi="Georgia" w:cs="Calibri"/>
              </w:rPr>
            </w:pPr>
            <w:r w:rsidRPr="00A67F97">
              <w:rPr>
                <w:rFonts w:cs="Calibri"/>
              </w:rPr>
              <w:t>20%</w:t>
            </w:r>
          </w:p>
        </w:tc>
      </w:tr>
      <w:tr w:rsidR="00A67F97" w:rsidRPr="00A67F97" w14:paraId="6EF4977E" w14:textId="77777777" w:rsidTr="00A55F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5435634" w14:textId="237CE147" w:rsidR="007B3219" w:rsidRPr="00A67F97" w:rsidRDefault="007B3219" w:rsidP="007B3219">
            <w:pPr>
              <w:spacing w:before="60" w:after="60"/>
              <w:rPr>
                <w:rFonts w:ascii="Georgia" w:hAnsi="Georgia" w:cs="Calibri"/>
              </w:rPr>
            </w:pPr>
            <w:r w:rsidRPr="00A67F97">
              <w:rPr>
                <w:rFonts w:cs="Calibri"/>
              </w:rPr>
              <w:t>0</w:t>
            </w:r>
            <w:r w:rsidR="00C800F7" w:rsidRPr="00A67F97">
              <w:rPr>
                <w:rFonts w:ascii="Georgia" w:hAnsi="Georgia" w:cs="Calibri"/>
              </w:rPr>
              <w:t>3</w:t>
            </w:r>
          </w:p>
        </w:tc>
        <w:tc>
          <w:tcPr>
            <w:tcW w:w="0" w:type="auto"/>
            <w:shd w:val="clear" w:color="auto" w:fill="auto"/>
          </w:tcPr>
          <w:p w14:paraId="534EC2A9" w14:textId="5B68616A" w:rsidR="007B3219" w:rsidRPr="00A67F97" w:rsidRDefault="00B31718" w:rsidP="007B3219">
            <w:pPr>
              <w:spacing w:before="60" w:after="60"/>
              <w:cnfStyle w:val="000000100000" w:firstRow="0" w:lastRow="0" w:firstColumn="0" w:lastColumn="0" w:oddVBand="0" w:evenVBand="0" w:oddHBand="1" w:evenHBand="0" w:firstRowFirstColumn="0" w:firstRowLastColumn="0" w:lastRowFirstColumn="0" w:lastRowLastColumn="0"/>
              <w:rPr>
                <w:rFonts w:ascii="Georgia" w:hAnsi="Georgia" w:cs="Calibri"/>
              </w:rPr>
            </w:pPr>
            <w:r w:rsidRPr="00A67F97">
              <w:rPr>
                <w:rFonts w:cs="Calibri"/>
              </w:rPr>
              <w:t xml:space="preserve">Composition of the team (TL </w:t>
            </w:r>
            <w:r w:rsidR="0043354A" w:rsidRPr="00A67F97">
              <w:rPr>
                <w:rFonts w:cs="Calibri"/>
              </w:rPr>
              <w:t>holds</w:t>
            </w:r>
            <w:r w:rsidRPr="00A67F97">
              <w:rPr>
                <w:rFonts w:cs="Calibri"/>
              </w:rPr>
              <w:t xml:space="preserve"> 50% of the wei</w:t>
            </w:r>
            <w:r w:rsidR="0043354A" w:rsidRPr="00A67F97">
              <w:rPr>
                <w:rFonts w:cs="Calibri"/>
              </w:rPr>
              <w:t>ghtage)</w:t>
            </w:r>
          </w:p>
        </w:tc>
        <w:tc>
          <w:tcPr>
            <w:tcW w:w="0" w:type="auto"/>
            <w:shd w:val="clear" w:color="auto" w:fill="auto"/>
          </w:tcPr>
          <w:p w14:paraId="0F8EA8F6" w14:textId="4E6DF96C" w:rsidR="007B3219" w:rsidRPr="00A67F97" w:rsidRDefault="00DA6CFB" w:rsidP="007B3219">
            <w:pPr>
              <w:spacing w:before="60" w:after="60"/>
              <w:jc w:val="center"/>
              <w:cnfStyle w:val="000000100000" w:firstRow="0" w:lastRow="0" w:firstColumn="0" w:lastColumn="0" w:oddVBand="0" w:evenVBand="0" w:oddHBand="1" w:evenHBand="0" w:firstRowFirstColumn="0" w:firstRowLastColumn="0" w:lastRowFirstColumn="0" w:lastRowLastColumn="0"/>
              <w:rPr>
                <w:rFonts w:ascii="Georgia" w:hAnsi="Georgia" w:cs="Calibri"/>
              </w:rPr>
            </w:pPr>
            <w:r w:rsidRPr="00A67F97">
              <w:rPr>
                <w:rFonts w:ascii="Georgia" w:hAnsi="Georgia" w:cs="Calibri"/>
              </w:rPr>
              <w:t>2</w:t>
            </w:r>
            <w:r w:rsidR="007B3219" w:rsidRPr="00A67F97">
              <w:rPr>
                <w:rFonts w:cs="Calibri"/>
              </w:rPr>
              <w:t>0%</w:t>
            </w:r>
          </w:p>
        </w:tc>
      </w:tr>
      <w:tr w:rsidR="00A67F97" w:rsidRPr="00A67F97" w14:paraId="6F34DA66" w14:textId="77777777" w:rsidTr="00A55FB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864AA78" w14:textId="6C067CDF" w:rsidR="007B3219" w:rsidRPr="00A67F97" w:rsidRDefault="007B3219" w:rsidP="007B3219">
            <w:pPr>
              <w:spacing w:before="60" w:after="60"/>
              <w:rPr>
                <w:rFonts w:ascii="Georgia" w:hAnsi="Georgia" w:cs="Calibri"/>
              </w:rPr>
            </w:pPr>
            <w:r w:rsidRPr="00A67F97">
              <w:rPr>
                <w:rFonts w:cs="Calibri"/>
              </w:rPr>
              <w:t>0</w:t>
            </w:r>
            <w:r w:rsidR="00C800F7" w:rsidRPr="00A67F97">
              <w:rPr>
                <w:rFonts w:ascii="Georgia" w:hAnsi="Georgia" w:cs="Calibri"/>
              </w:rPr>
              <w:t>4</w:t>
            </w:r>
          </w:p>
        </w:tc>
        <w:tc>
          <w:tcPr>
            <w:tcW w:w="0" w:type="auto"/>
            <w:shd w:val="clear" w:color="auto" w:fill="auto"/>
          </w:tcPr>
          <w:p w14:paraId="08EC9470" w14:textId="77777777" w:rsidR="007B3219" w:rsidRPr="00A67F97" w:rsidRDefault="007B3219" w:rsidP="007B3219">
            <w:pPr>
              <w:spacing w:before="60" w:after="60"/>
              <w:cnfStyle w:val="000000000000" w:firstRow="0" w:lastRow="0" w:firstColumn="0" w:lastColumn="0" w:oddVBand="0" w:evenVBand="0" w:oddHBand="0" w:evenHBand="0" w:firstRowFirstColumn="0" w:firstRowLastColumn="0" w:lastRowFirstColumn="0" w:lastRowLastColumn="0"/>
              <w:rPr>
                <w:rFonts w:ascii="Georgia" w:hAnsi="Georgia" w:cs="Calibri"/>
              </w:rPr>
            </w:pPr>
            <w:r w:rsidRPr="00A67F97">
              <w:rPr>
                <w:rFonts w:cs="Calibri"/>
              </w:rPr>
              <w:t>Experiences and achievement in similar assignment</w:t>
            </w:r>
          </w:p>
        </w:tc>
        <w:tc>
          <w:tcPr>
            <w:tcW w:w="0" w:type="auto"/>
            <w:shd w:val="clear" w:color="auto" w:fill="auto"/>
          </w:tcPr>
          <w:p w14:paraId="7707542B" w14:textId="4FF172A5" w:rsidR="007B3219" w:rsidRPr="00A67F97" w:rsidRDefault="004A663F" w:rsidP="007B3219">
            <w:pPr>
              <w:spacing w:before="60" w:after="60"/>
              <w:jc w:val="center"/>
              <w:cnfStyle w:val="000000000000" w:firstRow="0" w:lastRow="0" w:firstColumn="0" w:lastColumn="0" w:oddVBand="0" w:evenVBand="0" w:oddHBand="0" w:evenHBand="0" w:firstRowFirstColumn="0" w:firstRowLastColumn="0" w:lastRowFirstColumn="0" w:lastRowLastColumn="0"/>
              <w:rPr>
                <w:rFonts w:ascii="Georgia" w:hAnsi="Georgia" w:cs="Calibri"/>
              </w:rPr>
            </w:pPr>
            <w:r w:rsidRPr="00A67F97">
              <w:rPr>
                <w:rFonts w:ascii="Georgia" w:hAnsi="Georgia" w:cs="Calibri"/>
              </w:rPr>
              <w:t>15</w:t>
            </w:r>
            <w:r w:rsidR="007B3219" w:rsidRPr="00A67F97">
              <w:rPr>
                <w:rFonts w:cs="Calibri"/>
              </w:rPr>
              <w:t>%</w:t>
            </w:r>
          </w:p>
        </w:tc>
      </w:tr>
      <w:tr w:rsidR="00A67F97" w:rsidRPr="00A67F97" w14:paraId="1CF7B601" w14:textId="77777777" w:rsidTr="00A55F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9AB60BB" w14:textId="7CC7F2B0" w:rsidR="007B3219" w:rsidRPr="00A67F97" w:rsidRDefault="007B3219" w:rsidP="007B3219">
            <w:pPr>
              <w:spacing w:before="60" w:after="60"/>
              <w:rPr>
                <w:rFonts w:ascii="Georgia" w:hAnsi="Georgia" w:cs="Calibri"/>
              </w:rPr>
            </w:pPr>
            <w:r w:rsidRPr="00A67F97">
              <w:rPr>
                <w:rFonts w:cs="Calibri"/>
              </w:rPr>
              <w:t>0</w:t>
            </w:r>
            <w:r w:rsidR="00C800F7" w:rsidRPr="00A67F97">
              <w:rPr>
                <w:rFonts w:ascii="Georgia" w:hAnsi="Georgia" w:cs="Calibri"/>
              </w:rPr>
              <w:t>5</w:t>
            </w:r>
          </w:p>
        </w:tc>
        <w:tc>
          <w:tcPr>
            <w:tcW w:w="0" w:type="auto"/>
            <w:shd w:val="clear" w:color="auto" w:fill="auto"/>
          </w:tcPr>
          <w:p w14:paraId="1EAAD282" w14:textId="1DB64679" w:rsidR="007B3219" w:rsidRPr="00A67F97" w:rsidRDefault="000C7B06" w:rsidP="007B3219">
            <w:pPr>
              <w:spacing w:before="60" w:after="60"/>
              <w:cnfStyle w:val="000000100000" w:firstRow="0" w:lastRow="0" w:firstColumn="0" w:lastColumn="0" w:oddVBand="0" w:evenVBand="0" w:oddHBand="1" w:evenHBand="0" w:firstRowFirstColumn="0" w:firstRowLastColumn="0" w:lastRowFirstColumn="0" w:lastRowLastColumn="0"/>
              <w:rPr>
                <w:rFonts w:ascii="Georgia" w:hAnsi="Georgia" w:cs="Calibri"/>
              </w:rPr>
            </w:pPr>
            <w:r w:rsidRPr="00A67F97">
              <w:rPr>
                <w:rFonts w:cs="Calibri"/>
              </w:rPr>
              <w:t>Workplan and overall quality of the proposal</w:t>
            </w:r>
          </w:p>
        </w:tc>
        <w:tc>
          <w:tcPr>
            <w:tcW w:w="0" w:type="auto"/>
            <w:shd w:val="clear" w:color="auto" w:fill="auto"/>
          </w:tcPr>
          <w:p w14:paraId="1A5A8046" w14:textId="77777777" w:rsidR="007B3219" w:rsidRPr="00A67F97" w:rsidRDefault="007B3219" w:rsidP="007B3219">
            <w:pPr>
              <w:spacing w:before="60" w:after="60"/>
              <w:jc w:val="center"/>
              <w:cnfStyle w:val="000000100000" w:firstRow="0" w:lastRow="0" w:firstColumn="0" w:lastColumn="0" w:oddVBand="0" w:evenVBand="0" w:oddHBand="1" w:evenHBand="0" w:firstRowFirstColumn="0" w:firstRowLastColumn="0" w:lastRowFirstColumn="0" w:lastRowLastColumn="0"/>
              <w:rPr>
                <w:rFonts w:ascii="Georgia" w:hAnsi="Georgia" w:cs="Calibri"/>
              </w:rPr>
            </w:pPr>
            <w:r w:rsidRPr="00A67F97">
              <w:rPr>
                <w:rFonts w:cs="Calibri"/>
              </w:rPr>
              <w:t>15%</w:t>
            </w:r>
          </w:p>
        </w:tc>
      </w:tr>
      <w:tr w:rsidR="00A67F97" w:rsidRPr="00A67F97" w14:paraId="02724933" w14:textId="77777777" w:rsidTr="00A55FB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60DFD28" w14:textId="74BA3F3C" w:rsidR="007B3219" w:rsidRPr="00A67F97" w:rsidRDefault="007B3219" w:rsidP="007B3219">
            <w:pPr>
              <w:spacing w:before="60" w:after="60"/>
              <w:rPr>
                <w:rFonts w:ascii="Georgia" w:hAnsi="Georgia" w:cs="Calibri"/>
              </w:rPr>
            </w:pPr>
            <w:r w:rsidRPr="00A67F97">
              <w:rPr>
                <w:rFonts w:cs="Calibri"/>
              </w:rPr>
              <w:t>0</w:t>
            </w:r>
            <w:r w:rsidR="00C800F7" w:rsidRPr="00A67F97">
              <w:rPr>
                <w:rFonts w:ascii="Georgia" w:hAnsi="Georgia" w:cs="Calibri"/>
              </w:rPr>
              <w:t>6</w:t>
            </w:r>
          </w:p>
        </w:tc>
        <w:tc>
          <w:tcPr>
            <w:tcW w:w="0" w:type="auto"/>
            <w:shd w:val="clear" w:color="auto" w:fill="auto"/>
          </w:tcPr>
          <w:p w14:paraId="41B5DB98" w14:textId="77777777" w:rsidR="007B3219" w:rsidRPr="00A67F97" w:rsidRDefault="007B3219" w:rsidP="007B3219">
            <w:pPr>
              <w:spacing w:before="60" w:after="60"/>
              <w:cnfStyle w:val="000000000000" w:firstRow="0" w:lastRow="0" w:firstColumn="0" w:lastColumn="0" w:oddVBand="0" w:evenVBand="0" w:oddHBand="0" w:evenHBand="0" w:firstRowFirstColumn="0" w:firstRowLastColumn="0" w:lastRowFirstColumn="0" w:lastRowLastColumn="0"/>
              <w:rPr>
                <w:rFonts w:ascii="Georgia" w:hAnsi="Georgia" w:cs="Calibri"/>
              </w:rPr>
            </w:pPr>
            <w:r w:rsidRPr="00A67F97">
              <w:rPr>
                <w:rFonts w:cs="Calibri"/>
              </w:rPr>
              <w:t>Budgetary Proposition</w:t>
            </w:r>
          </w:p>
        </w:tc>
        <w:tc>
          <w:tcPr>
            <w:tcW w:w="0" w:type="auto"/>
            <w:shd w:val="clear" w:color="auto" w:fill="auto"/>
          </w:tcPr>
          <w:p w14:paraId="78B63DEB" w14:textId="77777777" w:rsidR="007B3219" w:rsidRPr="00A67F97" w:rsidRDefault="007B3219" w:rsidP="007B3219">
            <w:pPr>
              <w:spacing w:before="60" w:after="60"/>
              <w:jc w:val="center"/>
              <w:cnfStyle w:val="000000000000" w:firstRow="0" w:lastRow="0" w:firstColumn="0" w:lastColumn="0" w:oddVBand="0" w:evenVBand="0" w:oddHBand="0" w:evenHBand="0" w:firstRowFirstColumn="0" w:firstRowLastColumn="0" w:lastRowFirstColumn="0" w:lastRowLastColumn="0"/>
              <w:rPr>
                <w:rFonts w:ascii="Georgia" w:hAnsi="Georgia" w:cs="Calibri"/>
              </w:rPr>
            </w:pPr>
            <w:r w:rsidRPr="00A67F97">
              <w:rPr>
                <w:rFonts w:cs="Calibri"/>
              </w:rPr>
              <w:t>20%</w:t>
            </w:r>
          </w:p>
        </w:tc>
      </w:tr>
    </w:tbl>
    <w:p w14:paraId="543FC807" w14:textId="77777777" w:rsidR="00B82723" w:rsidRPr="00A67F97" w:rsidRDefault="00B82723" w:rsidP="00B82723">
      <w:pPr>
        <w:rPr>
          <w:b/>
          <w:bCs/>
        </w:rPr>
      </w:pPr>
    </w:p>
    <w:p w14:paraId="72AAF1D2" w14:textId="24143B2A" w:rsidR="005A0D96" w:rsidRPr="00A67F97" w:rsidRDefault="004138E9" w:rsidP="00364925">
      <w:pPr>
        <w:pStyle w:val="ListParagraph"/>
        <w:numPr>
          <w:ilvl w:val="0"/>
          <w:numId w:val="19"/>
        </w:numPr>
      </w:pPr>
      <w:r w:rsidRPr="00A67F97">
        <w:t xml:space="preserve">Practical Action reserves the right to accept and reject any proposal without assigning any reason or whatsoever </w:t>
      </w:r>
      <w:r w:rsidR="005A0D96" w:rsidRPr="00A67F97">
        <w:t xml:space="preserve"> </w:t>
      </w:r>
    </w:p>
    <w:p w14:paraId="427927F1" w14:textId="76033F8F" w:rsidR="00063930" w:rsidRPr="00A67F97" w:rsidRDefault="003A3EE5" w:rsidP="00693904">
      <w:pPr>
        <w:pStyle w:val="ListParagraph"/>
        <w:numPr>
          <w:ilvl w:val="0"/>
          <w:numId w:val="19"/>
        </w:numPr>
      </w:pPr>
      <w:r w:rsidRPr="00A67F97">
        <w:t>Once the proposals are evaluated, only the shortlisted consultant/agency/ research firm will be contracted for next process for presentation or further clarifications</w:t>
      </w:r>
    </w:p>
    <w:p w14:paraId="596B7CD7" w14:textId="49879A74" w:rsidR="00364925" w:rsidRPr="00A67F97" w:rsidRDefault="00364925" w:rsidP="00940B27">
      <w:pPr>
        <w:pStyle w:val="ListParagraph"/>
        <w:numPr>
          <w:ilvl w:val="0"/>
          <w:numId w:val="19"/>
        </w:numPr>
      </w:pPr>
      <w:r w:rsidRPr="00A67F97">
        <w:t xml:space="preserve">Practical Action may </w:t>
      </w:r>
      <w:proofErr w:type="gramStart"/>
      <w:r w:rsidRPr="00A67F97">
        <w:t>enter into</w:t>
      </w:r>
      <w:proofErr w:type="gramEnd"/>
      <w:r w:rsidRPr="00A67F97">
        <w:t xml:space="preserve"> negotiation, if required, with one or more consultant / consulting firm for final selection</w:t>
      </w:r>
    </w:p>
    <w:p w14:paraId="756EE17F" w14:textId="7B786175" w:rsidR="00B82723" w:rsidRPr="00A67F97" w:rsidRDefault="00B82723" w:rsidP="00B82723">
      <w:pPr>
        <w:rPr>
          <w:b/>
          <w:bCs/>
        </w:rPr>
      </w:pPr>
      <w:r w:rsidRPr="00A67F97">
        <w:rPr>
          <w:b/>
          <w:bCs/>
        </w:rPr>
        <w:t>Resignation and Cancellation/Termination of contract</w:t>
      </w:r>
    </w:p>
    <w:p w14:paraId="39CDB947" w14:textId="77777777" w:rsidR="00B82723" w:rsidRPr="00A67F97" w:rsidRDefault="00B82723" w:rsidP="00B82723">
      <w:pPr>
        <w:spacing w:before="60" w:after="120"/>
        <w:rPr>
          <w:rFonts w:cs="Calibri"/>
        </w:rPr>
      </w:pPr>
      <w:r w:rsidRPr="00A67F97">
        <w:rPr>
          <w:rFonts w:cs="Calibri"/>
        </w:rPr>
        <w:t xml:space="preserve">Practical Action in Bangladesh reserves the right to cancel, amend, and defer the contract agreement.  </w:t>
      </w:r>
    </w:p>
    <w:p w14:paraId="2449B82E" w14:textId="77777777" w:rsidR="00B82723" w:rsidRPr="00A67F97" w:rsidRDefault="00B82723" w:rsidP="00B82723">
      <w:pPr>
        <w:rPr>
          <w:b/>
          <w:bCs/>
        </w:rPr>
      </w:pPr>
      <w:r w:rsidRPr="00A67F97">
        <w:rPr>
          <w:b/>
          <w:bCs/>
        </w:rPr>
        <w:t>Penalty Clause</w:t>
      </w:r>
    </w:p>
    <w:p w14:paraId="3B2B78F4" w14:textId="77777777" w:rsidR="00B82723" w:rsidRPr="00A67F97" w:rsidRDefault="00B82723" w:rsidP="00B82723">
      <w:pPr>
        <w:spacing w:before="60" w:after="120"/>
        <w:rPr>
          <w:rFonts w:cs="Calibri"/>
        </w:rPr>
      </w:pPr>
      <w:r w:rsidRPr="00A67F97">
        <w:rPr>
          <w:rFonts w:cs="Calibri"/>
        </w:rPr>
        <w:t xml:space="preserve">In case of delays in the submission of the document, a 2% penalty will be deducted from the total payment for each day delayed. The selected consultant must pay back the total amount of the advance money if it fails to submit all deliverables and/or withdraws from the contract. The selected consultant must notice Practical Action, in writing, if it needs to extend the submission date. </w:t>
      </w:r>
    </w:p>
    <w:p w14:paraId="0DCC03FB" w14:textId="77777777" w:rsidR="00B82723" w:rsidRPr="00A67F97" w:rsidRDefault="00B82723" w:rsidP="00B82723">
      <w:pPr>
        <w:rPr>
          <w:b/>
          <w:bCs/>
        </w:rPr>
      </w:pPr>
      <w:r w:rsidRPr="00A67F97">
        <w:rPr>
          <w:b/>
          <w:bCs/>
        </w:rPr>
        <w:t>Intellectual Property Rights</w:t>
      </w:r>
    </w:p>
    <w:p w14:paraId="66C177C4" w14:textId="2818D23D" w:rsidR="00B82723" w:rsidRPr="00A67F97" w:rsidRDefault="00B82723" w:rsidP="00B82723">
      <w:pPr>
        <w:spacing w:before="60" w:after="120"/>
        <w:rPr>
          <w:rFonts w:cs="Calibri"/>
        </w:rPr>
      </w:pPr>
      <w:r w:rsidRPr="00A67F97">
        <w:rPr>
          <w:rFonts w:cs="Calibri"/>
        </w:rPr>
        <w:t>All deliverables (knowledge material/s, report/s) will be considered as Practical Action’s property. However, any of them can be used by media and/or by the selected agency for people’s good with prior written approval from Practical Action but cannot sell to/reproduce for other entity.</w:t>
      </w:r>
    </w:p>
    <w:p w14:paraId="271C9443" w14:textId="77777777" w:rsidR="00B82723" w:rsidRPr="00A67F97" w:rsidRDefault="00B82723" w:rsidP="00B82723">
      <w:pPr>
        <w:rPr>
          <w:b/>
          <w:bCs/>
        </w:rPr>
      </w:pPr>
      <w:r w:rsidRPr="00A67F97">
        <w:rPr>
          <w:b/>
          <w:bCs/>
        </w:rPr>
        <w:t>Important notes:</w:t>
      </w:r>
    </w:p>
    <w:p w14:paraId="0E70A410" w14:textId="77777777" w:rsidR="00B82723" w:rsidRPr="00A67F97" w:rsidRDefault="07164531" w:rsidP="5811DB86">
      <w:pPr>
        <w:pStyle w:val="ListParagraph"/>
        <w:numPr>
          <w:ilvl w:val="0"/>
          <w:numId w:val="13"/>
        </w:numPr>
        <w:spacing w:before="60" w:after="120" w:line="276" w:lineRule="auto"/>
        <w:textAlignment w:val="baseline"/>
        <w:rPr>
          <w:rFonts w:eastAsia="Times New Roman" w:cs="Segoe UI"/>
        </w:rPr>
      </w:pPr>
      <w:r w:rsidRPr="00A67F97">
        <w:rPr>
          <w:rFonts w:eastAsia="Times New Roman" w:cs="Segoe UI"/>
        </w:rPr>
        <w:t>Practical Action requires the consultant to take all safety measures to protect the Covid-19 pandemic and will not take any responsibility if the consultant or any of her/his associate consultant get affected by Covid-19 during/after the assignment.</w:t>
      </w:r>
    </w:p>
    <w:p w14:paraId="1252A580" w14:textId="77777777" w:rsidR="00B82723" w:rsidRPr="00A67F97" w:rsidRDefault="00B82723" w:rsidP="00B82723">
      <w:pPr>
        <w:pStyle w:val="ListParagraph"/>
        <w:numPr>
          <w:ilvl w:val="0"/>
          <w:numId w:val="13"/>
        </w:numPr>
        <w:spacing w:before="60" w:after="120" w:line="276" w:lineRule="auto"/>
        <w:contextualSpacing w:val="0"/>
        <w:textAlignment w:val="baseline"/>
        <w:rPr>
          <w:rFonts w:eastAsia="Times New Roman" w:cs="Segoe UI"/>
        </w:rPr>
      </w:pPr>
      <w:r w:rsidRPr="00A67F97">
        <w:rPr>
          <w:rFonts w:eastAsia="Times New Roman" w:cs="Segoe UI"/>
        </w:rPr>
        <w:t>Practical Action will not compensate for any damages/loss of any equipment.</w:t>
      </w:r>
    </w:p>
    <w:p w14:paraId="07A3CF02" w14:textId="2028E6F6" w:rsidR="00B82723" w:rsidRPr="00A67F97" w:rsidRDefault="07164531" w:rsidP="5811DB86">
      <w:pPr>
        <w:pStyle w:val="ListParagraph"/>
        <w:numPr>
          <w:ilvl w:val="0"/>
          <w:numId w:val="13"/>
        </w:numPr>
        <w:spacing w:before="60" w:after="120" w:line="276" w:lineRule="auto"/>
        <w:textAlignment w:val="baseline"/>
        <w:rPr>
          <w:rFonts w:eastAsia="Times New Roman" w:cs="Segoe UI"/>
        </w:rPr>
      </w:pPr>
      <w:r w:rsidRPr="00A67F97">
        <w:rPr>
          <w:rFonts w:eastAsia="Times New Roman" w:cs="Segoe UI"/>
        </w:rPr>
        <w:t xml:space="preserve">Practical Action will not provide any vehicle, accommodation, </w:t>
      </w:r>
      <w:r w:rsidR="284DD15F" w:rsidRPr="00A67F97">
        <w:rPr>
          <w:rFonts w:eastAsia="Times New Roman" w:cs="Segoe UI"/>
        </w:rPr>
        <w:t xml:space="preserve">and </w:t>
      </w:r>
      <w:r w:rsidRPr="00A67F97">
        <w:rPr>
          <w:rFonts w:eastAsia="Times New Roman" w:cs="Segoe UI"/>
        </w:rPr>
        <w:t xml:space="preserve">food to the selected consultant(s) in Dhaka. </w:t>
      </w:r>
    </w:p>
    <w:p w14:paraId="32D6CDC7" w14:textId="6BFDE469" w:rsidR="00B82723" w:rsidRPr="00A67F97" w:rsidRDefault="07164531" w:rsidP="00B82723">
      <w:pPr>
        <w:spacing w:before="60" w:after="120" w:line="276" w:lineRule="auto"/>
        <w:textAlignment w:val="baseline"/>
        <w:rPr>
          <w:rFonts w:eastAsia="Times New Roman" w:cs="Segoe UI"/>
          <w:b/>
          <w:bCs/>
        </w:rPr>
      </w:pPr>
      <w:r w:rsidRPr="00A67F97">
        <w:rPr>
          <w:rFonts w:cs="Calibri"/>
          <w:b/>
          <w:bCs/>
        </w:rPr>
        <w:lastRenderedPageBreak/>
        <w:t xml:space="preserve">Safeguarding </w:t>
      </w:r>
    </w:p>
    <w:p w14:paraId="15AC2D9D" w14:textId="77777777" w:rsidR="00CD512A" w:rsidRPr="00A67F97" w:rsidRDefault="00CD512A" w:rsidP="00CD512A">
      <w:pPr>
        <w:keepLines/>
        <w:spacing w:before="120" w:after="120" w:line="240" w:lineRule="auto"/>
        <w:jc w:val="both"/>
        <w:rPr>
          <w:rFonts w:eastAsia="Trade Gothic LT Com" w:cstheme="minorHAnsi"/>
          <w:bCs/>
        </w:rPr>
      </w:pPr>
      <w:r w:rsidRPr="00A67F97">
        <w:rPr>
          <w:rFonts w:eastAsia="Trade Gothic LT Com" w:cstheme="minorHAnsi"/>
          <w:bCs/>
        </w:rPr>
        <w:t xml:space="preserve">Practical Action firmly believes that no person, regardless of age, gender identity, disability, sexual orientation or ethnic origin or any other personal characteristic, should experience harm, including sexual exploitation or abuse, and Practical Action takes seriously its responsibility to safeguard those who </w:t>
      </w:r>
      <w:proofErr w:type="gramStart"/>
      <w:r w:rsidRPr="00A67F97">
        <w:rPr>
          <w:rFonts w:eastAsia="Trade Gothic LT Com" w:cstheme="minorHAnsi"/>
          <w:bCs/>
        </w:rPr>
        <w:t>come in contact with</w:t>
      </w:r>
      <w:proofErr w:type="gramEnd"/>
      <w:r w:rsidRPr="00A67F97">
        <w:rPr>
          <w:rFonts w:eastAsia="Trade Gothic LT Com" w:cstheme="minorHAnsi"/>
          <w:bCs/>
        </w:rPr>
        <w:t xml:space="preserve"> our work.</w:t>
      </w:r>
      <w:r w:rsidRPr="00A67F97">
        <w:rPr>
          <w:rFonts w:ascii="Times New Roman" w:eastAsia="Trade Gothic LT Com" w:hAnsi="Times New Roman" w:cs="Times New Roman"/>
          <w:bCs/>
        </w:rPr>
        <w:t> </w:t>
      </w:r>
      <w:r w:rsidRPr="00A67F97">
        <w:rPr>
          <w:rFonts w:eastAsia="Trade Gothic LT Com" w:cstheme="minorHAnsi"/>
          <w:bCs/>
        </w:rPr>
        <w:t xml:space="preserve"> Practical Action is committed to raising awareness of safeguarding risks and to taking measures to </w:t>
      </w:r>
      <w:proofErr w:type="spellStart"/>
      <w:r w:rsidRPr="00A67F97">
        <w:rPr>
          <w:rFonts w:eastAsia="Trade Gothic LT Com" w:cstheme="minorHAnsi"/>
          <w:bCs/>
        </w:rPr>
        <w:t>minimise</w:t>
      </w:r>
      <w:proofErr w:type="spellEnd"/>
      <w:r w:rsidRPr="00A67F97">
        <w:rPr>
          <w:rFonts w:eastAsia="Trade Gothic LT Com" w:cstheme="minorHAnsi"/>
          <w:bCs/>
        </w:rPr>
        <w:t xml:space="preserve"> those risks.</w:t>
      </w:r>
    </w:p>
    <w:p w14:paraId="095E8D98" w14:textId="77777777" w:rsidR="00CD512A" w:rsidRPr="00A67F97" w:rsidRDefault="00CD512A" w:rsidP="00CD512A">
      <w:pPr>
        <w:keepLines/>
        <w:spacing w:before="120" w:after="120" w:line="240" w:lineRule="auto"/>
        <w:jc w:val="both"/>
        <w:rPr>
          <w:rFonts w:eastAsia="Trade Gothic LT Com" w:cstheme="minorHAnsi"/>
          <w:bCs/>
        </w:rPr>
      </w:pPr>
      <w:r w:rsidRPr="00A67F97">
        <w:rPr>
          <w:rFonts w:eastAsia="Trade Gothic LT Com" w:cstheme="minorHAnsi"/>
          <w:bCs/>
        </w:rPr>
        <w:t>All employees, trustees, volunteers, consultants, partners and others acting on behalf of Practical Action are expected to behave in ways that safeguard others from harm, sexual exploitation and abuse.</w:t>
      </w:r>
      <w:r w:rsidRPr="00A67F97">
        <w:rPr>
          <w:rFonts w:ascii="Times New Roman" w:eastAsia="Trade Gothic LT Com" w:hAnsi="Times New Roman" w:cs="Times New Roman"/>
          <w:bCs/>
        </w:rPr>
        <w:t> </w:t>
      </w:r>
      <w:r w:rsidRPr="00A67F97">
        <w:rPr>
          <w:rFonts w:eastAsia="Trade Gothic LT Com" w:cstheme="minorHAnsi"/>
          <w:bCs/>
        </w:rPr>
        <w:t xml:space="preserve"> This includes evaluation consultants and their team members.</w:t>
      </w:r>
    </w:p>
    <w:p w14:paraId="0B6AC47B" w14:textId="77777777" w:rsidR="00CD512A" w:rsidRPr="00A67F97" w:rsidRDefault="00CD512A" w:rsidP="00CD512A">
      <w:pPr>
        <w:keepLines/>
        <w:spacing w:before="120" w:after="120" w:line="240" w:lineRule="auto"/>
        <w:jc w:val="both"/>
        <w:rPr>
          <w:rFonts w:eastAsia="Trade Gothic LT Com" w:cstheme="minorHAnsi"/>
          <w:bCs/>
        </w:rPr>
      </w:pPr>
      <w:r w:rsidRPr="00A67F97">
        <w:rPr>
          <w:rFonts w:eastAsia="Trade Gothic LT Com" w:cstheme="minorHAnsi"/>
          <w:bCs/>
        </w:rPr>
        <w:t>If anyone acting on behalf of Practical Action, including evaluation consultants and their team members, develops concerns or suspicions regarding harm, sexual exploitation or abuse by a Practical Action employee or anyone acting on our behalf they must report their concerns via the established reporting procedures.</w:t>
      </w:r>
      <w:r w:rsidRPr="00A67F97">
        <w:rPr>
          <w:rFonts w:ascii="Times New Roman" w:eastAsia="Trade Gothic LT Com" w:hAnsi="Times New Roman" w:cs="Times New Roman"/>
          <w:bCs/>
        </w:rPr>
        <w:t> </w:t>
      </w:r>
      <w:r w:rsidRPr="00A67F97">
        <w:rPr>
          <w:rFonts w:eastAsia="Trade Gothic LT Com" w:cstheme="minorHAnsi"/>
          <w:bCs/>
        </w:rPr>
        <w:t xml:space="preserve"> Individuals do not need to have, nor should they seek to obtain, evidence to support their concerns </w:t>
      </w:r>
      <w:r w:rsidRPr="00A67F97">
        <w:rPr>
          <w:rFonts w:eastAsia="Trade Gothic LT Com" w:cs="Georgia"/>
          <w:bCs/>
        </w:rPr>
        <w:t>–</w:t>
      </w:r>
      <w:r w:rsidRPr="00A67F97">
        <w:rPr>
          <w:rFonts w:eastAsia="Trade Gothic LT Com" w:cstheme="minorHAnsi"/>
          <w:bCs/>
        </w:rPr>
        <w:t xml:space="preserve"> the individual</w:t>
      </w:r>
      <w:r w:rsidRPr="00A67F97">
        <w:rPr>
          <w:rFonts w:eastAsia="Trade Gothic LT Com" w:cs="Georgia"/>
          <w:bCs/>
        </w:rPr>
        <w:t>’</w:t>
      </w:r>
      <w:r w:rsidRPr="00A67F97">
        <w:rPr>
          <w:rFonts w:eastAsia="Trade Gothic LT Com" w:cstheme="minorHAnsi"/>
          <w:bCs/>
        </w:rPr>
        <w:t>s duty is to report their concerns so that Practical Action can investigate appropriately.</w:t>
      </w:r>
    </w:p>
    <w:p w14:paraId="1A00685F" w14:textId="77777777" w:rsidR="00CD512A" w:rsidRPr="00A67F97" w:rsidRDefault="00CD512A" w:rsidP="00CD512A">
      <w:pPr>
        <w:keepLines/>
        <w:spacing w:before="120" w:after="120" w:line="240" w:lineRule="auto"/>
        <w:jc w:val="both"/>
        <w:rPr>
          <w:rFonts w:eastAsia="Trade Gothic LT Com" w:cstheme="minorHAnsi"/>
          <w:bCs/>
        </w:rPr>
      </w:pPr>
      <w:r w:rsidRPr="00A67F97">
        <w:rPr>
          <w:rFonts w:eastAsia="Trade Gothic LT Com" w:cstheme="minorHAnsi"/>
          <w:bCs/>
        </w:rPr>
        <w:t xml:space="preserve">Practical Action’s Safeguarding Policy is available online </w:t>
      </w:r>
      <w:hyperlink r:id="rId9" w:history="1">
        <w:r w:rsidRPr="00A67F97">
          <w:rPr>
            <w:rStyle w:val="Hyperlink"/>
            <w:rFonts w:eastAsia="Trade Gothic LT Com" w:cstheme="minorHAnsi"/>
            <w:bCs/>
            <w:color w:val="auto"/>
          </w:rPr>
          <w:t>here</w:t>
        </w:r>
      </w:hyperlink>
      <w:r w:rsidRPr="00A67F97">
        <w:rPr>
          <w:rFonts w:eastAsia="Trade Gothic LT Com" w:cstheme="minorHAnsi"/>
          <w:bCs/>
        </w:rPr>
        <w:t>.</w:t>
      </w:r>
      <w:r w:rsidRPr="00A67F97">
        <w:rPr>
          <w:rFonts w:ascii="Times New Roman" w:eastAsia="Trade Gothic LT Com" w:hAnsi="Times New Roman" w:cs="Times New Roman"/>
          <w:bCs/>
        </w:rPr>
        <w:t> </w:t>
      </w:r>
      <w:r w:rsidRPr="00A67F97">
        <w:rPr>
          <w:rFonts w:eastAsia="Trade Gothic LT Com" w:cstheme="minorHAnsi"/>
          <w:bCs/>
        </w:rPr>
        <w:t xml:space="preserve"> All consultants and their team members acting on behalf of Practical Action are required to </w:t>
      </w:r>
      <w:proofErr w:type="spellStart"/>
      <w:r w:rsidRPr="00A67F97">
        <w:rPr>
          <w:rFonts w:eastAsia="Trade Gothic LT Com" w:cstheme="minorHAnsi"/>
          <w:bCs/>
        </w:rPr>
        <w:t>familiarise</w:t>
      </w:r>
      <w:proofErr w:type="spellEnd"/>
      <w:r w:rsidRPr="00A67F97">
        <w:rPr>
          <w:rFonts w:eastAsia="Trade Gothic LT Com" w:cstheme="minorHAnsi"/>
          <w:bCs/>
        </w:rPr>
        <w:t xml:space="preserve"> themselves with this policy and print and sign the policy declaration form at the end.</w:t>
      </w:r>
      <w:r w:rsidRPr="00A67F97">
        <w:rPr>
          <w:rFonts w:ascii="Times New Roman" w:eastAsia="Trade Gothic LT Com" w:hAnsi="Times New Roman" w:cs="Times New Roman"/>
          <w:bCs/>
        </w:rPr>
        <w:t> </w:t>
      </w:r>
      <w:r w:rsidRPr="00A67F97">
        <w:rPr>
          <w:rFonts w:eastAsia="Trade Gothic LT Com" w:cstheme="minorHAnsi"/>
          <w:bCs/>
        </w:rPr>
        <w:t xml:space="preserve"> This must be returned to Practical Action before commencing any work on this assignment.</w:t>
      </w:r>
    </w:p>
    <w:p w14:paraId="1CB0B525" w14:textId="77777777" w:rsidR="00CD512A" w:rsidRPr="00A67F97" w:rsidRDefault="00CD512A" w:rsidP="00CD512A">
      <w:pPr>
        <w:keepLines/>
        <w:spacing w:before="120" w:after="120" w:line="240" w:lineRule="auto"/>
        <w:jc w:val="both"/>
        <w:rPr>
          <w:rFonts w:eastAsia="Trade Gothic LT Com" w:cstheme="minorHAnsi"/>
          <w:bCs/>
        </w:rPr>
      </w:pPr>
      <w:r w:rsidRPr="00A67F97">
        <w:rPr>
          <w:rFonts w:eastAsia="Trade Gothic LT Com" w:cstheme="minorHAnsi"/>
          <w:bCs/>
        </w:rPr>
        <w:t>Practical Action also has a Code of Conduct.</w:t>
      </w:r>
      <w:r w:rsidRPr="00A67F97">
        <w:rPr>
          <w:rFonts w:ascii="Times New Roman" w:eastAsia="Trade Gothic LT Com" w:hAnsi="Times New Roman" w:cs="Times New Roman"/>
          <w:bCs/>
        </w:rPr>
        <w:t> </w:t>
      </w:r>
      <w:r w:rsidRPr="00A67F97">
        <w:rPr>
          <w:rFonts w:eastAsia="Trade Gothic LT Com" w:cstheme="minorHAnsi"/>
          <w:bCs/>
        </w:rPr>
        <w:t xml:space="preserve"> All consultants and their team members are expected to read, print, sign and return this before commencing any work on this assignment, available </w:t>
      </w:r>
      <w:hyperlink r:id="rId10" w:history="1">
        <w:r w:rsidRPr="00A67F97">
          <w:rPr>
            <w:rStyle w:val="Hyperlink"/>
            <w:rFonts w:eastAsia="Trade Gothic LT Com" w:cstheme="minorHAnsi"/>
            <w:bCs/>
            <w:color w:val="auto"/>
          </w:rPr>
          <w:t>here</w:t>
        </w:r>
      </w:hyperlink>
      <w:r w:rsidRPr="00A67F97">
        <w:rPr>
          <w:rFonts w:eastAsia="Trade Gothic LT Com" w:cstheme="minorHAnsi"/>
          <w:bCs/>
        </w:rPr>
        <w:t>.</w:t>
      </w:r>
    </w:p>
    <w:p w14:paraId="4221FB7F" w14:textId="77777777" w:rsidR="00CD512A" w:rsidRPr="00A67F97" w:rsidRDefault="00CD512A" w:rsidP="00CD512A">
      <w:pPr>
        <w:keepLines/>
        <w:spacing w:before="120" w:after="120" w:line="240" w:lineRule="auto"/>
        <w:jc w:val="both"/>
        <w:rPr>
          <w:rFonts w:eastAsia="Trade Gothic LT Com" w:cstheme="minorHAnsi"/>
          <w:bCs/>
        </w:rPr>
      </w:pPr>
      <w:r w:rsidRPr="00A67F97">
        <w:rPr>
          <w:rFonts w:eastAsia="Trade Gothic LT Com" w:cstheme="minorHAnsi"/>
          <w:bCs/>
        </w:rPr>
        <w:t>Practical Action’s Safeguarding Focal Points are available to answer any questions about this policy, the Code of Conduct and their contents.</w:t>
      </w:r>
      <w:r w:rsidRPr="00A67F97">
        <w:rPr>
          <w:rFonts w:ascii="Times New Roman" w:eastAsia="Trade Gothic LT Com" w:hAnsi="Times New Roman" w:cs="Times New Roman"/>
          <w:bCs/>
        </w:rPr>
        <w:t> </w:t>
      </w:r>
      <w:r w:rsidRPr="00A67F97">
        <w:rPr>
          <w:rFonts w:eastAsia="Trade Gothic LT Com" w:cstheme="minorHAnsi"/>
          <w:bCs/>
        </w:rPr>
        <w:t xml:space="preserve"> They are also available to support with briefing of consultancy team members as required prior to commencing field work.</w:t>
      </w:r>
    </w:p>
    <w:p w14:paraId="2F79B04D" w14:textId="77777777" w:rsidR="00751F6A" w:rsidRPr="00A67F97" w:rsidRDefault="00751F6A" w:rsidP="00940B27">
      <w:pPr>
        <w:spacing w:before="60" w:after="120" w:line="276" w:lineRule="auto"/>
        <w:textAlignment w:val="baseline"/>
        <w:rPr>
          <w:rFonts w:eastAsia="Times New Roman" w:cs="Segoe UI"/>
          <w:sz w:val="24"/>
          <w:szCs w:val="24"/>
        </w:rPr>
      </w:pPr>
    </w:p>
    <w:p w14:paraId="2E741944" w14:textId="77777777" w:rsidR="00DA629B" w:rsidRPr="00A67F97" w:rsidRDefault="00DA629B" w:rsidP="00874C99">
      <w:pPr>
        <w:spacing w:before="60" w:after="120"/>
        <w:rPr>
          <w:rFonts w:cs="Calibri"/>
          <w:sz w:val="24"/>
          <w:szCs w:val="24"/>
        </w:rPr>
      </w:pPr>
    </w:p>
    <w:p w14:paraId="4C3318A8" w14:textId="77777777" w:rsidR="00652640" w:rsidRPr="00A67F97" w:rsidRDefault="00652640"/>
    <w:sectPr w:rsidR="00652640" w:rsidRPr="00A67F97" w:rsidSect="00CD36A4">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Impact">
    <w:panose1 w:val="020B0806030902050204"/>
    <w:charset w:val="00"/>
    <w:family w:val="swiss"/>
    <w:pitch w:val="variable"/>
    <w:sig w:usb0="00000287" w:usb1="00000000" w:usb2="00000000" w:usb3="00000000" w:csb0="0000009F" w:csb1="00000000"/>
  </w:font>
  <w:font w:name="Trade Gothic LT Com">
    <w:altName w:val="Arial"/>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4524D"/>
    <w:multiLevelType w:val="multilevel"/>
    <w:tmpl w:val="48BA57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FE6E15"/>
    <w:multiLevelType w:val="multilevel"/>
    <w:tmpl w:val="D9622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18172C"/>
    <w:multiLevelType w:val="multilevel"/>
    <w:tmpl w:val="73A63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936256"/>
    <w:multiLevelType w:val="hybridMultilevel"/>
    <w:tmpl w:val="31EA6926"/>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350" w:hanging="360"/>
      </w:pPr>
      <w:rPr>
        <w:rFonts w:ascii="Courier New" w:hAnsi="Courier New" w:cs="Courier New" w:hint="default"/>
      </w:rPr>
    </w:lvl>
    <w:lvl w:ilvl="2" w:tplc="FFFFFFFF" w:tentative="1">
      <w:start w:val="1"/>
      <w:numFmt w:val="bullet"/>
      <w:lvlText w:val=""/>
      <w:lvlJc w:val="left"/>
      <w:pPr>
        <w:ind w:left="2070" w:hanging="360"/>
      </w:pPr>
      <w:rPr>
        <w:rFonts w:ascii="Wingdings" w:hAnsi="Wingdings" w:hint="default"/>
      </w:rPr>
    </w:lvl>
    <w:lvl w:ilvl="3" w:tplc="FFFFFFFF" w:tentative="1">
      <w:start w:val="1"/>
      <w:numFmt w:val="bullet"/>
      <w:lvlText w:val=""/>
      <w:lvlJc w:val="left"/>
      <w:pPr>
        <w:ind w:left="2790" w:hanging="360"/>
      </w:pPr>
      <w:rPr>
        <w:rFonts w:ascii="Symbol" w:hAnsi="Symbol" w:hint="default"/>
      </w:rPr>
    </w:lvl>
    <w:lvl w:ilvl="4" w:tplc="FFFFFFFF" w:tentative="1">
      <w:start w:val="1"/>
      <w:numFmt w:val="bullet"/>
      <w:lvlText w:val="o"/>
      <w:lvlJc w:val="left"/>
      <w:pPr>
        <w:ind w:left="3510" w:hanging="360"/>
      </w:pPr>
      <w:rPr>
        <w:rFonts w:ascii="Courier New" w:hAnsi="Courier New" w:cs="Courier New" w:hint="default"/>
      </w:rPr>
    </w:lvl>
    <w:lvl w:ilvl="5" w:tplc="FFFFFFFF" w:tentative="1">
      <w:start w:val="1"/>
      <w:numFmt w:val="bullet"/>
      <w:lvlText w:val=""/>
      <w:lvlJc w:val="left"/>
      <w:pPr>
        <w:ind w:left="4230" w:hanging="360"/>
      </w:pPr>
      <w:rPr>
        <w:rFonts w:ascii="Wingdings" w:hAnsi="Wingdings" w:hint="default"/>
      </w:rPr>
    </w:lvl>
    <w:lvl w:ilvl="6" w:tplc="FFFFFFFF" w:tentative="1">
      <w:start w:val="1"/>
      <w:numFmt w:val="bullet"/>
      <w:lvlText w:val=""/>
      <w:lvlJc w:val="left"/>
      <w:pPr>
        <w:ind w:left="4950" w:hanging="360"/>
      </w:pPr>
      <w:rPr>
        <w:rFonts w:ascii="Symbol" w:hAnsi="Symbol" w:hint="default"/>
      </w:rPr>
    </w:lvl>
    <w:lvl w:ilvl="7" w:tplc="FFFFFFFF" w:tentative="1">
      <w:start w:val="1"/>
      <w:numFmt w:val="bullet"/>
      <w:lvlText w:val="o"/>
      <w:lvlJc w:val="left"/>
      <w:pPr>
        <w:ind w:left="5670" w:hanging="360"/>
      </w:pPr>
      <w:rPr>
        <w:rFonts w:ascii="Courier New" w:hAnsi="Courier New" w:cs="Courier New" w:hint="default"/>
      </w:rPr>
    </w:lvl>
    <w:lvl w:ilvl="8" w:tplc="FFFFFFFF" w:tentative="1">
      <w:start w:val="1"/>
      <w:numFmt w:val="bullet"/>
      <w:lvlText w:val=""/>
      <w:lvlJc w:val="left"/>
      <w:pPr>
        <w:ind w:left="6390" w:hanging="360"/>
      </w:pPr>
      <w:rPr>
        <w:rFonts w:ascii="Wingdings" w:hAnsi="Wingdings" w:hint="default"/>
      </w:rPr>
    </w:lvl>
  </w:abstractNum>
  <w:abstractNum w:abstractNumId="4" w15:restartNumberingAfterBreak="0">
    <w:nsid w:val="2A4E360E"/>
    <w:multiLevelType w:val="hybridMultilevel"/>
    <w:tmpl w:val="F79E2500"/>
    <w:lvl w:ilvl="0" w:tplc="0809000F">
      <w:start w:val="1"/>
      <w:numFmt w:val="decimal"/>
      <w:lvlText w:val="%1."/>
      <w:lvlJc w:val="left"/>
      <w:pPr>
        <w:ind w:left="720" w:hanging="360"/>
      </w:pPr>
      <w:rPr>
        <w:rFonts w:hint="default"/>
      </w:rPr>
    </w:lvl>
    <w:lvl w:ilvl="1" w:tplc="FFFFFFFF">
      <w:start w:val="1"/>
      <w:numFmt w:val="bullet"/>
      <w:lvlText w:val="o"/>
      <w:lvlJc w:val="left"/>
      <w:pPr>
        <w:ind w:left="1350" w:hanging="360"/>
      </w:pPr>
      <w:rPr>
        <w:rFonts w:ascii="Courier New" w:hAnsi="Courier New" w:cs="Courier New" w:hint="default"/>
      </w:rPr>
    </w:lvl>
    <w:lvl w:ilvl="2" w:tplc="FFFFFFFF" w:tentative="1">
      <w:start w:val="1"/>
      <w:numFmt w:val="bullet"/>
      <w:lvlText w:val=""/>
      <w:lvlJc w:val="left"/>
      <w:pPr>
        <w:ind w:left="2070" w:hanging="360"/>
      </w:pPr>
      <w:rPr>
        <w:rFonts w:ascii="Wingdings" w:hAnsi="Wingdings" w:hint="default"/>
      </w:rPr>
    </w:lvl>
    <w:lvl w:ilvl="3" w:tplc="FFFFFFFF" w:tentative="1">
      <w:start w:val="1"/>
      <w:numFmt w:val="bullet"/>
      <w:lvlText w:val=""/>
      <w:lvlJc w:val="left"/>
      <w:pPr>
        <w:ind w:left="2790" w:hanging="360"/>
      </w:pPr>
      <w:rPr>
        <w:rFonts w:ascii="Symbol" w:hAnsi="Symbol" w:hint="default"/>
      </w:rPr>
    </w:lvl>
    <w:lvl w:ilvl="4" w:tplc="FFFFFFFF" w:tentative="1">
      <w:start w:val="1"/>
      <w:numFmt w:val="bullet"/>
      <w:lvlText w:val="o"/>
      <w:lvlJc w:val="left"/>
      <w:pPr>
        <w:ind w:left="3510" w:hanging="360"/>
      </w:pPr>
      <w:rPr>
        <w:rFonts w:ascii="Courier New" w:hAnsi="Courier New" w:cs="Courier New" w:hint="default"/>
      </w:rPr>
    </w:lvl>
    <w:lvl w:ilvl="5" w:tplc="FFFFFFFF" w:tentative="1">
      <w:start w:val="1"/>
      <w:numFmt w:val="bullet"/>
      <w:lvlText w:val=""/>
      <w:lvlJc w:val="left"/>
      <w:pPr>
        <w:ind w:left="4230" w:hanging="360"/>
      </w:pPr>
      <w:rPr>
        <w:rFonts w:ascii="Wingdings" w:hAnsi="Wingdings" w:hint="default"/>
      </w:rPr>
    </w:lvl>
    <w:lvl w:ilvl="6" w:tplc="FFFFFFFF" w:tentative="1">
      <w:start w:val="1"/>
      <w:numFmt w:val="bullet"/>
      <w:lvlText w:val=""/>
      <w:lvlJc w:val="left"/>
      <w:pPr>
        <w:ind w:left="4950" w:hanging="360"/>
      </w:pPr>
      <w:rPr>
        <w:rFonts w:ascii="Symbol" w:hAnsi="Symbol" w:hint="default"/>
      </w:rPr>
    </w:lvl>
    <w:lvl w:ilvl="7" w:tplc="FFFFFFFF" w:tentative="1">
      <w:start w:val="1"/>
      <w:numFmt w:val="bullet"/>
      <w:lvlText w:val="o"/>
      <w:lvlJc w:val="left"/>
      <w:pPr>
        <w:ind w:left="5670" w:hanging="360"/>
      </w:pPr>
      <w:rPr>
        <w:rFonts w:ascii="Courier New" w:hAnsi="Courier New" w:cs="Courier New" w:hint="default"/>
      </w:rPr>
    </w:lvl>
    <w:lvl w:ilvl="8" w:tplc="FFFFFFFF" w:tentative="1">
      <w:start w:val="1"/>
      <w:numFmt w:val="bullet"/>
      <w:lvlText w:val=""/>
      <w:lvlJc w:val="left"/>
      <w:pPr>
        <w:ind w:left="6390" w:hanging="360"/>
      </w:pPr>
      <w:rPr>
        <w:rFonts w:ascii="Wingdings" w:hAnsi="Wingdings" w:hint="default"/>
      </w:rPr>
    </w:lvl>
  </w:abstractNum>
  <w:abstractNum w:abstractNumId="5" w15:restartNumberingAfterBreak="0">
    <w:nsid w:val="3BF73878"/>
    <w:multiLevelType w:val="hybridMultilevel"/>
    <w:tmpl w:val="1FA67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3570FA"/>
    <w:multiLevelType w:val="hybridMultilevel"/>
    <w:tmpl w:val="BEA081D4"/>
    <w:lvl w:ilvl="0" w:tplc="04090001">
      <w:start w:val="1"/>
      <w:numFmt w:val="bullet"/>
      <w:lvlText w:val=""/>
      <w:lvlJc w:val="left"/>
      <w:pPr>
        <w:ind w:left="720" w:hanging="360"/>
      </w:pPr>
      <w:rPr>
        <w:rFonts w:ascii="Symbol" w:hAnsi="Symbol" w:hint="default"/>
      </w:rPr>
    </w:lvl>
    <w:lvl w:ilvl="1" w:tplc="38128D2C">
      <w:numFmt w:val="bullet"/>
      <w:lvlText w:val="•"/>
      <w:lvlJc w:val="left"/>
      <w:pPr>
        <w:ind w:left="1440" w:hanging="360"/>
      </w:pPr>
      <w:rPr>
        <w:rFonts w:ascii="Georgia" w:eastAsiaTheme="minorHAnsi" w:hAnsi="Georgi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737000"/>
    <w:multiLevelType w:val="hybridMultilevel"/>
    <w:tmpl w:val="5B7E58CC"/>
    <w:lvl w:ilvl="0" w:tplc="C4EE60E0">
      <w:start w:val="1"/>
      <w:numFmt w:val="bullet"/>
      <w:lvlText w:val=""/>
      <w:lvlJc w:val="left"/>
      <w:pPr>
        <w:ind w:left="720" w:hanging="360"/>
      </w:pPr>
      <w:rPr>
        <w:rFonts w:ascii="Symbol" w:hAnsi="Symbol" w:hint="default"/>
      </w:rPr>
    </w:lvl>
    <w:lvl w:ilvl="1" w:tplc="C4EE60E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026C3C"/>
    <w:multiLevelType w:val="multilevel"/>
    <w:tmpl w:val="EB8CE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1A5117"/>
    <w:multiLevelType w:val="multilevel"/>
    <w:tmpl w:val="4606A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4975D2"/>
    <w:multiLevelType w:val="multilevel"/>
    <w:tmpl w:val="7542C7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BA4965"/>
    <w:multiLevelType w:val="multilevel"/>
    <w:tmpl w:val="B588B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3E672A4"/>
    <w:multiLevelType w:val="hybridMultilevel"/>
    <w:tmpl w:val="7AF46B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4ED4472"/>
    <w:multiLevelType w:val="multilevel"/>
    <w:tmpl w:val="11E6E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200845"/>
    <w:multiLevelType w:val="hybridMultilevel"/>
    <w:tmpl w:val="F75E7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DD6277"/>
    <w:multiLevelType w:val="multilevel"/>
    <w:tmpl w:val="8BE45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0397D1E"/>
    <w:multiLevelType w:val="hybridMultilevel"/>
    <w:tmpl w:val="751C4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C77DEC"/>
    <w:multiLevelType w:val="hybridMultilevel"/>
    <w:tmpl w:val="EC643E44"/>
    <w:lvl w:ilvl="0" w:tplc="08090019">
      <w:start w:val="1"/>
      <w:numFmt w:val="lowerLetter"/>
      <w:lvlText w:val="%1."/>
      <w:lvlJc w:val="left"/>
      <w:pPr>
        <w:ind w:left="720" w:hanging="360"/>
      </w:pPr>
      <w:rPr>
        <w:rFonts w:hint="default"/>
      </w:rPr>
    </w:lvl>
    <w:lvl w:ilvl="1" w:tplc="FFFFFFFF">
      <w:start w:val="1"/>
      <w:numFmt w:val="bullet"/>
      <w:lvlText w:val="o"/>
      <w:lvlJc w:val="left"/>
      <w:pPr>
        <w:ind w:left="1350" w:hanging="360"/>
      </w:pPr>
      <w:rPr>
        <w:rFonts w:ascii="Courier New" w:hAnsi="Courier New" w:cs="Courier New" w:hint="default"/>
      </w:rPr>
    </w:lvl>
    <w:lvl w:ilvl="2" w:tplc="FFFFFFFF" w:tentative="1">
      <w:start w:val="1"/>
      <w:numFmt w:val="bullet"/>
      <w:lvlText w:val=""/>
      <w:lvlJc w:val="left"/>
      <w:pPr>
        <w:ind w:left="2070" w:hanging="360"/>
      </w:pPr>
      <w:rPr>
        <w:rFonts w:ascii="Wingdings" w:hAnsi="Wingdings" w:hint="default"/>
      </w:rPr>
    </w:lvl>
    <w:lvl w:ilvl="3" w:tplc="FFFFFFFF" w:tentative="1">
      <w:start w:val="1"/>
      <w:numFmt w:val="bullet"/>
      <w:lvlText w:val=""/>
      <w:lvlJc w:val="left"/>
      <w:pPr>
        <w:ind w:left="2790" w:hanging="360"/>
      </w:pPr>
      <w:rPr>
        <w:rFonts w:ascii="Symbol" w:hAnsi="Symbol" w:hint="default"/>
      </w:rPr>
    </w:lvl>
    <w:lvl w:ilvl="4" w:tplc="FFFFFFFF" w:tentative="1">
      <w:start w:val="1"/>
      <w:numFmt w:val="bullet"/>
      <w:lvlText w:val="o"/>
      <w:lvlJc w:val="left"/>
      <w:pPr>
        <w:ind w:left="3510" w:hanging="360"/>
      </w:pPr>
      <w:rPr>
        <w:rFonts w:ascii="Courier New" w:hAnsi="Courier New" w:cs="Courier New" w:hint="default"/>
      </w:rPr>
    </w:lvl>
    <w:lvl w:ilvl="5" w:tplc="FFFFFFFF" w:tentative="1">
      <w:start w:val="1"/>
      <w:numFmt w:val="bullet"/>
      <w:lvlText w:val=""/>
      <w:lvlJc w:val="left"/>
      <w:pPr>
        <w:ind w:left="4230" w:hanging="360"/>
      </w:pPr>
      <w:rPr>
        <w:rFonts w:ascii="Wingdings" w:hAnsi="Wingdings" w:hint="default"/>
      </w:rPr>
    </w:lvl>
    <w:lvl w:ilvl="6" w:tplc="FFFFFFFF" w:tentative="1">
      <w:start w:val="1"/>
      <w:numFmt w:val="bullet"/>
      <w:lvlText w:val=""/>
      <w:lvlJc w:val="left"/>
      <w:pPr>
        <w:ind w:left="4950" w:hanging="360"/>
      </w:pPr>
      <w:rPr>
        <w:rFonts w:ascii="Symbol" w:hAnsi="Symbol" w:hint="default"/>
      </w:rPr>
    </w:lvl>
    <w:lvl w:ilvl="7" w:tplc="FFFFFFFF" w:tentative="1">
      <w:start w:val="1"/>
      <w:numFmt w:val="bullet"/>
      <w:lvlText w:val="o"/>
      <w:lvlJc w:val="left"/>
      <w:pPr>
        <w:ind w:left="5670" w:hanging="360"/>
      </w:pPr>
      <w:rPr>
        <w:rFonts w:ascii="Courier New" w:hAnsi="Courier New" w:cs="Courier New" w:hint="default"/>
      </w:rPr>
    </w:lvl>
    <w:lvl w:ilvl="8" w:tplc="FFFFFFFF" w:tentative="1">
      <w:start w:val="1"/>
      <w:numFmt w:val="bullet"/>
      <w:lvlText w:val=""/>
      <w:lvlJc w:val="left"/>
      <w:pPr>
        <w:ind w:left="6390" w:hanging="360"/>
      </w:pPr>
      <w:rPr>
        <w:rFonts w:ascii="Wingdings" w:hAnsi="Wingdings" w:hint="default"/>
      </w:rPr>
    </w:lvl>
  </w:abstractNum>
  <w:abstractNum w:abstractNumId="18" w15:restartNumberingAfterBreak="0">
    <w:nsid w:val="7A124E8C"/>
    <w:multiLevelType w:val="multilevel"/>
    <w:tmpl w:val="333CF3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512926">
    <w:abstractNumId w:val="15"/>
  </w:num>
  <w:num w:numId="2" w16cid:durableId="203913234">
    <w:abstractNumId w:val="9"/>
  </w:num>
  <w:num w:numId="3" w16cid:durableId="715664238">
    <w:abstractNumId w:val="2"/>
  </w:num>
  <w:num w:numId="4" w16cid:durableId="1965192406">
    <w:abstractNumId w:val="8"/>
  </w:num>
  <w:num w:numId="5" w16cid:durableId="1652522072">
    <w:abstractNumId w:val="0"/>
  </w:num>
  <w:num w:numId="6" w16cid:durableId="847601222">
    <w:abstractNumId w:val="1"/>
  </w:num>
  <w:num w:numId="7" w16cid:durableId="746459629">
    <w:abstractNumId w:val="18"/>
  </w:num>
  <w:num w:numId="8" w16cid:durableId="1216311208">
    <w:abstractNumId w:val="10"/>
  </w:num>
  <w:num w:numId="9" w16cid:durableId="1446775163">
    <w:abstractNumId w:val="13"/>
  </w:num>
  <w:num w:numId="10" w16cid:durableId="1293832237">
    <w:abstractNumId w:val="11"/>
  </w:num>
  <w:num w:numId="11" w16cid:durableId="1785493290">
    <w:abstractNumId w:val="3"/>
  </w:num>
  <w:num w:numId="12" w16cid:durableId="1265117103">
    <w:abstractNumId w:val="17"/>
  </w:num>
  <w:num w:numId="13" w16cid:durableId="2130933318">
    <w:abstractNumId w:val="4"/>
  </w:num>
  <w:num w:numId="14" w16cid:durableId="1012924484">
    <w:abstractNumId w:val="16"/>
  </w:num>
  <w:num w:numId="15" w16cid:durableId="943070541">
    <w:abstractNumId w:val="5"/>
  </w:num>
  <w:num w:numId="16" w16cid:durableId="651376161">
    <w:abstractNumId w:val="6"/>
  </w:num>
  <w:num w:numId="17" w16cid:durableId="1369990465">
    <w:abstractNumId w:val="7"/>
  </w:num>
  <w:num w:numId="18" w16cid:durableId="590431161">
    <w:abstractNumId w:val="14"/>
  </w:num>
  <w:num w:numId="19" w16cid:durableId="14039852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BA6"/>
    <w:rsid w:val="00025FAC"/>
    <w:rsid w:val="00047D1F"/>
    <w:rsid w:val="00050632"/>
    <w:rsid w:val="00063930"/>
    <w:rsid w:val="00065D92"/>
    <w:rsid w:val="00071FB9"/>
    <w:rsid w:val="0007296B"/>
    <w:rsid w:val="000832C4"/>
    <w:rsid w:val="00090CC7"/>
    <w:rsid w:val="000929E1"/>
    <w:rsid w:val="000A05C7"/>
    <w:rsid w:val="000B052E"/>
    <w:rsid w:val="000C20ED"/>
    <w:rsid w:val="000C268B"/>
    <w:rsid w:val="000C7B06"/>
    <w:rsid w:val="000F4528"/>
    <w:rsid w:val="00110DCE"/>
    <w:rsid w:val="001127A0"/>
    <w:rsid w:val="00124561"/>
    <w:rsid w:val="00130B26"/>
    <w:rsid w:val="00143D95"/>
    <w:rsid w:val="001452FC"/>
    <w:rsid w:val="00151CFD"/>
    <w:rsid w:val="00162E84"/>
    <w:rsid w:val="0017714E"/>
    <w:rsid w:val="001925C3"/>
    <w:rsid w:val="00204E44"/>
    <w:rsid w:val="00212D61"/>
    <w:rsid w:val="00220559"/>
    <w:rsid w:val="00221E5A"/>
    <w:rsid w:val="0024136B"/>
    <w:rsid w:val="002512A6"/>
    <w:rsid w:val="00260CD2"/>
    <w:rsid w:val="00267A55"/>
    <w:rsid w:val="00293A00"/>
    <w:rsid w:val="00296CC3"/>
    <w:rsid w:val="002A5175"/>
    <w:rsid w:val="002A7F10"/>
    <w:rsid w:val="002D2BFA"/>
    <w:rsid w:val="00302442"/>
    <w:rsid w:val="003036C0"/>
    <w:rsid w:val="00305691"/>
    <w:rsid w:val="00306691"/>
    <w:rsid w:val="00306CAF"/>
    <w:rsid w:val="003075D7"/>
    <w:rsid w:val="00312C1C"/>
    <w:rsid w:val="003208AE"/>
    <w:rsid w:val="003245E9"/>
    <w:rsid w:val="003319C7"/>
    <w:rsid w:val="00344CE4"/>
    <w:rsid w:val="00347730"/>
    <w:rsid w:val="00364925"/>
    <w:rsid w:val="00377151"/>
    <w:rsid w:val="003808FE"/>
    <w:rsid w:val="00385927"/>
    <w:rsid w:val="00387927"/>
    <w:rsid w:val="00390907"/>
    <w:rsid w:val="003933F3"/>
    <w:rsid w:val="003A3EE5"/>
    <w:rsid w:val="003B0B7F"/>
    <w:rsid w:val="003B3F1F"/>
    <w:rsid w:val="003C2A31"/>
    <w:rsid w:val="003E1491"/>
    <w:rsid w:val="003E34EA"/>
    <w:rsid w:val="003E7FBD"/>
    <w:rsid w:val="003F1B5C"/>
    <w:rsid w:val="003F3496"/>
    <w:rsid w:val="003F4768"/>
    <w:rsid w:val="003F51FB"/>
    <w:rsid w:val="004138E9"/>
    <w:rsid w:val="004169D6"/>
    <w:rsid w:val="00416D71"/>
    <w:rsid w:val="0043100C"/>
    <w:rsid w:val="00431205"/>
    <w:rsid w:val="0043354A"/>
    <w:rsid w:val="00433ACA"/>
    <w:rsid w:val="00444393"/>
    <w:rsid w:val="004468BE"/>
    <w:rsid w:val="004528F1"/>
    <w:rsid w:val="004552EF"/>
    <w:rsid w:val="00470C2E"/>
    <w:rsid w:val="004816F9"/>
    <w:rsid w:val="00485DDD"/>
    <w:rsid w:val="0048702A"/>
    <w:rsid w:val="00487593"/>
    <w:rsid w:val="004906BF"/>
    <w:rsid w:val="004A121A"/>
    <w:rsid w:val="004A3BA2"/>
    <w:rsid w:val="004A663F"/>
    <w:rsid w:val="004A6684"/>
    <w:rsid w:val="004C6D11"/>
    <w:rsid w:val="004E13A7"/>
    <w:rsid w:val="004E5DAF"/>
    <w:rsid w:val="005100BC"/>
    <w:rsid w:val="0054101F"/>
    <w:rsid w:val="00545CD5"/>
    <w:rsid w:val="00557B0B"/>
    <w:rsid w:val="00571FEB"/>
    <w:rsid w:val="00575A0A"/>
    <w:rsid w:val="005911D5"/>
    <w:rsid w:val="00591D81"/>
    <w:rsid w:val="005A0C20"/>
    <w:rsid w:val="005A0D96"/>
    <w:rsid w:val="005A4A40"/>
    <w:rsid w:val="005B4F7C"/>
    <w:rsid w:val="005C3F8E"/>
    <w:rsid w:val="005E0AF9"/>
    <w:rsid w:val="005E4469"/>
    <w:rsid w:val="005F0D9C"/>
    <w:rsid w:val="006101EA"/>
    <w:rsid w:val="00626DD0"/>
    <w:rsid w:val="00630EE4"/>
    <w:rsid w:val="00634002"/>
    <w:rsid w:val="00652640"/>
    <w:rsid w:val="00660B1E"/>
    <w:rsid w:val="006808BD"/>
    <w:rsid w:val="00680BB8"/>
    <w:rsid w:val="00681799"/>
    <w:rsid w:val="00690B46"/>
    <w:rsid w:val="00693904"/>
    <w:rsid w:val="006B0008"/>
    <w:rsid w:val="006B5E87"/>
    <w:rsid w:val="006C3A21"/>
    <w:rsid w:val="006D2AD8"/>
    <w:rsid w:val="00751F6A"/>
    <w:rsid w:val="007757BF"/>
    <w:rsid w:val="0078321C"/>
    <w:rsid w:val="007A46B8"/>
    <w:rsid w:val="007B145A"/>
    <w:rsid w:val="007B3219"/>
    <w:rsid w:val="007C0A70"/>
    <w:rsid w:val="007E41C2"/>
    <w:rsid w:val="007F2D60"/>
    <w:rsid w:val="007F58C3"/>
    <w:rsid w:val="00833D36"/>
    <w:rsid w:val="0084454A"/>
    <w:rsid w:val="00864EFD"/>
    <w:rsid w:val="00874C99"/>
    <w:rsid w:val="0087733F"/>
    <w:rsid w:val="00887449"/>
    <w:rsid w:val="00893372"/>
    <w:rsid w:val="008A20AE"/>
    <w:rsid w:val="008A36EF"/>
    <w:rsid w:val="008C18A9"/>
    <w:rsid w:val="008C493F"/>
    <w:rsid w:val="008C7ADD"/>
    <w:rsid w:val="008D1730"/>
    <w:rsid w:val="008F1C23"/>
    <w:rsid w:val="008F32BE"/>
    <w:rsid w:val="00913730"/>
    <w:rsid w:val="00913DAA"/>
    <w:rsid w:val="00922A96"/>
    <w:rsid w:val="00936584"/>
    <w:rsid w:val="00940B27"/>
    <w:rsid w:val="009D1DE8"/>
    <w:rsid w:val="009D2A46"/>
    <w:rsid w:val="009D64F1"/>
    <w:rsid w:val="009E2419"/>
    <w:rsid w:val="00A00A3F"/>
    <w:rsid w:val="00A131D8"/>
    <w:rsid w:val="00A2484F"/>
    <w:rsid w:val="00A500EE"/>
    <w:rsid w:val="00A55FB9"/>
    <w:rsid w:val="00A6266D"/>
    <w:rsid w:val="00A631C2"/>
    <w:rsid w:val="00A67F97"/>
    <w:rsid w:val="00AA3CD2"/>
    <w:rsid w:val="00AB6DC7"/>
    <w:rsid w:val="00AC4786"/>
    <w:rsid w:val="00AC7BA6"/>
    <w:rsid w:val="00AE1CE3"/>
    <w:rsid w:val="00AF2569"/>
    <w:rsid w:val="00B004DC"/>
    <w:rsid w:val="00B11232"/>
    <w:rsid w:val="00B11EE9"/>
    <w:rsid w:val="00B31718"/>
    <w:rsid w:val="00B55837"/>
    <w:rsid w:val="00B67F74"/>
    <w:rsid w:val="00B70DF0"/>
    <w:rsid w:val="00B71621"/>
    <w:rsid w:val="00B73906"/>
    <w:rsid w:val="00B82723"/>
    <w:rsid w:val="00B84AEE"/>
    <w:rsid w:val="00BD34A8"/>
    <w:rsid w:val="00BE1475"/>
    <w:rsid w:val="00BF3E62"/>
    <w:rsid w:val="00C03749"/>
    <w:rsid w:val="00C03A9D"/>
    <w:rsid w:val="00C13F53"/>
    <w:rsid w:val="00C14EF6"/>
    <w:rsid w:val="00C151F5"/>
    <w:rsid w:val="00C44675"/>
    <w:rsid w:val="00C71C39"/>
    <w:rsid w:val="00C76B76"/>
    <w:rsid w:val="00C800F7"/>
    <w:rsid w:val="00C82D18"/>
    <w:rsid w:val="00C90315"/>
    <w:rsid w:val="00C926D4"/>
    <w:rsid w:val="00C96AFE"/>
    <w:rsid w:val="00C97BD9"/>
    <w:rsid w:val="00CB03A1"/>
    <w:rsid w:val="00CC7D30"/>
    <w:rsid w:val="00CD36A4"/>
    <w:rsid w:val="00CD512A"/>
    <w:rsid w:val="00CF0CC9"/>
    <w:rsid w:val="00D04C20"/>
    <w:rsid w:val="00D167C8"/>
    <w:rsid w:val="00D23B01"/>
    <w:rsid w:val="00D24F1E"/>
    <w:rsid w:val="00D25E2B"/>
    <w:rsid w:val="00D622E7"/>
    <w:rsid w:val="00D64312"/>
    <w:rsid w:val="00D70A94"/>
    <w:rsid w:val="00D9695E"/>
    <w:rsid w:val="00DA629B"/>
    <w:rsid w:val="00DA6CFB"/>
    <w:rsid w:val="00DB2C04"/>
    <w:rsid w:val="00DC05E6"/>
    <w:rsid w:val="00DC7A98"/>
    <w:rsid w:val="00DD7F37"/>
    <w:rsid w:val="00E0041B"/>
    <w:rsid w:val="00E16499"/>
    <w:rsid w:val="00E2411B"/>
    <w:rsid w:val="00E25BF8"/>
    <w:rsid w:val="00E33A12"/>
    <w:rsid w:val="00E428AB"/>
    <w:rsid w:val="00E5558D"/>
    <w:rsid w:val="00E65707"/>
    <w:rsid w:val="00E66EBC"/>
    <w:rsid w:val="00E864B8"/>
    <w:rsid w:val="00E91BD0"/>
    <w:rsid w:val="00E929AA"/>
    <w:rsid w:val="00EA2526"/>
    <w:rsid w:val="00ED2749"/>
    <w:rsid w:val="00ED3693"/>
    <w:rsid w:val="00ED561E"/>
    <w:rsid w:val="00ED7FBD"/>
    <w:rsid w:val="00EF25FE"/>
    <w:rsid w:val="00F07CE3"/>
    <w:rsid w:val="00F20A91"/>
    <w:rsid w:val="00F22EAB"/>
    <w:rsid w:val="00F31E59"/>
    <w:rsid w:val="00F4514A"/>
    <w:rsid w:val="00F50C6B"/>
    <w:rsid w:val="00F83A2A"/>
    <w:rsid w:val="00F93E58"/>
    <w:rsid w:val="00F96613"/>
    <w:rsid w:val="00FA616C"/>
    <w:rsid w:val="00FA7D23"/>
    <w:rsid w:val="00FB5A62"/>
    <w:rsid w:val="00FE3544"/>
    <w:rsid w:val="00FF4465"/>
    <w:rsid w:val="0171205E"/>
    <w:rsid w:val="01C908B9"/>
    <w:rsid w:val="02669227"/>
    <w:rsid w:val="028D953D"/>
    <w:rsid w:val="02E07336"/>
    <w:rsid w:val="031DD30C"/>
    <w:rsid w:val="034A7650"/>
    <w:rsid w:val="038326F4"/>
    <w:rsid w:val="03C36D68"/>
    <w:rsid w:val="045B502C"/>
    <w:rsid w:val="05296F05"/>
    <w:rsid w:val="07164531"/>
    <w:rsid w:val="0845F3CD"/>
    <w:rsid w:val="08BEBE9E"/>
    <w:rsid w:val="08F169DF"/>
    <w:rsid w:val="08F4E7B0"/>
    <w:rsid w:val="0B17D817"/>
    <w:rsid w:val="0BE9C845"/>
    <w:rsid w:val="0CE7177A"/>
    <w:rsid w:val="0CFD0884"/>
    <w:rsid w:val="0DE46E7B"/>
    <w:rsid w:val="0E6651B2"/>
    <w:rsid w:val="0EC87633"/>
    <w:rsid w:val="0EF81366"/>
    <w:rsid w:val="0F91A72B"/>
    <w:rsid w:val="100A2A4C"/>
    <w:rsid w:val="109652D6"/>
    <w:rsid w:val="119BA4D8"/>
    <w:rsid w:val="11F8458A"/>
    <w:rsid w:val="127E2E18"/>
    <w:rsid w:val="1287F460"/>
    <w:rsid w:val="12B246A0"/>
    <w:rsid w:val="12BE0138"/>
    <w:rsid w:val="12C826DC"/>
    <w:rsid w:val="13FB35DA"/>
    <w:rsid w:val="140F8EDE"/>
    <w:rsid w:val="14551780"/>
    <w:rsid w:val="14C9B137"/>
    <w:rsid w:val="1572B1D8"/>
    <w:rsid w:val="15DFE5B6"/>
    <w:rsid w:val="1755EF1F"/>
    <w:rsid w:val="177EAD36"/>
    <w:rsid w:val="18716B1E"/>
    <w:rsid w:val="19315EC8"/>
    <w:rsid w:val="19DAFCBD"/>
    <w:rsid w:val="1A8B0981"/>
    <w:rsid w:val="1B317581"/>
    <w:rsid w:val="1C107E37"/>
    <w:rsid w:val="1DAB5562"/>
    <w:rsid w:val="1DE3959C"/>
    <w:rsid w:val="1ED4D4A6"/>
    <w:rsid w:val="1EDE355D"/>
    <w:rsid w:val="1EDF9BCD"/>
    <w:rsid w:val="1F6D9CFF"/>
    <w:rsid w:val="1FC7207B"/>
    <w:rsid w:val="20DC1340"/>
    <w:rsid w:val="217D4BAC"/>
    <w:rsid w:val="22707DBF"/>
    <w:rsid w:val="231DCA49"/>
    <w:rsid w:val="23D049C1"/>
    <w:rsid w:val="24974018"/>
    <w:rsid w:val="24DE17C1"/>
    <w:rsid w:val="27BF8C27"/>
    <w:rsid w:val="28006607"/>
    <w:rsid w:val="284DD15F"/>
    <w:rsid w:val="29898476"/>
    <w:rsid w:val="29AD617F"/>
    <w:rsid w:val="2A1562FE"/>
    <w:rsid w:val="2B205BD9"/>
    <w:rsid w:val="2C812AD3"/>
    <w:rsid w:val="2D24876F"/>
    <w:rsid w:val="2D2E9594"/>
    <w:rsid w:val="2DD23653"/>
    <w:rsid w:val="2DFE1C25"/>
    <w:rsid w:val="2EA2A9F2"/>
    <w:rsid w:val="2EE530DF"/>
    <w:rsid w:val="30A22F64"/>
    <w:rsid w:val="30B495B9"/>
    <w:rsid w:val="30C5E017"/>
    <w:rsid w:val="31348C8E"/>
    <w:rsid w:val="319B7164"/>
    <w:rsid w:val="31CC007E"/>
    <w:rsid w:val="320EB28A"/>
    <w:rsid w:val="3252873F"/>
    <w:rsid w:val="364F0B3F"/>
    <w:rsid w:val="36BDBC04"/>
    <w:rsid w:val="37DF226C"/>
    <w:rsid w:val="3897BE71"/>
    <w:rsid w:val="39185DCE"/>
    <w:rsid w:val="3A210B4E"/>
    <w:rsid w:val="3ACBEE80"/>
    <w:rsid w:val="3B0DE8ED"/>
    <w:rsid w:val="3B50A50A"/>
    <w:rsid w:val="3B849FC6"/>
    <w:rsid w:val="3B91E485"/>
    <w:rsid w:val="3B9EED2D"/>
    <w:rsid w:val="3C626970"/>
    <w:rsid w:val="3C7F5449"/>
    <w:rsid w:val="3D63A996"/>
    <w:rsid w:val="3DD7656A"/>
    <w:rsid w:val="3E41437D"/>
    <w:rsid w:val="3F06A133"/>
    <w:rsid w:val="4000916F"/>
    <w:rsid w:val="401BBA41"/>
    <w:rsid w:val="403D1099"/>
    <w:rsid w:val="4263A30B"/>
    <w:rsid w:val="4335C0E9"/>
    <w:rsid w:val="4365F1AF"/>
    <w:rsid w:val="43F78E33"/>
    <w:rsid w:val="440804A4"/>
    <w:rsid w:val="44FFD76E"/>
    <w:rsid w:val="45469569"/>
    <w:rsid w:val="456CE2D9"/>
    <w:rsid w:val="48A11571"/>
    <w:rsid w:val="4A4EB432"/>
    <w:rsid w:val="4A72C8E1"/>
    <w:rsid w:val="4B11D437"/>
    <w:rsid w:val="4B527090"/>
    <w:rsid w:val="4BEFDC3A"/>
    <w:rsid w:val="4C345CD0"/>
    <w:rsid w:val="4D894020"/>
    <w:rsid w:val="4E855C4A"/>
    <w:rsid w:val="4EC772DB"/>
    <w:rsid w:val="4EDD0903"/>
    <w:rsid w:val="4EFAAFDB"/>
    <w:rsid w:val="50012582"/>
    <w:rsid w:val="50B7EC70"/>
    <w:rsid w:val="51BF736F"/>
    <w:rsid w:val="51C1CD0E"/>
    <w:rsid w:val="526FC8A2"/>
    <w:rsid w:val="52D10767"/>
    <w:rsid w:val="530C18F5"/>
    <w:rsid w:val="537461CE"/>
    <w:rsid w:val="53786722"/>
    <w:rsid w:val="53CDCFBC"/>
    <w:rsid w:val="54AC139C"/>
    <w:rsid w:val="54BA1EA6"/>
    <w:rsid w:val="55D97D7F"/>
    <w:rsid w:val="56ABBEB4"/>
    <w:rsid w:val="56AE3469"/>
    <w:rsid w:val="576264C1"/>
    <w:rsid w:val="5775D9E0"/>
    <w:rsid w:val="5811DB86"/>
    <w:rsid w:val="585FB63B"/>
    <w:rsid w:val="59208051"/>
    <w:rsid w:val="59FBF879"/>
    <w:rsid w:val="5A8EABCB"/>
    <w:rsid w:val="5AF7062D"/>
    <w:rsid w:val="5BEEDACF"/>
    <w:rsid w:val="5C411135"/>
    <w:rsid w:val="5D6B9672"/>
    <w:rsid w:val="5D9ECE6D"/>
    <w:rsid w:val="5DEF8F07"/>
    <w:rsid w:val="5E4459A6"/>
    <w:rsid w:val="5E7C6E37"/>
    <w:rsid w:val="5F4B26F7"/>
    <w:rsid w:val="5F91A48A"/>
    <w:rsid w:val="5F9FBB23"/>
    <w:rsid w:val="601E782F"/>
    <w:rsid w:val="60870F32"/>
    <w:rsid w:val="61E64BB5"/>
    <w:rsid w:val="6233BF68"/>
    <w:rsid w:val="62FCD848"/>
    <w:rsid w:val="64C53D16"/>
    <w:rsid w:val="64D71439"/>
    <w:rsid w:val="653CBD22"/>
    <w:rsid w:val="66B6260C"/>
    <w:rsid w:val="670C42B6"/>
    <w:rsid w:val="676A118D"/>
    <w:rsid w:val="67B3695F"/>
    <w:rsid w:val="686DA7F2"/>
    <w:rsid w:val="68E3552D"/>
    <w:rsid w:val="69167CF7"/>
    <w:rsid w:val="69F84CCF"/>
    <w:rsid w:val="6A29B512"/>
    <w:rsid w:val="6A8A4013"/>
    <w:rsid w:val="6AD0A0B0"/>
    <w:rsid w:val="6B17839D"/>
    <w:rsid w:val="6DA38616"/>
    <w:rsid w:val="6DC4DA8E"/>
    <w:rsid w:val="6DCA98D5"/>
    <w:rsid w:val="6DE2672D"/>
    <w:rsid w:val="6E1305C2"/>
    <w:rsid w:val="6E1424AB"/>
    <w:rsid w:val="6FBF03F6"/>
    <w:rsid w:val="700C196E"/>
    <w:rsid w:val="703CBE92"/>
    <w:rsid w:val="70D0CC3F"/>
    <w:rsid w:val="717F3A0E"/>
    <w:rsid w:val="7199D228"/>
    <w:rsid w:val="71B744BE"/>
    <w:rsid w:val="71F505FC"/>
    <w:rsid w:val="721D338F"/>
    <w:rsid w:val="72D7CA76"/>
    <w:rsid w:val="72FD0379"/>
    <w:rsid w:val="7301899C"/>
    <w:rsid w:val="73A39A8D"/>
    <w:rsid w:val="73C72BB7"/>
    <w:rsid w:val="73C72D72"/>
    <w:rsid w:val="73C9FC2F"/>
    <w:rsid w:val="74077966"/>
    <w:rsid w:val="7488635F"/>
    <w:rsid w:val="7509CD3B"/>
    <w:rsid w:val="760808E3"/>
    <w:rsid w:val="76326FF3"/>
    <w:rsid w:val="76BC4E5B"/>
    <w:rsid w:val="77003E52"/>
    <w:rsid w:val="77198BF8"/>
    <w:rsid w:val="77B1E296"/>
    <w:rsid w:val="78E79C90"/>
    <w:rsid w:val="79421EBC"/>
    <w:rsid w:val="7AC32E93"/>
    <w:rsid w:val="7B2F5E76"/>
    <w:rsid w:val="7BF9524A"/>
    <w:rsid w:val="7C228CB4"/>
    <w:rsid w:val="7C5B4303"/>
    <w:rsid w:val="7C6E0D38"/>
    <w:rsid w:val="7C947114"/>
    <w:rsid w:val="7CC338AC"/>
    <w:rsid w:val="7D2E2693"/>
    <w:rsid w:val="7D6F57E4"/>
    <w:rsid w:val="7E959774"/>
    <w:rsid w:val="7EE96F6D"/>
    <w:rsid w:val="7F668124"/>
    <w:rsid w:val="7FA7E51D"/>
    <w:rsid w:val="7FDC08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8D5AFA"/>
  <w15:chartTrackingRefBased/>
  <w15:docId w15:val="{A822AEF7-74F3-477C-A22B-EBCE3B3DC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7B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7B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7BA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7BA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C7BA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C7BA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C7BA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C7BA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C7BA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7B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7B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7BA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7BA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C7BA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C7BA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C7BA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C7BA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C7BA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C7B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7B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7BA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7BA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C7BA6"/>
    <w:pPr>
      <w:spacing w:before="160"/>
      <w:jc w:val="center"/>
    </w:pPr>
    <w:rPr>
      <w:i/>
      <w:iCs/>
      <w:color w:val="404040" w:themeColor="text1" w:themeTint="BF"/>
    </w:rPr>
  </w:style>
  <w:style w:type="character" w:customStyle="1" w:styleId="QuoteChar">
    <w:name w:val="Quote Char"/>
    <w:basedOn w:val="DefaultParagraphFont"/>
    <w:link w:val="Quote"/>
    <w:uiPriority w:val="29"/>
    <w:rsid w:val="00AC7BA6"/>
    <w:rPr>
      <w:i/>
      <w:iCs/>
      <w:color w:val="404040" w:themeColor="text1" w:themeTint="BF"/>
    </w:rPr>
  </w:style>
  <w:style w:type="paragraph" w:styleId="ListParagraph">
    <w:name w:val="List Paragraph"/>
    <w:aliases w:val="Citation List,Resume Title,List Paragraph (numbered (a)),Heading 41,Ha,List Paragraph1,Normal 2,Main numbered paragraph,Dot pt,F5 List Paragraph,No Spacing1,List Paragraph Char Char Char,Indicator Text,Numbered Para 1,Bullet 1,Bullets"/>
    <w:basedOn w:val="Normal"/>
    <w:link w:val="ListParagraphChar"/>
    <w:uiPriority w:val="34"/>
    <w:qFormat/>
    <w:rsid w:val="00AC7BA6"/>
    <w:pPr>
      <w:ind w:left="720"/>
      <w:contextualSpacing/>
    </w:pPr>
  </w:style>
  <w:style w:type="character" w:styleId="IntenseEmphasis">
    <w:name w:val="Intense Emphasis"/>
    <w:basedOn w:val="DefaultParagraphFont"/>
    <w:uiPriority w:val="21"/>
    <w:qFormat/>
    <w:rsid w:val="00AC7BA6"/>
    <w:rPr>
      <w:i/>
      <w:iCs/>
      <w:color w:val="0F4761" w:themeColor="accent1" w:themeShade="BF"/>
    </w:rPr>
  </w:style>
  <w:style w:type="paragraph" w:styleId="IntenseQuote">
    <w:name w:val="Intense Quote"/>
    <w:basedOn w:val="Normal"/>
    <w:next w:val="Normal"/>
    <w:link w:val="IntenseQuoteChar"/>
    <w:uiPriority w:val="30"/>
    <w:qFormat/>
    <w:rsid w:val="00AC7B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7BA6"/>
    <w:rPr>
      <w:i/>
      <w:iCs/>
      <w:color w:val="0F4761" w:themeColor="accent1" w:themeShade="BF"/>
    </w:rPr>
  </w:style>
  <w:style w:type="character" w:styleId="IntenseReference">
    <w:name w:val="Intense Reference"/>
    <w:basedOn w:val="DefaultParagraphFont"/>
    <w:uiPriority w:val="32"/>
    <w:qFormat/>
    <w:rsid w:val="00AC7BA6"/>
    <w:rPr>
      <w:b/>
      <w:bCs/>
      <w:smallCaps/>
      <w:color w:val="0F4761" w:themeColor="accent1" w:themeShade="BF"/>
      <w:spacing w:val="5"/>
    </w:rPr>
  </w:style>
  <w:style w:type="character" w:styleId="CommentReference">
    <w:name w:val="annotation reference"/>
    <w:basedOn w:val="DefaultParagraphFont"/>
    <w:uiPriority w:val="99"/>
    <w:semiHidden/>
    <w:unhideWhenUsed/>
    <w:rsid w:val="00AC7BA6"/>
    <w:rPr>
      <w:sz w:val="16"/>
      <w:szCs w:val="16"/>
    </w:rPr>
  </w:style>
  <w:style w:type="paragraph" w:styleId="CommentText">
    <w:name w:val="annotation text"/>
    <w:basedOn w:val="Normal"/>
    <w:link w:val="CommentTextChar"/>
    <w:uiPriority w:val="99"/>
    <w:unhideWhenUsed/>
    <w:rsid w:val="00AC7BA6"/>
    <w:pPr>
      <w:spacing w:line="240" w:lineRule="auto"/>
    </w:pPr>
    <w:rPr>
      <w:sz w:val="20"/>
      <w:szCs w:val="20"/>
    </w:rPr>
  </w:style>
  <w:style w:type="character" w:customStyle="1" w:styleId="CommentTextChar">
    <w:name w:val="Comment Text Char"/>
    <w:basedOn w:val="DefaultParagraphFont"/>
    <w:link w:val="CommentText"/>
    <w:uiPriority w:val="99"/>
    <w:rsid w:val="00AC7BA6"/>
    <w:rPr>
      <w:sz w:val="20"/>
      <w:szCs w:val="20"/>
    </w:rPr>
  </w:style>
  <w:style w:type="paragraph" w:styleId="CommentSubject">
    <w:name w:val="annotation subject"/>
    <w:basedOn w:val="CommentText"/>
    <w:next w:val="CommentText"/>
    <w:link w:val="CommentSubjectChar"/>
    <w:uiPriority w:val="99"/>
    <w:semiHidden/>
    <w:unhideWhenUsed/>
    <w:rsid w:val="00AC7BA6"/>
    <w:rPr>
      <w:b/>
      <w:bCs/>
    </w:rPr>
  </w:style>
  <w:style w:type="character" w:customStyle="1" w:styleId="CommentSubjectChar">
    <w:name w:val="Comment Subject Char"/>
    <w:basedOn w:val="CommentTextChar"/>
    <w:link w:val="CommentSubject"/>
    <w:uiPriority w:val="99"/>
    <w:semiHidden/>
    <w:rsid w:val="00AC7BA6"/>
    <w:rPr>
      <w:b/>
      <w:bCs/>
      <w:sz w:val="20"/>
      <w:szCs w:val="20"/>
    </w:rPr>
  </w:style>
  <w:style w:type="paragraph" w:styleId="Revision">
    <w:name w:val="Revision"/>
    <w:hidden/>
    <w:uiPriority w:val="99"/>
    <w:semiHidden/>
    <w:rsid w:val="005911D5"/>
    <w:pPr>
      <w:spacing w:after="0" w:line="240" w:lineRule="auto"/>
    </w:pPr>
  </w:style>
  <w:style w:type="character" w:styleId="Mention">
    <w:name w:val="Mention"/>
    <w:basedOn w:val="DefaultParagraphFont"/>
    <w:uiPriority w:val="99"/>
    <w:unhideWhenUsed/>
    <w:rsid w:val="003F51FB"/>
    <w:rPr>
      <w:color w:val="2B579A"/>
      <w:shd w:val="clear" w:color="auto" w:fill="E1DFDD"/>
    </w:rPr>
  </w:style>
  <w:style w:type="table" w:styleId="TableGrid">
    <w:name w:val="Table Grid"/>
    <w:basedOn w:val="TableNormal"/>
    <w:uiPriority w:val="59"/>
    <w:rsid w:val="00C44675"/>
    <w:pPr>
      <w:spacing w:after="0" w:line="240" w:lineRule="auto"/>
    </w:pPr>
    <w:rPr>
      <w:rFonts w:ascii="Arial" w:hAnsi="Arial" w:cs="Arial"/>
      <w:kern w:val="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4">
    <w:name w:val="Grid Table 6 Colorful Accent 4"/>
    <w:basedOn w:val="TableNormal"/>
    <w:uiPriority w:val="51"/>
    <w:rsid w:val="00F31E59"/>
    <w:pPr>
      <w:spacing w:after="0" w:line="240" w:lineRule="auto"/>
    </w:pPr>
    <w:rPr>
      <w:color w:val="0B769F" w:themeColor="accent4" w:themeShade="BF"/>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character" w:customStyle="1" w:styleId="ListParagraphChar">
    <w:name w:val="List Paragraph Char"/>
    <w:aliases w:val="Citation List Char,Resume Title Char,List Paragraph (numbered (a)) Char,Heading 41 Char,Ha Char,List Paragraph1 Char,Normal 2 Char,Main numbered paragraph Char,Dot pt Char,F5 List Paragraph Char,No Spacing1 Char,Indicator Text Char"/>
    <w:link w:val="ListParagraph"/>
    <w:uiPriority w:val="34"/>
    <w:qFormat/>
    <w:rsid w:val="00874C99"/>
  </w:style>
  <w:style w:type="table" w:styleId="GridTable4-Accent5">
    <w:name w:val="Grid Table 4 Accent 5"/>
    <w:basedOn w:val="TableNormal"/>
    <w:uiPriority w:val="49"/>
    <w:rsid w:val="00B82723"/>
    <w:pPr>
      <w:spacing w:after="0" w:line="240" w:lineRule="auto"/>
    </w:pPr>
    <w:rPr>
      <w:rFonts w:ascii="Arial" w:hAnsi="Arial" w:cs="Arial"/>
      <w:kern w:val="0"/>
      <w:lang w:val="en-GB"/>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character" w:styleId="Hyperlink">
    <w:name w:val="Hyperlink"/>
    <w:basedOn w:val="DefaultParagraphFont"/>
    <w:uiPriority w:val="99"/>
    <w:unhideWhenUsed/>
    <w:rsid w:val="00ED561E"/>
    <w:rPr>
      <w:color w:val="467886" w:themeColor="hyperlink"/>
      <w:u w:val="single"/>
    </w:rPr>
  </w:style>
  <w:style w:type="character" w:styleId="UnresolvedMention">
    <w:name w:val="Unresolved Mention"/>
    <w:basedOn w:val="DefaultParagraphFont"/>
    <w:uiPriority w:val="99"/>
    <w:semiHidden/>
    <w:unhideWhenUsed/>
    <w:rsid w:val="00ED56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11376">
      <w:bodyDiv w:val="1"/>
      <w:marLeft w:val="0"/>
      <w:marRight w:val="0"/>
      <w:marTop w:val="0"/>
      <w:marBottom w:val="0"/>
      <w:divBdr>
        <w:top w:val="none" w:sz="0" w:space="0" w:color="auto"/>
        <w:left w:val="none" w:sz="0" w:space="0" w:color="auto"/>
        <w:bottom w:val="none" w:sz="0" w:space="0" w:color="auto"/>
        <w:right w:val="none" w:sz="0" w:space="0" w:color="auto"/>
      </w:divBdr>
    </w:div>
    <w:div w:id="53682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bd@practicalaction.org.bd" TargetMode="External"/><Relationship Id="rId3" Type="http://schemas.openxmlformats.org/officeDocument/2006/relationships/styles" Target="styles.xml"/><Relationship Id="rId7" Type="http://schemas.openxmlformats.org/officeDocument/2006/relationships/hyperlink" Target="https://zcralliance.or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cralliance.org/crmc/"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racticalaction.org/wp-content/uploads/2021/08/Practical-Action-Code-of-Conduct-Version-0002.00.pdf" TargetMode="External"/><Relationship Id="rId4" Type="http://schemas.openxmlformats.org/officeDocument/2006/relationships/settings" Target="settings.xml"/><Relationship Id="rId9" Type="http://schemas.openxmlformats.org/officeDocument/2006/relationships/hyperlink" Target="https://practicalaction.org/wp-content/uploads/2022/07/Safeguarding-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0C0E1-6A7A-4838-878C-145B0161F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7</Pages>
  <Words>2299</Words>
  <Characters>14416</Characters>
  <Application>Microsoft Office Word</Application>
  <DocSecurity>0</DocSecurity>
  <Lines>120</Lines>
  <Paragraphs>33</Paragraphs>
  <ScaleCrop>false</ScaleCrop>
  <Company>Practical Action</Company>
  <LinksUpToDate>false</LinksUpToDate>
  <CharactersWithSpaces>16682</CharactersWithSpaces>
  <SharedDoc>false</SharedDoc>
  <HLinks>
    <vt:vector size="84" baseType="variant">
      <vt:variant>
        <vt:i4>7143537</vt:i4>
      </vt:variant>
      <vt:variant>
        <vt:i4>12</vt:i4>
      </vt:variant>
      <vt:variant>
        <vt:i4>0</vt:i4>
      </vt:variant>
      <vt:variant>
        <vt:i4>5</vt:i4>
      </vt:variant>
      <vt:variant>
        <vt:lpwstr>https://practicalaction.org/wp-content/uploads/2021/08/Practical-Action-Code-of-Conduct-Version-0002.00.pdf</vt:lpwstr>
      </vt:variant>
      <vt:variant>
        <vt:lpwstr/>
      </vt:variant>
      <vt:variant>
        <vt:i4>2293815</vt:i4>
      </vt:variant>
      <vt:variant>
        <vt:i4>9</vt:i4>
      </vt:variant>
      <vt:variant>
        <vt:i4>0</vt:i4>
      </vt:variant>
      <vt:variant>
        <vt:i4>5</vt:i4>
      </vt:variant>
      <vt:variant>
        <vt:lpwstr>https://practicalaction.org/wp-content/uploads/2022/07/Safeguarding-Policy.pdf</vt:lpwstr>
      </vt:variant>
      <vt:variant>
        <vt:lpwstr/>
      </vt:variant>
      <vt:variant>
        <vt:i4>2818052</vt:i4>
      </vt:variant>
      <vt:variant>
        <vt:i4>6</vt:i4>
      </vt:variant>
      <vt:variant>
        <vt:i4>0</vt:i4>
      </vt:variant>
      <vt:variant>
        <vt:i4>5</vt:i4>
      </vt:variant>
      <vt:variant>
        <vt:lpwstr>mailto:procurement.bd@practicalaction.org.bd</vt:lpwstr>
      </vt:variant>
      <vt:variant>
        <vt:lpwstr/>
      </vt:variant>
      <vt:variant>
        <vt:i4>917582</vt:i4>
      </vt:variant>
      <vt:variant>
        <vt:i4>3</vt:i4>
      </vt:variant>
      <vt:variant>
        <vt:i4>0</vt:i4>
      </vt:variant>
      <vt:variant>
        <vt:i4>5</vt:i4>
      </vt:variant>
      <vt:variant>
        <vt:lpwstr>https://zcralliance.org/</vt:lpwstr>
      </vt:variant>
      <vt:variant>
        <vt:lpwstr/>
      </vt:variant>
      <vt:variant>
        <vt:i4>2031680</vt:i4>
      </vt:variant>
      <vt:variant>
        <vt:i4>0</vt:i4>
      </vt:variant>
      <vt:variant>
        <vt:i4>0</vt:i4>
      </vt:variant>
      <vt:variant>
        <vt:i4>5</vt:i4>
      </vt:variant>
      <vt:variant>
        <vt:lpwstr>https://zcralliance.org/crmc/</vt:lpwstr>
      </vt:variant>
      <vt:variant>
        <vt:lpwstr/>
      </vt:variant>
      <vt:variant>
        <vt:i4>7929938</vt:i4>
      </vt:variant>
      <vt:variant>
        <vt:i4>24</vt:i4>
      </vt:variant>
      <vt:variant>
        <vt:i4>0</vt:i4>
      </vt:variant>
      <vt:variant>
        <vt:i4>5</vt:i4>
      </vt:variant>
      <vt:variant>
        <vt:lpwstr>mailto:tahmid.hossain@practicalaction.org.bd</vt:lpwstr>
      </vt:variant>
      <vt:variant>
        <vt:lpwstr/>
      </vt:variant>
      <vt:variant>
        <vt:i4>7929938</vt:i4>
      </vt:variant>
      <vt:variant>
        <vt:i4>21</vt:i4>
      </vt:variant>
      <vt:variant>
        <vt:i4>0</vt:i4>
      </vt:variant>
      <vt:variant>
        <vt:i4>5</vt:i4>
      </vt:variant>
      <vt:variant>
        <vt:lpwstr>mailto:tahmid.hossain@practicalaction.org.bd</vt:lpwstr>
      </vt:variant>
      <vt:variant>
        <vt:lpwstr/>
      </vt:variant>
      <vt:variant>
        <vt:i4>4128791</vt:i4>
      </vt:variant>
      <vt:variant>
        <vt:i4>18</vt:i4>
      </vt:variant>
      <vt:variant>
        <vt:i4>0</vt:i4>
      </vt:variant>
      <vt:variant>
        <vt:i4>5</vt:i4>
      </vt:variant>
      <vt:variant>
        <vt:lpwstr>mailto:Palash.Sarker@practicalaction.org.bd</vt:lpwstr>
      </vt:variant>
      <vt:variant>
        <vt:lpwstr/>
      </vt:variant>
      <vt:variant>
        <vt:i4>7929938</vt:i4>
      </vt:variant>
      <vt:variant>
        <vt:i4>15</vt:i4>
      </vt:variant>
      <vt:variant>
        <vt:i4>0</vt:i4>
      </vt:variant>
      <vt:variant>
        <vt:i4>5</vt:i4>
      </vt:variant>
      <vt:variant>
        <vt:lpwstr>mailto:tahmid.hossain@practicalaction.org.bd</vt:lpwstr>
      </vt:variant>
      <vt:variant>
        <vt:lpwstr/>
      </vt:variant>
      <vt:variant>
        <vt:i4>4128791</vt:i4>
      </vt:variant>
      <vt:variant>
        <vt:i4>12</vt:i4>
      </vt:variant>
      <vt:variant>
        <vt:i4>0</vt:i4>
      </vt:variant>
      <vt:variant>
        <vt:i4>5</vt:i4>
      </vt:variant>
      <vt:variant>
        <vt:lpwstr>mailto:Palash.Sarker@practicalaction.org.bd</vt:lpwstr>
      </vt:variant>
      <vt:variant>
        <vt:lpwstr/>
      </vt:variant>
      <vt:variant>
        <vt:i4>7929938</vt:i4>
      </vt:variant>
      <vt:variant>
        <vt:i4>9</vt:i4>
      </vt:variant>
      <vt:variant>
        <vt:i4>0</vt:i4>
      </vt:variant>
      <vt:variant>
        <vt:i4>5</vt:i4>
      </vt:variant>
      <vt:variant>
        <vt:lpwstr>mailto:tahmid.hossain@practicalaction.org.bd</vt:lpwstr>
      </vt:variant>
      <vt:variant>
        <vt:lpwstr/>
      </vt:variant>
      <vt:variant>
        <vt:i4>4128791</vt:i4>
      </vt:variant>
      <vt:variant>
        <vt:i4>6</vt:i4>
      </vt:variant>
      <vt:variant>
        <vt:i4>0</vt:i4>
      </vt:variant>
      <vt:variant>
        <vt:i4>5</vt:i4>
      </vt:variant>
      <vt:variant>
        <vt:lpwstr>mailto:Palash.Sarker@practicalaction.org.bd</vt:lpwstr>
      </vt:variant>
      <vt:variant>
        <vt:lpwstr/>
      </vt:variant>
      <vt:variant>
        <vt:i4>7929938</vt:i4>
      </vt:variant>
      <vt:variant>
        <vt:i4>3</vt:i4>
      </vt:variant>
      <vt:variant>
        <vt:i4>0</vt:i4>
      </vt:variant>
      <vt:variant>
        <vt:i4>5</vt:i4>
      </vt:variant>
      <vt:variant>
        <vt:lpwstr>mailto:tahmid.hossain@practicalaction.org.bd</vt:lpwstr>
      </vt:variant>
      <vt:variant>
        <vt:lpwstr/>
      </vt:variant>
      <vt:variant>
        <vt:i4>4128791</vt:i4>
      </vt:variant>
      <vt:variant>
        <vt:i4>0</vt:i4>
      </vt:variant>
      <vt:variant>
        <vt:i4>0</vt:i4>
      </vt:variant>
      <vt:variant>
        <vt:i4>5</vt:i4>
      </vt:variant>
      <vt:variant>
        <vt:lpwstr>mailto:Palash.Sarker@practicalaction.org.bd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Tahmid Hossain</dc:creator>
  <cp:keywords/>
  <dc:description/>
  <cp:lastModifiedBy>Palash Sarker</cp:lastModifiedBy>
  <cp:revision>228</cp:revision>
  <dcterms:created xsi:type="dcterms:W3CDTF">2025-05-16T12:49:00Z</dcterms:created>
  <dcterms:modified xsi:type="dcterms:W3CDTF">2025-06-18T07:28:00Z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22b1b203-2e50-4b6a-956f-d0b375fe98f0</vt:lpwstr>
  </property>
</Properties>
</file>