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13A8" w14:textId="77777777" w:rsidR="00FC6BCE" w:rsidRDefault="00BB372C">
      <w:pPr>
        <w:pStyle w:val="Heading2"/>
        <w:spacing w:before="0" w:line="240" w:lineRule="auto"/>
        <w:contextualSpacing/>
        <w:rPr>
          <w:rFonts w:ascii="Impact" w:hAnsi="Impact"/>
          <w:color w:val="000000" w:themeColor="text1"/>
          <w:sz w:val="48"/>
          <w:lang w:eastAsia="en-GB"/>
        </w:rPr>
      </w:pPr>
      <w:bookmarkStart w:id="0" w:name="_Toc15284668"/>
      <w:r>
        <w:rPr>
          <w:b/>
          <w:noProof/>
          <w:sz w:val="28"/>
          <w:szCs w:val="28"/>
          <w:lang w:val="en-US"/>
        </w:rPr>
        <w:drawing>
          <wp:anchor distT="0" distB="0" distL="114300" distR="114300" simplePos="0" relativeHeight="251659264" behindDoc="1" locked="0" layoutInCell="1" allowOverlap="1" wp14:anchorId="5A503E84" wp14:editId="537B3E32">
            <wp:simplePos x="0" y="0"/>
            <wp:positionH relativeFrom="margin">
              <wp:posOffset>4840605</wp:posOffset>
            </wp:positionH>
            <wp:positionV relativeFrom="margin">
              <wp:posOffset>-332740</wp:posOffset>
            </wp:positionV>
            <wp:extent cx="1219200" cy="685800"/>
            <wp:effectExtent l="0" t="0" r="0" b="0"/>
            <wp:wrapSquare wrapText="bothSides"/>
            <wp:docPr id="2" name="Picture 2" descr="Practcal_Action_Logo_RGB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actcal_Action_Logo_RGB_4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19200" cy="685800"/>
                    </a:xfrm>
                    <a:prstGeom prst="rect">
                      <a:avLst/>
                    </a:prstGeom>
                    <a:noFill/>
                  </pic:spPr>
                </pic:pic>
              </a:graphicData>
            </a:graphic>
          </wp:anchor>
        </w:drawing>
      </w:r>
      <w:r>
        <w:rPr>
          <w:rFonts w:ascii="Impact" w:hAnsi="Impact"/>
          <w:color w:val="000000" w:themeColor="text1"/>
          <w:sz w:val="48"/>
          <w:lang w:eastAsia="en-GB"/>
        </w:rPr>
        <w:t>Terms of Reference</w:t>
      </w:r>
      <w:bookmarkEnd w:id="0"/>
    </w:p>
    <w:p w14:paraId="6D9A0073" w14:textId="77777777" w:rsidR="00FC6BCE" w:rsidRDefault="00FC6BCE">
      <w:pPr>
        <w:spacing w:after="0" w:line="240" w:lineRule="auto"/>
        <w:contextualSpacing/>
        <w:rPr>
          <w:color w:val="000000" w:themeColor="text1"/>
          <w:lang w:eastAsia="en-GB"/>
        </w:rPr>
      </w:pPr>
    </w:p>
    <w:tbl>
      <w:tblPr>
        <w:tblStyle w:val="TableGrid"/>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1"/>
        <w:gridCol w:w="5373"/>
      </w:tblGrid>
      <w:tr w:rsidR="00FC6BCE" w14:paraId="7A77985C" w14:textId="77777777">
        <w:trPr>
          <w:trHeight w:val="873"/>
        </w:trPr>
        <w:tc>
          <w:tcPr>
            <w:tcW w:w="3611" w:type="dxa"/>
          </w:tcPr>
          <w:p w14:paraId="481035AF" w14:textId="77777777" w:rsidR="00FC6BCE"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Pr>
                <w:rFonts w:eastAsia="Trade Gothic LT Com" w:cstheme="minorHAnsi"/>
                <w:b/>
                <w:bCs/>
                <w:color w:val="000000" w:themeColor="text1"/>
                <w:sz w:val="24"/>
                <w:szCs w:val="24"/>
              </w:rPr>
              <w:t xml:space="preserve">Assignment title:          </w:t>
            </w:r>
          </w:p>
        </w:tc>
        <w:tc>
          <w:tcPr>
            <w:tcW w:w="5373" w:type="dxa"/>
          </w:tcPr>
          <w:p w14:paraId="30E868CC" w14:textId="77777777" w:rsidR="00FC6BCE" w:rsidRDefault="00BB372C">
            <w:pPr>
              <w:autoSpaceDE w:val="0"/>
              <w:autoSpaceDN w:val="0"/>
              <w:adjustRightInd w:val="0"/>
              <w:spacing w:after="0" w:line="240" w:lineRule="auto"/>
              <w:rPr>
                <w:rFonts w:cs="Times New Roman"/>
                <w:color w:val="000000"/>
                <w:lang w:val="en-US"/>
              </w:rPr>
            </w:pPr>
            <w:r>
              <w:rPr>
                <w:rFonts w:cs="Times New Roman"/>
                <w:b/>
                <w:bCs/>
                <w:color w:val="000000"/>
                <w:lang w:val="en-US"/>
              </w:rPr>
              <w:t>Detailed structural design and supervision of construction works for a single use thin plastic Recycling Plant (demonstration phase) to produce pyrolysis oil and black carbon by pyrolysis method</w:t>
            </w:r>
          </w:p>
          <w:p w14:paraId="5F091500" w14:textId="77777777" w:rsidR="00FC6BCE" w:rsidRDefault="00FC6BCE">
            <w:pPr>
              <w:keepLines/>
              <w:spacing w:after="0" w:line="240" w:lineRule="auto"/>
              <w:contextualSpacing/>
              <w:rPr>
                <w:rFonts w:eastAsia="Trade Gothic LT Com" w:cstheme="minorHAnsi"/>
                <w:bCs/>
                <w:color w:val="000000" w:themeColor="text1"/>
              </w:rPr>
            </w:pPr>
          </w:p>
        </w:tc>
      </w:tr>
      <w:tr w:rsidR="00FC6BCE" w14:paraId="69CB8256" w14:textId="77777777">
        <w:trPr>
          <w:trHeight w:val="846"/>
        </w:trPr>
        <w:tc>
          <w:tcPr>
            <w:tcW w:w="3611" w:type="dxa"/>
          </w:tcPr>
          <w:p w14:paraId="591CE8D2" w14:textId="77777777" w:rsidR="00FC6BCE"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Pr>
                <w:rFonts w:eastAsia="Trade Gothic LT Com" w:cstheme="minorHAnsi"/>
                <w:b/>
                <w:bCs/>
                <w:color w:val="000000" w:themeColor="text1"/>
                <w:sz w:val="24"/>
                <w:szCs w:val="24"/>
              </w:rPr>
              <w:t>Description:</w:t>
            </w:r>
          </w:p>
        </w:tc>
        <w:tc>
          <w:tcPr>
            <w:tcW w:w="5373" w:type="dxa"/>
          </w:tcPr>
          <w:p w14:paraId="451CB39B" w14:textId="574DAF70" w:rsidR="00FC6BCE" w:rsidRDefault="00BB372C">
            <w:pPr>
              <w:spacing w:after="0" w:line="240" w:lineRule="auto"/>
              <w:contextualSpacing/>
              <w:jc w:val="both"/>
              <w:rPr>
                <w:rFonts w:eastAsia="Trade Gothic LT Com" w:cstheme="minorHAnsi"/>
                <w:bCs/>
                <w:color w:val="000000" w:themeColor="text1"/>
              </w:rPr>
            </w:pPr>
            <w:r>
              <w:rPr>
                <w:rFonts w:eastAsia="Trade Gothic LT Com" w:cstheme="minorHAnsi"/>
                <w:bCs/>
                <w:color w:val="000000" w:themeColor="text1"/>
              </w:rPr>
              <w:t xml:space="preserve">Practical Action, </w:t>
            </w:r>
            <w:proofErr w:type="spellStart"/>
            <w:r>
              <w:rPr>
                <w:rFonts w:eastAsia="Trade Gothic LT Com" w:cstheme="minorHAnsi"/>
                <w:bCs/>
                <w:color w:val="000000" w:themeColor="text1"/>
              </w:rPr>
              <w:t>R</w:t>
            </w:r>
            <w:r w:rsidR="001C2A98">
              <w:rPr>
                <w:rFonts w:eastAsia="Trade Gothic LT Com" w:cstheme="minorHAnsi"/>
                <w:bCs/>
                <w:color w:val="000000" w:themeColor="text1"/>
              </w:rPr>
              <w:t>i</w:t>
            </w:r>
            <w:r>
              <w:rPr>
                <w:rFonts w:eastAsia="Trade Gothic LT Com" w:cstheme="minorHAnsi"/>
                <w:bCs/>
                <w:color w:val="000000" w:themeColor="text1"/>
              </w:rPr>
              <w:t>verRecycle</w:t>
            </w:r>
            <w:proofErr w:type="spellEnd"/>
            <w:r>
              <w:rPr>
                <w:rFonts w:eastAsia="Trade Gothic LT Com" w:cstheme="minorHAnsi"/>
                <w:bCs/>
                <w:color w:val="000000" w:themeColor="text1"/>
              </w:rPr>
              <w:t xml:space="preserve">, </w:t>
            </w:r>
            <w:proofErr w:type="spellStart"/>
            <w:r>
              <w:rPr>
                <w:rFonts w:eastAsia="Trade Gothic LT Com" w:cstheme="minorHAnsi"/>
                <w:bCs/>
                <w:color w:val="000000" w:themeColor="text1"/>
              </w:rPr>
              <w:t>Lamor</w:t>
            </w:r>
            <w:proofErr w:type="spellEnd"/>
            <w:r>
              <w:rPr>
                <w:rFonts w:eastAsia="Trade Gothic LT Com" w:cstheme="minorHAnsi"/>
                <w:bCs/>
                <w:color w:val="000000" w:themeColor="text1"/>
              </w:rPr>
              <w:t xml:space="preserve"> Oy and Society Development committee (SDC) made a consortium for implementing the project titled “</w:t>
            </w:r>
            <w:r>
              <w:t>Increasing employment by creating value from plastic waste in Bangladesh”</w:t>
            </w:r>
            <w:r>
              <w:rPr>
                <w:rFonts w:eastAsia="Trade Gothic LT Com" w:cstheme="minorHAnsi"/>
                <w:bCs/>
                <w:color w:val="000000" w:themeColor="text1"/>
              </w:rPr>
              <w:t>. The consortia is on its first phase and this phase will continue up to December 2025. The consortia is going implement a demonstration project in Faridpur Municipality for single use thin plastic management through pyrolysis process aim to produce pyrolysis oil and black carbon from single use thin plastic waste subsequently reduce plastic pollution load in environment as well as to reduce CO</w:t>
            </w:r>
            <w:r>
              <w:rPr>
                <w:rFonts w:eastAsia="Trade Gothic LT Com" w:cstheme="minorHAnsi"/>
                <w:bCs/>
                <w:color w:val="000000" w:themeColor="text1"/>
                <w:vertAlign w:val="subscript"/>
              </w:rPr>
              <w:t>2</w:t>
            </w:r>
            <w:r>
              <w:rPr>
                <w:rFonts w:eastAsia="Trade Gothic LT Com" w:cstheme="minorHAnsi"/>
                <w:bCs/>
                <w:color w:val="000000" w:themeColor="text1"/>
              </w:rPr>
              <w:t xml:space="preserve">. Major equipment for pyrolysis plant based on foreign technologies, origin in abroad and will be brought to Bangladesh by leasing and import according to its plan. The consultant will prepare detailed design for structures, electrical and mechanical plan for instrumental set up. </w:t>
            </w:r>
          </w:p>
          <w:p w14:paraId="792309B0" w14:textId="77777777" w:rsidR="00FC6BCE" w:rsidRDefault="00FC6BCE">
            <w:pPr>
              <w:spacing w:after="0" w:line="240" w:lineRule="auto"/>
              <w:contextualSpacing/>
              <w:jc w:val="both"/>
              <w:rPr>
                <w:rFonts w:eastAsia="Trade Gothic LT Com" w:cstheme="minorHAnsi"/>
                <w:bCs/>
                <w:color w:val="000000" w:themeColor="text1"/>
              </w:rPr>
            </w:pPr>
          </w:p>
          <w:p w14:paraId="5037909C" w14:textId="77777777" w:rsidR="00FC6BCE" w:rsidRDefault="00BB372C">
            <w:pPr>
              <w:spacing w:after="0" w:line="240" w:lineRule="auto"/>
              <w:contextualSpacing/>
              <w:jc w:val="both"/>
              <w:rPr>
                <w:rFonts w:eastAsia="Trade Gothic LT Com" w:cstheme="minorHAnsi"/>
                <w:bCs/>
                <w:color w:val="000000" w:themeColor="text1"/>
              </w:rPr>
            </w:pPr>
            <w:r>
              <w:rPr>
                <w:rFonts w:eastAsia="Trade Gothic LT Com" w:cstheme="minorHAnsi"/>
                <w:bCs/>
                <w:color w:val="000000" w:themeColor="text1"/>
              </w:rPr>
              <w:t>Single use thin plastic waste will be collected from household, market, street side, river, riverside, instates, etc. Then the plastic will be clean and dry</w:t>
            </w:r>
          </w:p>
          <w:p w14:paraId="7EB38B42" w14:textId="77777777" w:rsidR="00FC6BCE" w:rsidRDefault="00BB372C">
            <w:pPr>
              <w:spacing w:after="0" w:line="240" w:lineRule="auto"/>
              <w:contextualSpacing/>
              <w:jc w:val="both"/>
              <w:rPr>
                <w:rFonts w:eastAsia="Trade Gothic LT Com" w:cstheme="minorHAnsi"/>
                <w:bCs/>
                <w:color w:val="000000" w:themeColor="text1"/>
              </w:rPr>
            </w:pPr>
            <w:r>
              <w:rPr>
                <w:rFonts w:eastAsia="Trade Gothic LT Com" w:cstheme="minorHAnsi"/>
                <w:bCs/>
                <w:color w:val="000000" w:themeColor="text1"/>
              </w:rPr>
              <w:t xml:space="preserve">By mechanical and automatic system. The clean and dry plastic will feed to pyrolysis plant to convert these to pyrolysis oil. The produced pyrolysis oil will be stored to ISO tank. The stored oil will supply to the customer by carrying tanks. </w:t>
            </w:r>
          </w:p>
          <w:p w14:paraId="48F253F8" w14:textId="77777777" w:rsidR="00FC6BCE" w:rsidRDefault="00FC6BCE">
            <w:pPr>
              <w:spacing w:after="0" w:line="240" w:lineRule="auto"/>
              <w:contextualSpacing/>
              <w:jc w:val="both"/>
              <w:rPr>
                <w:rFonts w:eastAsia="Trade Gothic LT Com" w:cstheme="minorHAnsi"/>
                <w:bCs/>
                <w:color w:val="000000" w:themeColor="text1"/>
              </w:rPr>
            </w:pPr>
          </w:p>
          <w:p w14:paraId="138C27A4" w14:textId="77777777" w:rsidR="00FC6BCE" w:rsidRDefault="00BB372C">
            <w:pPr>
              <w:spacing w:after="0" w:line="240" w:lineRule="auto"/>
              <w:contextualSpacing/>
              <w:jc w:val="both"/>
              <w:rPr>
                <w:rFonts w:eastAsia="Trade Gothic LT Com" w:cstheme="minorHAnsi"/>
                <w:bCs/>
                <w:color w:val="000000" w:themeColor="text1"/>
              </w:rPr>
            </w:pPr>
            <w:r>
              <w:rPr>
                <w:rFonts w:eastAsia="Trade Gothic LT Com" w:cstheme="minorHAnsi"/>
                <w:bCs/>
                <w:color w:val="000000" w:themeColor="text1"/>
              </w:rPr>
              <w:t>The approximately site dimension of the proposed pyrolysis plant is 47.9 m x 55.47 m. In this project, there are three communal roads, one temporary office building, one offloading area for incoming trucks with plastic, one pre-sorting area for waste plastic (manually washing, cleaning, drying, and bundling the plastic), gas tanks for LPG and Pyrolysis off gas, 50-60 kg per hour feedstock (plastic) capacity of pyrolysis unit, underground water tank, internal roads, oil reserve tanks, and two char storage sheds will be in the demonstration recycling plant. The layout of this proposed plant is in Annex 1.</w:t>
            </w:r>
          </w:p>
          <w:p w14:paraId="02D96A31" w14:textId="77777777" w:rsidR="00FC6BCE" w:rsidRDefault="00FC6BCE">
            <w:pPr>
              <w:spacing w:after="0" w:line="240" w:lineRule="auto"/>
              <w:contextualSpacing/>
              <w:jc w:val="both"/>
              <w:rPr>
                <w:rFonts w:eastAsia="Trade Gothic LT Com" w:cstheme="minorHAnsi"/>
                <w:bCs/>
                <w:color w:val="000000" w:themeColor="text1"/>
              </w:rPr>
            </w:pPr>
          </w:p>
        </w:tc>
      </w:tr>
      <w:tr w:rsidR="00FC6BCE" w14:paraId="54F830AE" w14:textId="77777777">
        <w:trPr>
          <w:trHeight w:val="360"/>
        </w:trPr>
        <w:tc>
          <w:tcPr>
            <w:tcW w:w="3611" w:type="dxa"/>
          </w:tcPr>
          <w:p w14:paraId="3F540159" w14:textId="77777777" w:rsidR="00FC6BCE"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Pr>
                <w:rFonts w:eastAsia="Trade Gothic LT Com" w:cstheme="minorHAnsi"/>
                <w:b/>
                <w:bCs/>
                <w:color w:val="000000" w:themeColor="text1"/>
                <w:sz w:val="24"/>
                <w:szCs w:val="24"/>
              </w:rPr>
              <w:t>Location:</w:t>
            </w:r>
          </w:p>
        </w:tc>
        <w:tc>
          <w:tcPr>
            <w:tcW w:w="5373" w:type="dxa"/>
          </w:tcPr>
          <w:p w14:paraId="14C49797" w14:textId="77777777" w:rsidR="00FC6BCE" w:rsidRDefault="00BB372C">
            <w:pPr>
              <w:keepLines/>
              <w:spacing w:after="0" w:line="240" w:lineRule="auto"/>
              <w:contextualSpacing/>
              <w:jc w:val="both"/>
              <w:rPr>
                <w:rFonts w:eastAsia="Trade Gothic LT Com" w:cstheme="minorHAnsi"/>
                <w:bCs/>
                <w:color w:val="000000" w:themeColor="text1"/>
              </w:rPr>
            </w:pPr>
            <w:r>
              <w:rPr>
                <w:rFonts w:eastAsia="Trade Gothic LT Com" w:cstheme="minorHAnsi"/>
                <w:bCs/>
                <w:color w:val="000000" w:themeColor="text1"/>
              </w:rPr>
              <w:t>Faridpur Municipality</w:t>
            </w:r>
          </w:p>
        </w:tc>
      </w:tr>
      <w:tr w:rsidR="00FC6BCE" w14:paraId="21D8FE04" w14:textId="77777777">
        <w:trPr>
          <w:trHeight w:val="630"/>
        </w:trPr>
        <w:tc>
          <w:tcPr>
            <w:tcW w:w="3611" w:type="dxa"/>
          </w:tcPr>
          <w:p w14:paraId="50705F39" w14:textId="77777777" w:rsidR="00FC6BCE"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Pr>
                <w:rFonts w:eastAsia="Trade Gothic LT Com" w:cstheme="minorHAnsi"/>
                <w:b/>
                <w:bCs/>
                <w:color w:val="000000" w:themeColor="text1"/>
                <w:sz w:val="24"/>
                <w:szCs w:val="24"/>
              </w:rPr>
              <w:t>Duration and timing:</w:t>
            </w:r>
          </w:p>
        </w:tc>
        <w:tc>
          <w:tcPr>
            <w:tcW w:w="5373" w:type="dxa"/>
          </w:tcPr>
          <w:p w14:paraId="0201E9A6" w14:textId="531815F7" w:rsidR="00F162B9" w:rsidRDefault="00D87C1E" w:rsidP="00F162B9">
            <w:pPr>
              <w:keepLines/>
              <w:spacing w:after="0" w:line="240" w:lineRule="auto"/>
              <w:contextualSpacing/>
              <w:jc w:val="both"/>
              <w:rPr>
                <w:rFonts w:eastAsia="Trade Gothic LT Com" w:cstheme="minorHAnsi"/>
                <w:bCs/>
              </w:rPr>
            </w:pPr>
            <w:r>
              <w:rPr>
                <w:rFonts w:eastAsia="Trade Gothic LT Com" w:cstheme="minorHAnsi"/>
                <w:bCs/>
                <w:highlight w:val="yellow"/>
              </w:rPr>
              <w:t>15</w:t>
            </w:r>
            <w:r w:rsidR="00F162B9">
              <w:rPr>
                <w:rFonts w:eastAsia="Trade Gothic LT Com" w:cstheme="minorHAnsi"/>
                <w:bCs/>
                <w:highlight w:val="yellow"/>
              </w:rPr>
              <w:t xml:space="preserve"> </w:t>
            </w:r>
            <w:r>
              <w:rPr>
                <w:rFonts w:eastAsia="Trade Gothic LT Com" w:cstheme="minorHAnsi"/>
                <w:bCs/>
                <w:highlight w:val="yellow"/>
              </w:rPr>
              <w:t>September</w:t>
            </w:r>
            <w:r w:rsidR="00F162B9">
              <w:rPr>
                <w:rFonts w:eastAsia="Trade Gothic LT Com" w:cstheme="minorHAnsi"/>
                <w:bCs/>
                <w:highlight w:val="yellow"/>
              </w:rPr>
              <w:t xml:space="preserve"> to </w:t>
            </w:r>
            <w:r>
              <w:rPr>
                <w:rFonts w:eastAsia="Trade Gothic LT Com" w:cstheme="minorHAnsi"/>
                <w:bCs/>
                <w:highlight w:val="yellow"/>
              </w:rPr>
              <w:t>15</w:t>
            </w:r>
            <w:r w:rsidR="00BB372C">
              <w:rPr>
                <w:rFonts w:eastAsia="Trade Gothic LT Com" w:cstheme="minorHAnsi"/>
                <w:bCs/>
                <w:highlight w:val="yellow"/>
              </w:rPr>
              <w:t xml:space="preserve"> </w:t>
            </w:r>
            <w:r>
              <w:rPr>
                <w:rFonts w:eastAsia="Trade Gothic LT Com" w:cstheme="minorHAnsi"/>
                <w:bCs/>
                <w:highlight w:val="yellow"/>
              </w:rPr>
              <w:t>October</w:t>
            </w:r>
            <w:r w:rsidR="00BB372C">
              <w:rPr>
                <w:rFonts w:eastAsia="Trade Gothic LT Com" w:cstheme="minorHAnsi"/>
                <w:bCs/>
                <w:highlight w:val="yellow"/>
              </w:rPr>
              <w:t xml:space="preserve"> 2022</w:t>
            </w:r>
            <w:r w:rsidR="00BB372C">
              <w:rPr>
                <w:rFonts w:eastAsia="Trade Gothic LT Com" w:cstheme="minorHAnsi"/>
                <w:bCs/>
              </w:rPr>
              <w:t xml:space="preserve"> for preparation of final design and drawings. </w:t>
            </w:r>
          </w:p>
          <w:p w14:paraId="1E6D33EA" w14:textId="77777777" w:rsidR="00F162B9" w:rsidRDefault="00F162B9" w:rsidP="00F162B9">
            <w:pPr>
              <w:keepLines/>
              <w:spacing w:after="0" w:line="240" w:lineRule="auto"/>
              <w:contextualSpacing/>
              <w:jc w:val="both"/>
              <w:rPr>
                <w:rFonts w:eastAsia="Trade Gothic LT Com" w:cstheme="minorHAnsi"/>
                <w:bCs/>
              </w:rPr>
            </w:pPr>
          </w:p>
          <w:p w14:paraId="5E6D4ABC" w14:textId="77777777" w:rsidR="00FC6BCE" w:rsidRDefault="00BB372C" w:rsidP="00F162B9">
            <w:pPr>
              <w:keepLines/>
              <w:spacing w:after="0" w:line="240" w:lineRule="auto"/>
              <w:contextualSpacing/>
              <w:jc w:val="both"/>
              <w:rPr>
                <w:rFonts w:eastAsia="Trade Gothic LT Com" w:cstheme="minorHAnsi"/>
                <w:bCs/>
                <w:color w:val="000000" w:themeColor="text1"/>
              </w:rPr>
            </w:pPr>
            <w:r>
              <w:rPr>
                <w:rFonts w:eastAsia="Trade Gothic LT Com" w:cstheme="minorHAnsi"/>
                <w:bCs/>
              </w:rPr>
              <w:lastRenderedPageBreak/>
              <w:t>The det</w:t>
            </w:r>
            <w:r w:rsidR="006919E7">
              <w:rPr>
                <w:rFonts w:eastAsia="Trade Gothic LT Com" w:cstheme="minorHAnsi"/>
                <w:bCs/>
              </w:rPr>
              <w:t>ailed timeline of the assignment</w:t>
            </w:r>
            <w:r>
              <w:rPr>
                <w:rFonts w:eastAsia="Trade Gothic LT Com" w:cstheme="minorHAnsi"/>
                <w:bCs/>
              </w:rPr>
              <w:t xml:space="preserve"> is available in </w:t>
            </w:r>
            <w:r>
              <w:rPr>
                <w:rFonts w:eastAsia="Trade Gothic LT Com" w:cstheme="minorHAnsi"/>
                <w:b/>
                <w:bCs/>
                <w:i/>
              </w:rPr>
              <w:t>Annex-2</w:t>
            </w:r>
            <w:r>
              <w:rPr>
                <w:rFonts w:eastAsia="Trade Gothic LT Com" w:cstheme="minorHAnsi"/>
                <w:bCs/>
              </w:rPr>
              <w:t>.</w:t>
            </w:r>
          </w:p>
        </w:tc>
      </w:tr>
      <w:tr w:rsidR="00FC6BCE" w14:paraId="30A9977E" w14:textId="77777777">
        <w:trPr>
          <w:trHeight w:val="502"/>
        </w:trPr>
        <w:tc>
          <w:tcPr>
            <w:tcW w:w="3611" w:type="dxa"/>
          </w:tcPr>
          <w:p w14:paraId="1C95B2A0" w14:textId="77777777" w:rsidR="00FC6BCE"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Pr>
                <w:rFonts w:eastAsia="Trade Gothic LT Com" w:cstheme="minorHAnsi"/>
                <w:b/>
                <w:bCs/>
                <w:color w:val="000000" w:themeColor="text1"/>
                <w:sz w:val="24"/>
                <w:szCs w:val="24"/>
              </w:rPr>
              <w:lastRenderedPageBreak/>
              <w:t xml:space="preserve">Number of working days:  </w:t>
            </w:r>
          </w:p>
        </w:tc>
        <w:tc>
          <w:tcPr>
            <w:tcW w:w="5373" w:type="dxa"/>
          </w:tcPr>
          <w:p w14:paraId="35F26F6E" w14:textId="77777777" w:rsidR="00FC6BCE" w:rsidRDefault="00BB372C">
            <w:pPr>
              <w:keepLines/>
              <w:spacing w:after="0" w:line="240" w:lineRule="auto"/>
              <w:contextualSpacing/>
              <w:jc w:val="both"/>
              <w:rPr>
                <w:rFonts w:eastAsia="Trade Gothic LT Com" w:cstheme="minorHAnsi"/>
                <w:bCs/>
                <w:color w:val="000000" w:themeColor="text1"/>
              </w:rPr>
            </w:pPr>
            <w:r>
              <w:rPr>
                <w:rFonts w:eastAsia="Trade Gothic LT Com" w:cstheme="minorHAnsi"/>
                <w:bCs/>
                <w:color w:val="000000" w:themeColor="text1"/>
              </w:rPr>
              <w:t>31 calendar days for final design and drawings.</w:t>
            </w:r>
          </w:p>
        </w:tc>
      </w:tr>
    </w:tbl>
    <w:p w14:paraId="75259004" w14:textId="77777777" w:rsidR="00FC6BCE" w:rsidRDefault="00BB372C">
      <w:pPr>
        <w:pStyle w:val="ListParagraph"/>
        <w:keepLines/>
        <w:numPr>
          <w:ilvl w:val="0"/>
          <w:numId w:val="1"/>
        </w:numPr>
        <w:spacing w:before="240" w:after="240"/>
        <w:jc w:val="both"/>
        <w:rPr>
          <w:rFonts w:eastAsia="Trade Gothic LT Com" w:cstheme="minorHAnsi"/>
          <w:color w:val="000000" w:themeColor="text1"/>
          <w:sz w:val="24"/>
          <w:szCs w:val="24"/>
        </w:rPr>
      </w:pPr>
      <w:r>
        <w:rPr>
          <w:rFonts w:eastAsia="Trade Gothic LT Com" w:cstheme="minorHAnsi"/>
          <w:b/>
          <w:bCs/>
          <w:color w:val="000000" w:themeColor="text1"/>
          <w:sz w:val="24"/>
          <w:szCs w:val="24"/>
        </w:rPr>
        <w:t>Background and purpose of the assignment:</w:t>
      </w:r>
      <w:r>
        <w:rPr>
          <w:rFonts w:eastAsia="Trade Gothic LT Com" w:cstheme="minorHAnsi"/>
          <w:color w:val="000000" w:themeColor="text1"/>
          <w:sz w:val="24"/>
          <w:szCs w:val="24"/>
        </w:rPr>
        <w:t xml:space="preserve"> </w:t>
      </w:r>
    </w:p>
    <w:p w14:paraId="3D12E217" w14:textId="77777777" w:rsidR="00FC6BCE" w:rsidRDefault="00BB372C">
      <w:pPr>
        <w:pStyle w:val="ListParagraph"/>
        <w:numPr>
          <w:ilvl w:val="1"/>
          <w:numId w:val="1"/>
        </w:numPr>
        <w:spacing w:before="240" w:after="0"/>
        <w:jc w:val="both"/>
        <w:rPr>
          <w:color w:val="000000" w:themeColor="text1"/>
        </w:rPr>
      </w:pPr>
      <w:r>
        <w:rPr>
          <w:b/>
          <w:color w:val="000000" w:themeColor="text1"/>
        </w:rPr>
        <w:t>Background</w:t>
      </w:r>
      <w:r>
        <w:rPr>
          <w:color w:val="000000" w:themeColor="text1"/>
        </w:rPr>
        <w:t xml:space="preserve"> </w:t>
      </w:r>
    </w:p>
    <w:p w14:paraId="187850EB" w14:textId="77777777" w:rsidR="00FC6BCE" w:rsidRDefault="00BB372C">
      <w:pPr>
        <w:pStyle w:val="CommentText"/>
        <w:spacing w:after="240"/>
        <w:jc w:val="both"/>
        <w:rPr>
          <w:rFonts w:eastAsia="Times New Roman" w:cs="Times New Roman"/>
          <w:color w:val="000000" w:themeColor="text1"/>
          <w:sz w:val="22"/>
          <w:szCs w:val="22"/>
        </w:rPr>
      </w:pPr>
      <w:r>
        <w:rPr>
          <w:rFonts w:eastAsia="Times New Roman" w:cs="Times New Roman"/>
          <w:color w:val="000000" w:themeColor="text1"/>
          <w:sz w:val="22"/>
          <w:szCs w:val="22"/>
        </w:rPr>
        <w:t>Practical Action is an innovative international development organization that puts ingenious ideas to work to change the lives of people living in poverty. We help people find solutions to some of the world's toughest problems, namely catastrophic climate change, and persistent gender inequality. Our modality is that to start small can grow big and bring people together in bold collaborations, combining knowledge with innovation to change the systems that keep people poor and vulnerable. We partner with communities to develop ingenious solutions for water and waste management, agriculture, climate resilience, and access to clean energy. We then share what has been proven to work with others so that many more people can change their world and we also believe in the power of small to change the big picture.</w:t>
      </w:r>
    </w:p>
    <w:p w14:paraId="5AC50290" w14:textId="77777777" w:rsidR="00FC6BCE" w:rsidRDefault="00BB372C">
      <w:pPr>
        <w:spacing w:after="120" w:line="240" w:lineRule="auto"/>
        <w:jc w:val="both"/>
      </w:pPr>
      <w:r>
        <w:t>Proper management of waste and sludge is a critical problem worldwide today, especially in cities. City dwellers, mainly in low-income communities, typically discharge untreated waste and sludge into sewers a</w:t>
      </w:r>
      <w:r w:rsidR="00627B88">
        <w:t>nd water bodies, emitting green</w:t>
      </w:r>
      <w:r>
        <w:t>house gas about 2.19 million tons of CO2/year. The total amount of waste generated worldwide is expected to be double from nearly 2 billion tons in 2016 to about 4 billion tons by 2050</w:t>
      </w:r>
      <w:r>
        <w:rPr>
          <w:rStyle w:val="FootnoteReference"/>
        </w:rPr>
        <w:footnoteReference w:id="1"/>
      </w:r>
      <w:r>
        <w:t>. Access to safe disposal of faecal sludge (FS) and solid waste (SW) is very limited and almost non-existent for low-income communities. National water policy identified untreated indiscriminate disposal of waste and sludge as one of the leading causes of water pollution and water quality degradation. The Bangladesh Government's (</w:t>
      </w:r>
      <w:proofErr w:type="spellStart"/>
      <w:r>
        <w:t>GoB</w:t>
      </w:r>
      <w:proofErr w:type="spellEnd"/>
      <w:r>
        <w:t>) Seventh Five Year Plan also identified unsafe waste disposal as one of the main reasons for clogged sewers and flooding, which disproportionately affect the health and economic well-being of the community.</w:t>
      </w:r>
    </w:p>
    <w:p w14:paraId="408EEEB9" w14:textId="77777777" w:rsidR="00FC6BCE" w:rsidRDefault="00BB372C">
      <w:pPr>
        <w:pStyle w:val="Default"/>
        <w:jc w:val="both"/>
        <w:rPr>
          <w:rFonts w:eastAsia="Times New Roman" w:cs="Times New Roman"/>
          <w:color w:val="000000" w:themeColor="text1"/>
        </w:rPr>
      </w:pPr>
      <w:r>
        <w:rPr>
          <w:rFonts w:ascii="Georgia" w:hAnsi="Georgia"/>
          <w:sz w:val="22"/>
          <w:szCs w:val="22"/>
        </w:rPr>
        <w:t xml:space="preserve">Practical Action is implementing two waste management projects in Faridpur. One of the projects is funded by </w:t>
      </w:r>
      <w:proofErr w:type="spellStart"/>
      <w:r>
        <w:rPr>
          <w:rFonts w:ascii="Georgia" w:hAnsi="Georgia"/>
          <w:sz w:val="22"/>
          <w:szCs w:val="22"/>
        </w:rPr>
        <w:t>Danida</w:t>
      </w:r>
      <w:proofErr w:type="spellEnd"/>
      <w:r>
        <w:rPr>
          <w:rFonts w:ascii="Georgia" w:hAnsi="Georgia"/>
          <w:sz w:val="22"/>
          <w:szCs w:val="22"/>
        </w:rPr>
        <w:t xml:space="preserve"> Market Development Partnerships (DMDP) – Danish Foreign Ministry of Foreign Affairs (DMFA)–, entitled "Increasing employment by creating value from plastic waste in Bangladesh". </w:t>
      </w:r>
      <w:r>
        <w:rPr>
          <w:rFonts w:ascii="Georgia" w:eastAsiaTheme="minorHAnsi" w:hAnsi="Georgia" w:cs="Calibri"/>
          <w:sz w:val="22"/>
          <w:szCs w:val="22"/>
        </w:rPr>
        <w:t xml:space="preserve">The project aims to transform the lives of informal waste workers by creating a new market for a stream of plastic that currently has no commercial value. The project will support waste workers </w:t>
      </w:r>
      <w:r>
        <w:rPr>
          <w:rFonts w:ascii="Georgia" w:eastAsiaTheme="minorHAnsi" w:hAnsi="Georgia" w:cs="Verdana"/>
          <w:sz w:val="22"/>
          <w:szCs w:val="22"/>
        </w:rPr>
        <w:t xml:space="preserve">to collect single-use plastics and process it through pyrolysis into saleable light synthetic fuel oil and black carbon. The collection of plastic will generate work/jobs and income for the waste workers and its processing will generate income for the enterprises running the pyrolysis plant through the sale of the oil. The aims to create and improve waste works jobs, increase respect of them, reducing plastic pollution in environment and develop a </w:t>
      </w:r>
      <w:r>
        <w:rPr>
          <w:rFonts w:ascii="Georgia" w:hAnsi="Georgia"/>
          <w:sz w:val="22"/>
          <w:szCs w:val="22"/>
        </w:rPr>
        <w:t xml:space="preserve">public-private partnership (PPP) business model. </w:t>
      </w:r>
    </w:p>
    <w:p w14:paraId="46690FDD" w14:textId="77777777" w:rsidR="00FC6BCE" w:rsidRDefault="00BB372C">
      <w:pPr>
        <w:pStyle w:val="Default"/>
        <w:jc w:val="both"/>
        <w:rPr>
          <w:rFonts w:eastAsia="Times New Roman" w:cs="Times New Roman"/>
          <w:color w:val="000000" w:themeColor="text1"/>
        </w:rPr>
      </w:pPr>
      <w:r>
        <w:rPr>
          <w:rFonts w:ascii="Georgia" w:eastAsia="Times New Roman" w:hAnsi="Georgia" w:cs="Times New Roman"/>
          <w:color w:val="000000" w:themeColor="text1"/>
          <w:sz w:val="22"/>
          <w:szCs w:val="22"/>
        </w:rPr>
        <w:t xml:space="preserve">  </w:t>
      </w:r>
    </w:p>
    <w:p w14:paraId="47927743" w14:textId="77777777" w:rsidR="00FC6BCE" w:rsidRDefault="00BB372C">
      <w:pPr>
        <w:pStyle w:val="CommentText"/>
        <w:spacing w:after="240"/>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The project include different approaches to achieve the objectives. For example, design and construction of physical infrastructures for a pyrolysis plant to recycle single-use plastics from various sources (rivers, households, roadside, markets, etc) through pyrolysis into light synthetic and saleable fuel oil. Besides, to raise awareness in communities to participate in doorstep waste and sludge collection services, Practical Action is moving forward with integrated planning, multi-stakeholder PPP-led inclusive development of green business models, and comprehensive social mobilization. Local capacity for sustainable operation and maintenance of plants, women's economic empowerment through value chain development, and market promotion of recycled products will be enhanced through the interventions of the project. Also in these areas, Practical Action is working to create a decent working environment and social inclusion of waste and sanitation workers and the capacity of municipalities through ICT-based monitoring to track consumer satisfaction. We involved </w:t>
      </w:r>
      <w:r>
        <w:rPr>
          <w:rFonts w:eastAsia="Times New Roman" w:cs="Times New Roman"/>
          <w:color w:val="000000" w:themeColor="text1"/>
          <w:sz w:val="22"/>
          <w:szCs w:val="22"/>
        </w:rPr>
        <w:lastRenderedPageBreak/>
        <w:t xml:space="preserve">multiple key stakeholders including municipality, private sector, and both commercial and institutional consumer communities who participated in improved services. In this situation, Practical Action is planning to construct a demonstrable recycling plant to recycle single use thin plastic waste through pyrolysis process aim to produce saleable pyrolysis oil and black carbon. Hence, we are inviting qualified consultants or group of individuals for </w:t>
      </w:r>
      <w:r>
        <w:rPr>
          <w:rFonts w:eastAsia="Trade Gothic LT Com" w:cstheme="minorHAnsi"/>
          <w:bCs/>
          <w:color w:val="000000" w:themeColor="text1"/>
          <w:sz w:val="22"/>
          <w:szCs w:val="22"/>
        </w:rPr>
        <w:t xml:space="preserve">detailed design for structures, electrical and mechanical plan for instrumental set up for this demonstrable recycling plant. </w:t>
      </w:r>
    </w:p>
    <w:p w14:paraId="58F62758" w14:textId="77777777" w:rsidR="00FC6BCE" w:rsidRDefault="00BB372C">
      <w:pPr>
        <w:pStyle w:val="xmsonormal"/>
        <w:numPr>
          <w:ilvl w:val="1"/>
          <w:numId w:val="1"/>
        </w:numPr>
        <w:shd w:val="clear" w:color="auto" w:fill="FFFFFF"/>
        <w:contextualSpacing/>
        <w:rPr>
          <w:rFonts w:ascii="Georgia" w:hAnsi="Georgia" w:cs="Arial"/>
          <w:b/>
          <w:bCs/>
          <w:color w:val="000000" w:themeColor="text1"/>
          <w:sz w:val="22"/>
          <w:szCs w:val="22"/>
          <w:lang w:val="en-GB"/>
        </w:rPr>
      </w:pPr>
      <w:r>
        <w:rPr>
          <w:rFonts w:ascii="Georgia" w:hAnsi="Georgia" w:cs="Arial"/>
          <w:b/>
          <w:bCs/>
          <w:color w:val="000000" w:themeColor="text1"/>
          <w:sz w:val="22"/>
          <w:szCs w:val="22"/>
          <w:lang w:val="en-GB"/>
        </w:rPr>
        <w:t>Objectives</w:t>
      </w:r>
    </w:p>
    <w:p w14:paraId="76504B49" w14:textId="77777777" w:rsidR="00FC6BCE" w:rsidRDefault="00FC6BCE">
      <w:pPr>
        <w:pStyle w:val="xmsonormal"/>
        <w:shd w:val="clear" w:color="auto" w:fill="FFFFFF"/>
        <w:contextualSpacing/>
        <w:rPr>
          <w:rFonts w:ascii="Georgia" w:hAnsi="Georgia" w:cs="Arial"/>
          <w:b/>
          <w:bCs/>
          <w:color w:val="000000" w:themeColor="text1"/>
          <w:sz w:val="22"/>
          <w:szCs w:val="22"/>
          <w:lang w:val="en-GB"/>
        </w:rPr>
      </w:pPr>
    </w:p>
    <w:p w14:paraId="01651414" w14:textId="77777777" w:rsidR="00FC6BCE" w:rsidRDefault="00BB372C">
      <w:r>
        <w:t xml:space="preserve">i. To develop a detailed layout plan for a proposed thin plastic recycling demonstration plant in Faridpur. </w:t>
      </w:r>
    </w:p>
    <w:p w14:paraId="1DBFEDC1" w14:textId="77777777" w:rsidR="00FC6BCE" w:rsidRDefault="00BB372C">
      <w:r>
        <w:t xml:space="preserve">ii. To carry out detailed engineering design of all categories of infrastructure works including the landscape development works and prepare the corresponding detailed drawings </w:t>
      </w:r>
      <w:r w:rsidR="00E93C12">
        <w:t xml:space="preserve">includes plan/view, X – section, elevation, etc. and cost estimates. The design pack shall contains all relevant engineering information to </w:t>
      </w:r>
      <w:r w:rsidR="0000578D">
        <w:t>satisfy the relevant agencies for approval to construct, installation and operate.</w:t>
      </w:r>
    </w:p>
    <w:p w14:paraId="6710B837" w14:textId="77777777" w:rsidR="00FC6BCE" w:rsidRDefault="00BB372C">
      <w:r>
        <w:t xml:space="preserve">iii. Supervision during construction phase of the demonstration recycling plant and quick response and immediate steps to correction in design if arise in during correction. </w:t>
      </w:r>
    </w:p>
    <w:p w14:paraId="0777F6AE" w14:textId="77777777" w:rsidR="0000578D" w:rsidRPr="0000578D" w:rsidRDefault="0000578D" w:rsidP="0000578D">
      <w:pPr>
        <w:pStyle w:val="ListParagraph"/>
        <w:numPr>
          <w:ilvl w:val="1"/>
          <w:numId w:val="1"/>
        </w:numPr>
        <w:rPr>
          <w:b/>
        </w:rPr>
      </w:pPr>
      <w:r w:rsidRPr="0000578D">
        <w:rPr>
          <w:b/>
        </w:rPr>
        <w:t>Methods of design</w:t>
      </w:r>
    </w:p>
    <w:p w14:paraId="203F212B" w14:textId="715D1255" w:rsidR="0000578D" w:rsidRPr="00BC5D63" w:rsidRDefault="00BC5D63" w:rsidP="0000578D">
      <w:r w:rsidRPr="00BC5D63">
        <w:t xml:space="preserve">The consultant will prepare the detail design in participatory consultation with Practical Action, </w:t>
      </w:r>
      <w:proofErr w:type="spellStart"/>
      <w:r w:rsidRPr="00BC5D63">
        <w:t>RiverRecycle</w:t>
      </w:r>
      <w:proofErr w:type="spellEnd"/>
      <w:r w:rsidRPr="00BC5D63">
        <w:t xml:space="preserve"> and Faridpur Municipality and its key departments. </w:t>
      </w:r>
    </w:p>
    <w:p w14:paraId="30E82BB0" w14:textId="77777777" w:rsidR="00FC6BCE" w:rsidRDefault="00BB372C">
      <w:pPr>
        <w:pStyle w:val="ListParagraph"/>
        <w:numPr>
          <w:ilvl w:val="0"/>
          <w:numId w:val="1"/>
        </w:numPr>
        <w:spacing w:before="240" w:after="0"/>
        <w:jc w:val="both"/>
        <w:rPr>
          <w:color w:val="000000" w:themeColor="text1"/>
        </w:rPr>
      </w:pPr>
      <w:r>
        <w:rPr>
          <w:b/>
          <w:color w:val="000000" w:themeColor="text1"/>
          <w:sz w:val="24"/>
          <w:szCs w:val="24"/>
        </w:rPr>
        <w:t xml:space="preserve">Scope of services </w:t>
      </w:r>
    </w:p>
    <w:p w14:paraId="55E0DA33" w14:textId="77777777" w:rsidR="00FC6BCE" w:rsidRDefault="00FC6BCE">
      <w:pPr>
        <w:rPr>
          <w:highlight w:val="yellow"/>
        </w:rPr>
      </w:pPr>
    </w:p>
    <w:p w14:paraId="2E1FB982" w14:textId="77777777" w:rsidR="00FC6BCE" w:rsidRDefault="00BB372C">
      <w:r>
        <w:t>Scope of services</w:t>
      </w:r>
    </w:p>
    <w:p w14:paraId="121C880C" w14:textId="77777777" w:rsidR="00FC6BCE" w:rsidRDefault="00BB372C">
      <w:r>
        <w:t>The scope of the consultancy services includes</w:t>
      </w:r>
    </w:p>
    <w:p w14:paraId="6B9BE356" w14:textId="77777777" w:rsidR="00FC6BCE" w:rsidRDefault="00BB372C">
      <w:pPr>
        <w:pStyle w:val="ListParagraph"/>
        <w:numPr>
          <w:ilvl w:val="0"/>
          <w:numId w:val="2"/>
        </w:numPr>
        <w:autoSpaceDE w:val="0"/>
        <w:autoSpaceDN w:val="0"/>
        <w:adjustRightInd w:val="0"/>
        <w:spacing w:after="0" w:line="240" w:lineRule="auto"/>
        <w:rPr>
          <w:rFonts w:cs="Times New Roman"/>
          <w:color w:val="000000"/>
          <w:lang w:val="en-US"/>
        </w:rPr>
      </w:pPr>
      <w:r>
        <w:rPr>
          <w:rFonts w:cs="Times New Roman"/>
          <w:color w:val="000000"/>
          <w:lang w:val="en-US"/>
        </w:rPr>
        <w:t xml:space="preserve">Conduct topographical survey of the proposed site to accurately measure, prepare a detailed layout plan for the demonstration plant and carry out design works in accordance with the detailed layout plan. The categories of infrastructure must include, but not limited to: </w:t>
      </w:r>
    </w:p>
    <w:p w14:paraId="566D562C" w14:textId="77777777" w:rsidR="00FC6BCE" w:rsidRDefault="00FC6BCE">
      <w:pPr>
        <w:autoSpaceDE w:val="0"/>
        <w:autoSpaceDN w:val="0"/>
        <w:adjustRightInd w:val="0"/>
        <w:spacing w:after="0" w:line="240" w:lineRule="auto"/>
        <w:rPr>
          <w:rFonts w:cs="Times New Roman"/>
          <w:color w:val="000000"/>
          <w:lang w:val="en-US"/>
        </w:rPr>
      </w:pPr>
    </w:p>
    <w:p w14:paraId="3B8FC09C"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a) Landscaping and compound boundary wall and fencing</w:t>
      </w:r>
    </w:p>
    <w:p w14:paraId="14DCE65C"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b) Road Networks </w:t>
      </w:r>
    </w:p>
    <w:p w14:paraId="797E080C"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c) Water supply and distribution system </w:t>
      </w:r>
    </w:p>
    <w:p w14:paraId="7307B023"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d) Electrical system (electrical drawing and design, Compound lighting, recommendation on the capacity of the substation and </w:t>
      </w:r>
      <w:proofErr w:type="spellStart"/>
      <w:r>
        <w:rPr>
          <w:rFonts w:cs="Times New Roman"/>
          <w:color w:val="000000"/>
          <w:lang w:val="en-US"/>
        </w:rPr>
        <w:t>back up</w:t>
      </w:r>
      <w:proofErr w:type="spellEnd"/>
      <w:r>
        <w:rPr>
          <w:rFonts w:cs="Times New Roman"/>
          <w:color w:val="000000"/>
          <w:lang w:val="en-US"/>
        </w:rPr>
        <w:t xml:space="preserve"> generator) </w:t>
      </w:r>
    </w:p>
    <w:p w14:paraId="08FD319E"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e) A temporary office </w:t>
      </w:r>
    </w:p>
    <w:p w14:paraId="74653A76"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f) Security guard services (guard house and security gate) </w:t>
      </w:r>
    </w:p>
    <w:p w14:paraId="6A80A651"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g) Parking area </w:t>
      </w:r>
    </w:p>
    <w:p w14:paraId="64796F87"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h) Fire hydrant system and facilities </w:t>
      </w:r>
    </w:p>
    <w:p w14:paraId="21B882C9"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i) Sewerage system </w:t>
      </w:r>
      <w:r w:rsidR="00EE03F3">
        <w:rPr>
          <w:rFonts w:cs="Times New Roman"/>
          <w:color w:val="000000"/>
          <w:lang w:val="en-US"/>
        </w:rPr>
        <w:t>/ Drainage Networks within the project site</w:t>
      </w:r>
      <w:r w:rsidR="00EE03F3" w:rsidRPr="003C38CF">
        <w:rPr>
          <w:rFonts w:cs="Times New Roman"/>
          <w:color w:val="000000"/>
          <w:lang w:val="en-US"/>
        </w:rPr>
        <w:t xml:space="preserve"> </w:t>
      </w:r>
      <w:r>
        <w:rPr>
          <w:rFonts w:cs="Times New Roman"/>
          <w:color w:val="000000"/>
          <w:lang w:val="en-US"/>
        </w:rPr>
        <w:t xml:space="preserve">(sewerage lines and treatment plant) </w:t>
      </w:r>
    </w:p>
    <w:p w14:paraId="3E7E0C59"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j) Waste management facility </w:t>
      </w:r>
    </w:p>
    <w:p w14:paraId="04AC7612" w14:textId="77777777" w:rsidR="00FC6BCE" w:rsidRDefault="00FC6BCE">
      <w:pPr>
        <w:autoSpaceDE w:val="0"/>
        <w:autoSpaceDN w:val="0"/>
        <w:adjustRightInd w:val="0"/>
        <w:spacing w:after="0" w:line="240" w:lineRule="auto"/>
        <w:rPr>
          <w:rFonts w:cs="Times New Roman"/>
          <w:color w:val="000000"/>
          <w:lang w:val="en-US"/>
        </w:rPr>
      </w:pPr>
    </w:p>
    <w:p w14:paraId="673A4BCE" w14:textId="77777777" w:rsidR="00FC6BCE" w:rsidRDefault="00BB372C">
      <w:pPr>
        <w:autoSpaceDE w:val="0"/>
        <w:autoSpaceDN w:val="0"/>
        <w:adjustRightInd w:val="0"/>
        <w:spacing w:after="0" w:line="240" w:lineRule="auto"/>
      </w:pPr>
      <w:r>
        <w:lastRenderedPageBreak/>
        <w:t xml:space="preserve">In addition, the consultant is required to conduct </w:t>
      </w:r>
    </w:p>
    <w:p w14:paraId="427B11AD" w14:textId="77777777" w:rsidR="00FC6BCE" w:rsidRDefault="00FC6BCE">
      <w:pPr>
        <w:autoSpaceDE w:val="0"/>
        <w:autoSpaceDN w:val="0"/>
        <w:adjustRightInd w:val="0"/>
        <w:spacing w:after="0" w:line="240" w:lineRule="auto"/>
      </w:pPr>
    </w:p>
    <w:p w14:paraId="0661ECA6" w14:textId="77777777" w:rsidR="00FC6BCE" w:rsidRDefault="00BB372C">
      <w:pPr>
        <w:pStyle w:val="ListParagraph"/>
        <w:numPr>
          <w:ilvl w:val="0"/>
          <w:numId w:val="4"/>
        </w:numPr>
        <w:autoSpaceDE w:val="0"/>
        <w:autoSpaceDN w:val="0"/>
        <w:adjustRightInd w:val="0"/>
        <w:spacing w:after="0" w:line="240" w:lineRule="auto"/>
        <w:rPr>
          <w:rFonts w:cs="Times New Roman"/>
          <w:color w:val="000000"/>
          <w:lang w:val="en-US"/>
        </w:rPr>
      </w:pPr>
      <w:r>
        <w:rPr>
          <w:rFonts w:cs="Times New Roman"/>
          <w:color w:val="000000"/>
          <w:lang w:val="en-US"/>
        </w:rPr>
        <w:t xml:space="preserve">On approval of the preliminary designs (in consultation with Practical Action), prepare detailed architectural and structural engineering designs and drawings of all infrastructure works in conformity with Bangladesh National Building Code (BNBC) 2020 and others and get the approvals from the competent authority (here Faridpur Municipality). </w:t>
      </w:r>
    </w:p>
    <w:p w14:paraId="75C044C3" w14:textId="77777777" w:rsidR="00FC6BCE" w:rsidRDefault="00FC6BCE">
      <w:pPr>
        <w:autoSpaceDE w:val="0"/>
        <w:autoSpaceDN w:val="0"/>
        <w:adjustRightInd w:val="0"/>
        <w:spacing w:after="0" w:line="240" w:lineRule="auto"/>
        <w:rPr>
          <w:rFonts w:cs="Times New Roman"/>
          <w:color w:val="000000"/>
          <w:lang w:val="en-US"/>
        </w:rPr>
      </w:pPr>
    </w:p>
    <w:p w14:paraId="6C1AF056" w14:textId="77777777" w:rsidR="00FC6BCE" w:rsidRDefault="00BB372C">
      <w:pPr>
        <w:pStyle w:val="ListParagraph"/>
        <w:numPr>
          <w:ilvl w:val="0"/>
          <w:numId w:val="4"/>
        </w:numPr>
        <w:autoSpaceDE w:val="0"/>
        <w:autoSpaceDN w:val="0"/>
        <w:adjustRightInd w:val="0"/>
        <w:spacing w:after="0" w:line="240" w:lineRule="auto"/>
        <w:rPr>
          <w:rFonts w:cs="Times New Roman"/>
          <w:color w:val="000000"/>
          <w:lang w:val="en-US"/>
        </w:rPr>
      </w:pPr>
      <w:r>
        <w:rPr>
          <w:rFonts w:cs="Times New Roman"/>
          <w:color w:val="000000"/>
          <w:lang w:val="en-US"/>
        </w:rPr>
        <w:t>Prepare detailed cost estimates and segregated Bill of Quantities (</w:t>
      </w:r>
      <w:proofErr w:type="spellStart"/>
      <w:r>
        <w:rPr>
          <w:rFonts w:cs="Times New Roman"/>
          <w:color w:val="000000"/>
          <w:lang w:val="en-US"/>
        </w:rPr>
        <w:t>BoQ</w:t>
      </w:r>
      <w:proofErr w:type="spellEnd"/>
      <w:r>
        <w:rPr>
          <w:rFonts w:cs="Times New Roman"/>
          <w:color w:val="000000"/>
          <w:lang w:val="en-US"/>
        </w:rPr>
        <w:t>) for each category of infrastructure using the latest market rates. Prepare rates analysis and shall be submitted and suggest Practical Action a quality  Brand List which are reputed in national and international market shall serve as a reference. The incorporation reputed brand construction materials in the designs, estimates, and the (</w:t>
      </w:r>
      <w:proofErr w:type="spellStart"/>
      <w:r>
        <w:rPr>
          <w:rFonts w:cs="Times New Roman"/>
          <w:color w:val="000000"/>
          <w:lang w:val="en-US"/>
        </w:rPr>
        <w:t>BoQ</w:t>
      </w:r>
      <w:proofErr w:type="spellEnd"/>
      <w:r>
        <w:rPr>
          <w:rFonts w:cs="Times New Roman"/>
          <w:color w:val="000000"/>
          <w:lang w:val="en-US"/>
        </w:rPr>
        <w:t xml:space="preserve">) is also compulsory. </w:t>
      </w:r>
    </w:p>
    <w:p w14:paraId="60830B0D" w14:textId="77777777" w:rsidR="00FC6BCE" w:rsidRDefault="00FC6BCE">
      <w:pPr>
        <w:autoSpaceDE w:val="0"/>
        <w:autoSpaceDN w:val="0"/>
        <w:adjustRightInd w:val="0"/>
        <w:spacing w:after="0" w:line="240" w:lineRule="auto"/>
        <w:rPr>
          <w:rFonts w:cs="Times New Roman"/>
          <w:color w:val="000000"/>
          <w:highlight w:val="yellow"/>
          <w:lang w:val="en-US"/>
        </w:rPr>
      </w:pPr>
    </w:p>
    <w:p w14:paraId="1E4BDCA6" w14:textId="77777777" w:rsidR="00FC6BCE" w:rsidRDefault="00BB372C">
      <w:pPr>
        <w:numPr>
          <w:ilvl w:val="0"/>
          <w:numId w:val="4"/>
        </w:numPr>
        <w:autoSpaceDE w:val="0"/>
        <w:autoSpaceDN w:val="0"/>
        <w:adjustRightInd w:val="0"/>
        <w:spacing w:after="0" w:line="240" w:lineRule="auto"/>
        <w:rPr>
          <w:rFonts w:cs="Times New Roman"/>
          <w:color w:val="000000"/>
          <w:lang w:val="en-US"/>
        </w:rPr>
      </w:pPr>
      <w:r>
        <w:rPr>
          <w:rFonts w:cs="Times New Roman"/>
          <w:color w:val="000000"/>
          <w:lang w:val="en-US"/>
        </w:rPr>
        <w:t xml:space="preserve">Support and guide the Practical Action and its partners till the completion of the development of the recycling plant. This shall involve clarification of doubts that may arise during the construction of infrastructure and installation of equipment’s related to the contents of the Final Report and may also require site visits for proper implementation. </w:t>
      </w:r>
    </w:p>
    <w:p w14:paraId="5F5C877F" w14:textId="77777777" w:rsidR="00FC6BCE" w:rsidRDefault="00FC6BCE">
      <w:pPr>
        <w:autoSpaceDE w:val="0"/>
        <w:autoSpaceDN w:val="0"/>
        <w:adjustRightInd w:val="0"/>
        <w:spacing w:after="0" w:line="240" w:lineRule="auto"/>
      </w:pPr>
    </w:p>
    <w:p w14:paraId="7BC70001" w14:textId="77777777" w:rsidR="00FC6BCE" w:rsidRDefault="00BB372C">
      <w:pPr>
        <w:autoSpaceDE w:val="0"/>
        <w:autoSpaceDN w:val="0"/>
        <w:adjustRightInd w:val="0"/>
        <w:spacing w:after="0" w:line="240" w:lineRule="auto"/>
        <w:ind w:left="360"/>
      </w:pPr>
      <w:r>
        <w:t>The consultant shall be wholly responsible for all data, design, and drawings provided, including details the execution methodology, and various other parameters, incorporation of soil test data in design parameters. All data utilized in preparation of the reports shall be presented indicating the sources of the data and also the basis of assumptions, if any. The consultant shall visit the proposed site and study the environment to prepare and submit the proposal at their own cost. The final design and drawings will be evaluated and reviewed by an independent Engineers (IE) appointed by Faridpur Municipality. In addition, the consultant shall include the cost of carrying out all the above responsibilities including the payment of IE, inter alia, in their Financial Proposal.</w:t>
      </w:r>
    </w:p>
    <w:p w14:paraId="1C5823A5" w14:textId="77777777" w:rsidR="00FC6BCE" w:rsidRDefault="00FC6BCE">
      <w:pPr>
        <w:autoSpaceDE w:val="0"/>
        <w:autoSpaceDN w:val="0"/>
        <w:adjustRightInd w:val="0"/>
        <w:spacing w:after="0" w:line="240" w:lineRule="auto"/>
      </w:pPr>
    </w:p>
    <w:p w14:paraId="7C5C3F63" w14:textId="77777777" w:rsidR="00FC6BCE" w:rsidRPr="00047D25" w:rsidRDefault="00BB372C">
      <w:pPr>
        <w:pStyle w:val="ListParagraph"/>
        <w:numPr>
          <w:ilvl w:val="0"/>
          <w:numId w:val="1"/>
        </w:numPr>
        <w:autoSpaceDE w:val="0"/>
        <w:autoSpaceDN w:val="0"/>
        <w:adjustRightInd w:val="0"/>
        <w:spacing w:after="0" w:line="240" w:lineRule="auto"/>
        <w:rPr>
          <w:b/>
          <w:bCs/>
        </w:rPr>
      </w:pPr>
      <w:r w:rsidRPr="00047D25">
        <w:rPr>
          <w:b/>
          <w:bCs/>
        </w:rPr>
        <w:t xml:space="preserve">Deliverables </w:t>
      </w:r>
    </w:p>
    <w:p w14:paraId="79F8BFFC" w14:textId="77777777" w:rsidR="00FC6BCE" w:rsidRDefault="00FC6BCE">
      <w:pPr>
        <w:autoSpaceDE w:val="0"/>
        <w:autoSpaceDN w:val="0"/>
        <w:adjustRightInd w:val="0"/>
        <w:spacing w:after="0" w:line="240" w:lineRule="auto"/>
      </w:pPr>
    </w:p>
    <w:p w14:paraId="56EA0CAC" w14:textId="77777777" w:rsidR="00FC6BCE" w:rsidRDefault="00BB372C">
      <w:pPr>
        <w:autoSpaceDE w:val="0"/>
        <w:autoSpaceDN w:val="0"/>
        <w:adjustRightInd w:val="0"/>
        <w:spacing w:after="0" w:line="240" w:lineRule="auto"/>
      </w:pPr>
      <w:r>
        <w:t>The consultant will submit all necessary drawings including (i). layout, plan, (ii). elevation, section, and view from different sides (west, east, south and north), column design, beam design, roof slab design, and cross section of indi</w:t>
      </w:r>
      <w:r w:rsidR="00EE03F3">
        <w:t>vi</w:t>
      </w:r>
      <w:r>
        <w:t>dual structures in both soft (Auto Cad) and hard copies for boundary wall, temporary office, guard room, temporary road, water tank and roof slab. The consultant will supply at least 11 copies printed drawings in A0 format/ A1 paper size as appropriate.</w:t>
      </w:r>
    </w:p>
    <w:p w14:paraId="6BF51280" w14:textId="77777777" w:rsidR="00FC6BCE" w:rsidRDefault="00FC6BCE">
      <w:pPr>
        <w:autoSpaceDE w:val="0"/>
        <w:autoSpaceDN w:val="0"/>
        <w:adjustRightInd w:val="0"/>
        <w:spacing w:after="0" w:line="240" w:lineRule="auto"/>
      </w:pPr>
    </w:p>
    <w:p w14:paraId="33D3A78B" w14:textId="77777777" w:rsidR="00FC6BCE" w:rsidRDefault="00BB372C">
      <w:pPr>
        <w:autoSpaceDE w:val="0"/>
        <w:autoSpaceDN w:val="0"/>
        <w:adjustRightInd w:val="0"/>
        <w:spacing w:after="0" w:line="240" w:lineRule="auto"/>
      </w:pPr>
      <w:r>
        <w:t xml:space="preserve">After completion of construction, the consultant will submit the corrected version of drawings in both soft (Auto Cad) and printed copies (4 copies). The consultant will bear the cost of printings. </w:t>
      </w:r>
    </w:p>
    <w:p w14:paraId="59CF60D4" w14:textId="77777777" w:rsidR="00FC6BCE" w:rsidRDefault="00FC6BCE">
      <w:pPr>
        <w:autoSpaceDE w:val="0"/>
        <w:autoSpaceDN w:val="0"/>
        <w:adjustRightInd w:val="0"/>
        <w:spacing w:after="0" w:line="240" w:lineRule="auto"/>
      </w:pPr>
    </w:p>
    <w:p w14:paraId="03C27CFC" w14:textId="77777777" w:rsidR="00FC6BCE" w:rsidRDefault="00BB372C">
      <w:pPr>
        <w:autoSpaceDE w:val="0"/>
        <w:autoSpaceDN w:val="0"/>
        <w:adjustRightInd w:val="0"/>
        <w:spacing w:after="0" w:line="240" w:lineRule="auto"/>
      </w:pPr>
      <w:r>
        <w:t>The specific delivery will be as follows but not limited to this list.</w:t>
      </w:r>
    </w:p>
    <w:p w14:paraId="57418C76" w14:textId="77777777" w:rsidR="00FC6BCE" w:rsidRDefault="00FC6BCE">
      <w:pPr>
        <w:autoSpaceDE w:val="0"/>
        <w:autoSpaceDN w:val="0"/>
        <w:adjustRightInd w:val="0"/>
        <w:spacing w:after="0" w:line="240" w:lineRule="auto"/>
      </w:pPr>
    </w:p>
    <w:p w14:paraId="08B67E8F" w14:textId="77777777" w:rsidR="00FC6BCE" w:rsidRDefault="00FC6BCE">
      <w:pPr>
        <w:autoSpaceDE w:val="0"/>
        <w:autoSpaceDN w:val="0"/>
        <w:adjustRightInd w:val="0"/>
        <w:spacing w:after="0" w:line="240" w:lineRule="auto"/>
      </w:pPr>
    </w:p>
    <w:p w14:paraId="5C21F8CF" w14:textId="77777777" w:rsidR="00FC6BCE" w:rsidRDefault="00BB372C">
      <w:pPr>
        <w:pStyle w:val="ListParagraph"/>
        <w:numPr>
          <w:ilvl w:val="0"/>
          <w:numId w:val="5"/>
        </w:numPr>
        <w:rPr>
          <w:rFonts w:cs="Times New Roman"/>
          <w:color w:val="000000"/>
          <w:lang w:val="en-US"/>
        </w:rPr>
      </w:pPr>
      <w:r>
        <w:rPr>
          <w:rFonts w:cs="Times New Roman"/>
          <w:color w:val="000000"/>
          <w:lang w:val="en-US"/>
        </w:rPr>
        <w:t>Site visit</w:t>
      </w:r>
    </w:p>
    <w:p w14:paraId="1E52F445" w14:textId="77777777" w:rsidR="00FC6BCE" w:rsidRDefault="00BB372C">
      <w:pPr>
        <w:pStyle w:val="ListParagraph"/>
        <w:numPr>
          <w:ilvl w:val="0"/>
          <w:numId w:val="5"/>
        </w:numPr>
        <w:rPr>
          <w:rFonts w:cs="Times New Roman"/>
          <w:color w:val="000000"/>
          <w:lang w:val="en-US"/>
        </w:rPr>
      </w:pPr>
      <w:r>
        <w:rPr>
          <w:rFonts w:cs="Times New Roman"/>
          <w:color w:val="000000"/>
          <w:lang w:val="en-US"/>
        </w:rPr>
        <w:t>Soil test</w:t>
      </w:r>
      <w:r w:rsidR="00EE03F3">
        <w:rPr>
          <w:rFonts w:cs="Times New Roman"/>
          <w:color w:val="000000"/>
          <w:lang w:val="en-US"/>
        </w:rPr>
        <w:t xml:space="preserve"> for load bearing capacity</w:t>
      </w:r>
    </w:p>
    <w:p w14:paraId="6F71B116" w14:textId="77777777" w:rsidR="00FC6BCE" w:rsidRDefault="00BB372C">
      <w:pPr>
        <w:pStyle w:val="ListParagraph"/>
        <w:numPr>
          <w:ilvl w:val="0"/>
          <w:numId w:val="5"/>
        </w:numPr>
      </w:pPr>
      <w:r>
        <w:t>A detailed layout plan</w:t>
      </w:r>
    </w:p>
    <w:p w14:paraId="77A397C5" w14:textId="77777777" w:rsidR="00FC6BCE" w:rsidRDefault="00BB372C">
      <w:pPr>
        <w:pStyle w:val="ListParagraph"/>
        <w:numPr>
          <w:ilvl w:val="0"/>
          <w:numId w:val="5"/>
        </w:numPr>
      </w:pPr>
      <w:r>
        <w:rPr>
          <w:rFonts w:cs="Times New Roman"/>
          <w:color w:val="000000"/>
          <w:lang w:val="en-US"/>
        </w:rPr>
        <w:t xml:space="preserve">Detailed engineering design of all categories of infrastructure including architecture, structures, electrical layout, mechanical installation plan. The </w:t>
      </w:r>
      <w:r>
        <w:rPr>
          <w:rFonts w:cs="Times New Roman"/>
          <w:color w:val="000000"/>
          <w:lang w:val="en-US"/>
        </w:rPr>
        <w:lastRenderedPageBreak/>
        <w:t>infrastructure list contains boundary wall, temporary road, temporary office, guardroom, water tank with roof slab, etc.</w:t>
      </w:r>
    </w:p>
    <w:p w14:paraId="5A02474B" w14:textId="77777777" w:rsidR="00FC6BCE" w:rsidRDefault="00BB372C">
      <w:pPr>
        <w:pStyle w:val="ListParagraph"/>
        <w:numPr>
          <w:ilvl w:val="0"/>
          <w:numId w:val="5"/>
        </w:numPr>
      </w:pPr>
      <w:proofErr w:type="spellStart"/>
      <w:r>
        <w:rPr>
          <w:rFonts w:cs="Times New Roman"/>
          <w:color w:val="000000"/>
          <w:lang w:val="en-US"/>
        </w:rPr>
        <w:t>BoQ</w:t>
      </w:r>
      <w:proofErr w:type="spellEnd"/>
      <w:r>
        <w:rPr>
          <w:rFonts w:cs="Times New Roman"/>
          <w:color w:val="000000"/>
          <w:lang w:val="en-US"/>
        </w:rPr>
        <w:t xml:space="preserve"> for sand filling</w:t>
      </w:r>
    </w:p>
    <w:p w14:paraId="2475E349" w14:textId="77777777" w:rsidR="00FC6BCE" w:rsidRDefault="00BB372C">
      <w:pPr>
        <w:pStyle w:val="ListParagraph"/>
        <w:numPr>
          <w:ilvl w:val="0"/>
          <w:numId w:val="5"/>
        </w:numPr>
      </w:pPr>
      <w:proofErr w:type="spellStart"/>
      <w:r>
        <w:rPr>
          <w:rFonts w:cs="Times New Roman"/>
          <w:color w:val="000000"/>
          <w:lang w:val="en-US"/>
        </w:rPr>
        <w:t>BoQ</w:t>
      </w:r>
      <w:proofErr w:type="spellEnd"/>
      <w:r>
        <w:rPr>
          <w:rFonts w:cs="Times New Roman"/>
          <w:color w:val="000000"/>
          <w:lang w:val="en-US"/>
        </w:rPr>
        <w:t xml:space="preserve"> (detailed cost estimates and segregated </w:t>
      </w:r>
      <w:proofErr w:type="spellStart"/>
      <w:r>
        <w:rPr>
          <w:rFonts w:cs="Times New Roman"/>
          <w:color w:val="000000"/>
          <w:lang w:val="en-US"/>
        </w:rPr>
        <w:t>BoQ</w:t>
      </w:r>
      <w:proofErr w:type="spellEnd"/>
      <w:r>
        <w:rPr>
          <w:rFonts w:cs="Times New Roman"/>
          <w:color w:val="000000"/>
          <w:lang w:val="en-US"/>
        </w:rPr>
        <w:t xml:space="preserve"> for each category of infrastructure using the latest market rates</w:t>
      </w:r>
    </w:p>
    <w:p w14:paraId="599D3598" w14:textId="77777777" w:rsidR="00FC6BCE" w:rsidRDefault="00BB372C">
      <w:pPr>
        <w:pStyle w:val="ListParagraph"/>
        <w:numPr>
          <w:ilvl w:val="0"/>
          <w:numId w:val="5"/>
        </w:numPr>
      </w:pPr>
      <w:r>
        <w:rPr>
          <w:rFonts w:cs="Times New Roman"/>
          <w:color w:val="000000"/>
          <w:lang w:val="en-US"/>
        </w:rPr>
        <w:t>Cost estimates including rates estimates and suggest brand</w:t>
      </w:r>
    </w:p>
    <w:p w14:paraId="7F1DEC65" w14:textId="77777777" w:rsidR="00FC6BCE" w:rsidRDefault="00BB372C">
      <w:pPr>
        <w:pStyle w:val="ListParagraph"/>
        <w:numPr>
          <w:ilvl w:val="0"/>
          <w:numId w:val="5"/>
        </w:numPr>
      </w:pPr>
      <w:r>
        <w:rPr>
          <w:rFonts w:cs="Times New Roman"/>
          <w:color w:val="000000"/>
          <w:lang w:val="en-US"/>
        </w:rPr>
        <w:t>Site supervision</w:t>
      </w:r>
    </w:p>
    <w:p w14:paraId="3A02D946" w14:textId="77777777" w:rsidR="00FC6BCE" w:rsidRDefault="00BB372C">
      <w:pPr>
        <w:pStyle w:val="ListParagraph"/>
        <w:numPr>
          <w:ilvl w:val="0"/>
          <w:numId w:val="5"/>
        </w:numPr>
      </w:pPr>
      <w:r>
        <w:rPr>
          <w:rFonts w:cs="Times New Roman"/>
          <w:color w:val="000000"/>
          <w:lang w:val="en-US"/>
        </w:rPr>
        <w:t>correction of design if arise in during construction</w:t>
      </w:r>
    </w:p>
    <w:p w14:paraId="1A563291" w14:textId="77777777" w:rsidR="00FC6BCE" w:rsidRDefault="00BB372C">
      <w:pPr>
        <w:pStyle w:val="ListParagraph"/>
        <w:numPr>
          <w:ilvl w:val="0"/>
          <w:numId w:val="5"/>
        </w:numPr>
        <w:rPr>
          <w:rFonts w:cs="Times New Roman"/>
          <w:color w:val="000000"/>
          <w:lang w:val="en-US"/>
        </w:rPr>
      </w:pPr>
      <w:r>
        <w:t>Reviewed by an independent Engineers (IE) and payment to Independent Engineers</w:t>
      </w:r>
    </w:p>
    <w:p w14:paraId="77DE99DF" w14:textId="77777777" w:rsidR="00FC6BCE" w:rsidRDefault="00BB372C">
      <w:pPr>
        <w:rPr>
          <w:rFonts w:cs="Times New Roman"/>
          <w:b/>
          <w:color w:val="000000"/>
          <w:lang w:val="en-US"/>
        </w:rPr>
      </w:pPr>
      <w:r>
        <w:rPr>
          <w:rFonts w:cs="Times New Roman"/>
          <w:b/>
          <w:color w:val="000000"/>
          <w:lang w:val="en-US"/>
        </w:rPr>
        <w:t>More detailing of deliverables are as follows.</w:t>
      </w:r>
    </w:p>
    <w:p w14:paraId="31C1FEDE"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i. Landscaping and compound fencing</w:t>
      </w:r>
    </w:p>
    <w:p w14:paraId="7A5B520D"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ii. Road Networks</w:t>
      </w:r>
    </w:p>
    <w:p w14:paraId="1C67C0E6"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iii. Water supply and distribution system</w:t>
      </w:r>
    </w:p>
    <w:p w14:paraId="535FFAEA"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1v. Electrical system (electrical drawing and design, Compound lighting, recommendation on the capacity of the substation and </w:t>
      </w:r>
      <w:proofErr w:type="spellStart"/>
      <w:r>
        <w:rPr>
          <w:rFonts w:cs="Times New Roman"/>
          <w:color w:val="000000"/>
          <w:lang w:val="en-US"/>
        </w:rPr>
        <w:t>back up</w:t>
      </w:r>
      <w:proofErr w:type="spellEnd"/>
      <w:r>
        <w:rPr>
          <w:rFonts w:cs="Times New Roman"/>
          <w:color w:val="000000"/>
          <w:lang w:val="en-US"/>
        </w:rPr>
        <w:t xml:space="preserve"> generator) </w:t>
      </w:r>
    </w:p>
    <w:p w14:paraId="2429C82A"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v. Temporary office </w:t>
      </w:r>
    </w:p>
    <w:p w14:paraId="71F0AEF9"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vi. Security guard services (guard house and security gate) </w:t>
      </w:r>
    </w:p>
    <w:p w14:paraId="39757DBE"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vii. Parking area </w:t>
      </w:r>
    </w:p>
    <w:p w14:paraId="6B65C274" w14:textId="77777777" w:rsidR="00FC6BCE" w:rsidRDefault="00BB372C">
      <w:pPr>
        <w:numPr>
          <w:ilvl w:val="0"/>
          <w:numId w:val="3"/>
        </w:numPr>
        <w:autoSpaceDE w:val="0"/>
        <w:autoSpaceDN w:val="0"/>
        <w:adjustRightInd w:val="0"/>
        <w:spacing w:after="68" w:line="240" w:lineRule="auto"/>
        <w:rPr>
          <w:rFonts w:cs="Times New Roman"/>
          <w:color w:val="000000"/>
          <w:lang w:val="en-US"/>
        </w:rPr>
      </w:pPr>
      <w:r>
        <w:rPr>
          <w:rFonts w:cs="Times New Roman"/>
          <w:color w:val="000000"/>
          <w:lang w:val="en-US"/>
        </w:rPr>
        <w:t xml:space="preserve">viii. Fire hydrant system and facilities </w:t>
      </w:r>
    </w:p>
    <w:p w14:paraId="39E1D394" w14:textId="77777777" w:rsidR="00FC6BCE" w:rsidRPr="00A32917" w:rsidRDefault="00BB372C">
      <w:pPr>
        <w:numPr>
          <w:ilvl w:val="0"/>
          <w:numId w:val="3"/>
        </w:numPr>
        <w:autoSpaceDE w:val="0"/>
        <w:autoSpaceDN w:val="0"/>
        <w:adjustRightInd w:val="0"/>
        <w:spacing w:after="68" w:line="240" w:lineRule="auto"/>
        <w:rPr>
          <w:rFonts w:cs="Times New Roman"/>
          <w:color w:val="000000"/>
          <w:lang w:val="en-US"/>
        </w:rPr>
      </w:pPr>
      <w:r w:rsidRPr="00A32917">
        <w:rPr>
          <w:rFonts w:cs="Times New Roman"/>
          <w:color w:val="000000"/>
          <w:lang w:val="en-US"/>
        </w:rPr>
        <w:t xml:space="preserve">IX. Sewerage system </w:t>
      </w:r>
      <w:r w:rsidR="00EF1F47" w:rsidRPr="00A32917">
        <w:rPr>
          <w:rFonts w:cs="Times New Roman"/>
          <w:color w:val="000000"/>
          <w:lang w:val="en-US"/>
        </w:rPr>
        <w:t xml:space="preserve">/Drainage Networks within the project site </w:t>
      </w:r>
      <w:r w:rsidRPr="00A32917">
        <w:rPr>
          <w:rFonts w:cs="Times New Roman"/>
          <w:color w:val="000000"/>
          <w:lang w:val="en-US"/>
        </w:rPr>
        <w:t xml:space="preserve">(sewerage lines and treatment plant) </w:t>
      </w:r>
    </w:p>
    <w:p w14:paraId="277E9CEC" w14:textId="77777777" w:rsidR="00FC6BCE" w:rsidRDefault="00BB372C">
      <w:pPr>
        <w:autoSpaceDE w:val="0"/>
        <w:autoSpaceDN w:val="0"/>
        <w:adjustRightInd w:val="0"/>
        <w:spacing w:after="68" w:line="240" w:lineRule="auto"/>
        <w:rPr>
          <w:rFonts w:cs="Times New Roman"/>
          <w:color w:val="000000"/>
          <w:lang w:val="en-US"/>
        </w:rPr>
      </w:pPr>
      <w:r w:rsidRPr="00A32917">
        <w:rPr>
          <w:rFonts w:cs="Times New Roman"/>
          <w:color w:val="000000"/>
          <w:lang w:val="en-US"/>
        </w:rPr>
        <w:t xml:space="preserve">X. Waste management facility </w:t>
      </w:r>
    </w:p>
    <w:p w14:paraId="3F56E080" w14:textId="77777777" w:rsidR="00FC6BCE" w:rsidRDefault="00FC6BCE">
      <w:pPr>
        <w:autoSpaceDE w:val="0"/>
        <w:autoSpaceDN w:val="0"/>
        <w:adjustRightInd w:val="0"/>
        <w:spacing w:after="0" w:line="240" w:lineRule="auto"/>
      </w:pPr>
    </w:p>
    <w:p w14:paraId="02EF7561" w14:textId="77777777" w:rsidR="00FC6BCE" w:rsidRPr="00047D25" w:rsidRDefault="00BB372C">
      <w:pPr>
        <w:pStyle w:val="ListParagraph"/>
        <w:numPr>
          <w:ilvl w:val="0"/>
          <w:numId w:val="1"/>
        </w:numPr>
        <w:autoSpaceDE w:val="0"/>
        <w:autoSpaceDN w:val="0"/>
        <w:adjustRightInd w:val="0"/>
        <w:spacing w:after="0" w:line="240" w:lineRule="auto"/>
        <w:rPr>
          <w:b/>
          <w:bCs/>
        </w:rPr>
      </w:pPr>
      <w:r w:rsidRPr="00047D25">
        <w:rPr>
          <w:b/>
          <w:bCs/>
        </w:rPr>
        <w:t>Supporting documents</w:t>
      </w:r>
    </w:p>
    <w:p w14:paraId="3776CCC7" w14:textId="77777777" w:rsidR="00FC6BCE" w:rsidRDefault="00FC6BCE">
      <w:pPr>
        <w:autoSpaceDE w:val="0"/>
        <w:autoSpaceDN w:val="0"/>
        <w:adjustRightInd w:val="0"/>
        <w:spacing w:after="0" w:line="240" w:lineRule="auto"/>
      </w:pPr>
    </w:p>
    <w:p w14:paraId="639AAD29" w14:textId="77777777" w:rsidR="00FC6BCE" w:rsidRDefault="00BB372C">
      <w:pPr>
        <w:autoSpaceDE w:val="0"/>
        <w:autoSpaceDN w:val="0"/>
        <w:adjustRightInd w:val="0"/>
        <w:spacing w:after="0" w:line="240" w:lineRule="auto"/>
        <w:rPr>
          <w:rFonts w:cs="Times New Roman"/>
          <w:color w:val="000000"/>
          <w:lang w:val="en-US"/>
        </w:rPr>
      </w:pPr>
      <w:r>
        <w:rPr>
          <w:rFonts w:cs="Times New Roman"/>
          <w:bCs/>
          <w:color w:val="000000"/>
          <w:lang w:val="en-US"/>
        </w:rPr>
        <w:t xml:space="preserve">Practical Action will support the consultant by providing following documents after awarding the contract. </w:t>
      </w:r>
    </w:p>
    <w:p w14:paraId="3FF1D796" w14:textId="77777777" w:rsidR="00FC6BCE" w:rsidRDefault="00FC6BCE">
      <w:pPr>
        <w:pStyle w:val="Default"/>
        <w:rPr>
          <w:rFonts w:ascii="Georgia" w:hAnsi="Georgia"/>
          <w:sz w:val="22"/>
          <w:szCs w:val="22"/>
        </w:rPr>
      </w:pPr>
    </w:p>
    <w:p w14:paraId="3BE8593A" w14:textId="77777777" w:rsidR="00FC6BCE" w:rsidRDefault="00BB372C">
      <w:pPr>
        <w:pStyle w:val="ListParagraph"/>
        <w:numPr>
          <w:ilvl w:val="0"/>
          <w:numId w:val="6"/>
        </w:numPr>
      </w:pPr>
      <w:r>
        <w:t xml:space="preserve">Practical Action will provide site dimension, site description and surrounding land use of the proposed recycling plant </w:t>
      </w:r>
    </w:p>
    <w:p w14:paraId="5BB3E7B3" w14:textId="77777777" w:rsidR="00FC6BCE" w:rsidRDefault="00BB372C">
      <w:pPr>
        <w:pStyle w:val="ListParagraph"/>
        <w:numPr>
          <w:ilvl w:val="0"/>
          <w:numId w:val="6"/>
        </w:numPr>
      </w:pPr>
      <w:r>
        <w:t>Practical Action will provide the technology description, list of equipment’s, both dead and live loads of equipment’s, dimension of equipment’s, process flow diagram, etc. which are necessary for the services.</w:t>
      </w:r>
    </w:p>
    <w:p w14:paraId="0AD06473" w14:textId="0F170A39" w:rsidR="00FC6BCE" w:rsidRPr="00020B04" w:rsidRDefault="00BB372C" w:rsidP="00020B04">
      <w:pPr>
        <w:pStyle w:val="ListParagraph"/>
        <w:numPr>
          <w:ilvl w:val="0"/>
          <w:numId w:val="6"/>
        </w:numPr>
      </w:pPr>
      <w:r>
        <w:rPr>
          <w:rFonts w:cs="Times New Roman"/>
          <w:color w:val="000000"/>
          <w:lang w:val="en-US"/>
        </w:rPr>
        <w:t xml:space="preserve">Any other relevant documents available with the Practical Action that deemed necessary for carrying out the services by the consultant.  </w:t>
      </w:r>
    </w:p>
    <w:p w14:paraId="01EFEA61" w14:textId="77777777" w:rsidR="00020B04" w:rsidRDefault="00020B04" w:rsidP="00020B04">
      <w:pPr>
        <w:pStyle w:val="ListParagraph"/>
        <w:ind w:left="1080"/>
      </w:pPr>
    </w:p>
    <w:p w14:paraId="583C594B" w14:textId="78E89E8A" w:rsidR="00FC6BCE" w:rsidRPr="00020B04" w:rsidRDefault="00BB372C" w:rsidP="00020B04">
      <w:pPr>
        <w:pStyle w:val="ListParagraph"/>
        <w:numPr>
          <w:ilvl w:val="0"/>
          <w:numId w:val="1"/>
        </w:numPr>
        <w:spacing w:before="240" w:after="120"/>
        <w:contextualSpacing w:val="0"/>
        <w:jc w:val="both"/>
        <w:rPr>
          <w:b/>
          <w:color w:val="000000" w:themeColor="text1"/>
        </w:rPr>
      </w:pPr>
      <w:r>
        <w:rPr>
          <w:b/>
          <w:color w:val="000000" w:themeColor="text1"/>
        </w:rPr>
        <w:t>Qualification of the consultant/Firm:</w:t>
      </w:r>
    </w:p>
    <w:p w14:paraId="1E3A8A0F" w14:textId="5E4C7549" w:rsidR="00FC6BCE" w:rsidRDefault="00BB372C">
      <w:pPr>
        <w:pStyle w:val="ListParagraph"/>
        <w:numPr>
          <w:ilvl w:val="0"/>
          <w:numId w:val="7"/>
        </w:numPr>
        <w:spacing w:before="60" w:after="60" w:line="240" w:lineRule="auto"/>
        <w:contextualSpacing w:val="0"/>
        <w:jc w:val="both"/>
        <w:rPr>
          <w:rFonts w:cstheme="minorHAnsi"/>
          <w:color w:val="000000" w:themeColor="text1"/>
        </w:rPr>
      </w:pPr>
      <w:r>
        <w:rPr>
          <w:rFonts w:cstheme="minorHAnsi"/>
          <w:color w:val="000000" w:themeColor="text1"/>
        </w:rPr>
        <w:t>Team leader must ha</w:t>
      </w:r>
      <w:r w:rsidR="00A61A07">
        <w:rPr>
          <w:rFonts w:cstheme="minorHAnsi"/>
          <w:color w:val="000000" w:themeColor="text1"/>
        </w:rPr>
        <w:t>ve</w:t>
      </w:r>
      <w:r>
        <w:rPr>
          <w:rFonts w:cstheme="minorHAnsi"/>
          <w:color w:val="000000" w:themeColor="text1"/>
        </w:rPr>
        <w:t xml:space="preserve"> at least B.Sc. in Civil Engineering degree from reputed university with proven track record of at least 5 years’ experience in the design, construction of industrial complex, factory buildings, academic building, campus, etc. </w:t>
      </w:r>
    </w:p>
    <w:p w14:paraId="46CF25EF" w14:textId="77777777" w:rsidR="00FC6BCE" w:rsidRDefault="00BB372C">
      <w:pPr>
        <w:pStyle w:val="ListParagraph"/>
        <w:numPr>
          <w:ilvl w:val="0"/>
          <w:numId w:val="7"/>
        </w:numPr>
        <w:spacing w:before="60" w:after="60" w:line="240" w:lineRule="auto"/>
        <w:contextualSpacing w:val="0"/>
        <w:jc w:val="both"/>
        <w:rPr>
          <w:rFonts w:cstheme="minorHAnsi"/>
          <w:color w:val="000000" w:themeColor="text1"/>
        </w:rPr>
      </w:pPr>
      <w:r>
        <w:rPr>
          <w:rFonts w:eastAsia="Geller Text"/>
          <w:color w:val="000000" w:themeColor="text1"/>
        </w:rPr>
        <w:t>Team leader must have valid membership of Institution of Engineers, Bangladesh.</w:t>
      </w:r>
    </w:p>
    <w:p w14:paraId="13EF1C6A" w14:textId="77777777" w:rsidR="00FC6BCE" w:rsidRDefault="00BB372C">
      <w:pPr>
        <w:pStyle w:val="Default"/>
        <w:numPr>
          <w:ilvl w:val="0"/>
          <w:numId w:val="8"/>
        </w:numPr>
        <w:spacing w:before="60" w:after="60"/>
        <w:jc w:val="both"/>
        <w:rPr>
          <w:rFonts w:ascii="Georgia" w:eastAsia="Geller Text" w:hAnsi="Georgia"/>
          <w:color w:val="000000" w:themeColor="text1"/>
          <w:sz w:val="22"/>
          <w:szCs w:val="22"/>
          <w:lang w:val="en-GB"/>
        </w:rPr>
      </w:pPr>
      <w:r>
        <w:rPr>
          <w:rFonts w:ascii="Georgia" w:eastAsia="Geller Text" w:hAnsi="Georgia"/>
          <w:color w:val="000000" w:themeColor="text1"/>
          <w:sz w:val="22"/>
          <w:szCs w:val="22"/>
          <w:lang w:val="en-GB"/>
        </w:rPr>
        <w:t xml:space="preserve">Good understanding plan and design approval process in governmental authorities in municipality, etc. </w:t>
      </w:r>
    </w:p>
    <w:p w14:paraId="4893EA42" w14:textId="43FB44E2" w:rsidR="00FC6BCE" w:rsidRPr="00020B04" w:rsidRDefault="00BB372C" w:rsidP="00020B04">
      <w:pPr>
        <w:pStyle w:val="Default"/>
        <w:numPr>
          <w:ilvl w:val="0"/>
          <w:numId w:val="8"/>
        </w:numPr>
        <w:spacing w:before="60" w:after="60"/>
        <w:jc w:val="both"/>
        <w:rPr>
          <w:rFonts w:ascii="Georgia" w:eastAsia="Geller Text" w:hAnsi="Georgia"/>
          <w:color w:val="000000" w:themeColor="text1"/>
          <w:sz w:val="22"/>
          <w:szCs w:val="22"/>
          <w:lang w:val="en-GB"/>
        </w:rPr>
      </w:pPr>
      <w:r>
        <w:rPr>
          <w:rFonts w:ascii="Georgia" w:eastAsia="Geller Text" w:hAnsi="Georgia"/>
          <w:color w:val="000000" w:themeColor="text1"/>
          <w:sz w:val="22"/>
          <w:szCs w:val="22"/>
          <w:lang w:val="en-GB"/>
        </w:rPr>
        <w:t xml:space="preserve">The consultant </w:t>
      </w:r>
      <w:r w:rsidR="00A61A07">
        <w:rPr>
          <w:rFonts w:ascii="Georgia" w:eastAsia="Geller Text" w:hAnsi="Georgia"/>
          <w:color w:val="000000" w:themeColor="text1"/>
          <w:sz w:val="22"/>
          <w:szCs w:val="22"/>
          <w:lang w:val="en-GB"/>
        </w:rPr>
        <w:t>has</w:t>
      </w:r>
      <w:r>
        <w:rPr>
          <w:rFonts w:ascii="Georgia" w:eastAsia="Geller Text" w:hAnsi="Georgia"/>
          <w:color w:val="000000" w:themeColor="text1"/>
          <w:sz w:val="22"/>
          <w:szCs w:val="22"/>
          <w:lang w:val="en-GB"/>
        </w:rPr>
        <w:t xml:space="preserve"> the ability to conduct physical survey, topographic survey and soil test independently. </w:t>
      </w:r>
    </w:p>
    <w:p w14:paraId="6D8EB7F2" w14:textId="77777777" w:rsidR="00FC6BCE" w:rsidRDefault="00BB372C">
      <w:pPr>
        <w:pStyle w:val="ListParagraph"/>
        <w:numPr>
          <w:ilvl w:val="0"/>
          <w:numId w:val="1"/>
        </w:numPr>
        <w:spacing w:before="120" w:after="120"/>
        <w:contextualSpacing w:val="0"/>
        <w:jc w:val="both"/>
        <w:rPr>
          <w:rFonts w:cstheme="minorHAnsi"/>
          <w:b/>
          <w:color w:val="000000" w:themeColor="text1"/>
        </w:rPr>
      </w:pPr>
      <w:r>
        <w:rPr>
          <w:rFonts w:cstheme="minorHAnsi"/>
          <w:b/>
          <w:color w:val="000000" w:themeColor="text1"/>
        </w:rPr>
        <w:lastRenderedPageBreak/>
        <w:t>Application and submission procedure:</w:t>
      </w:r>
    </w:p>
    <w:p w14:paraId="1733B42E" w14:textId="77777777" w:rsidR="00FC6BCE" w:rsidRDefault="00BB372C">
      <w:pPr>
        <w:spacing w:before="120" w:after="120" w:line="240" w:lineRule="auto"/>
        <w:jc w:val="both"/>
        <w:rPr>
          <w:rFonts w:cstheme="minorHAnsi"/>
          <w:color w:val="000000" w:themeColor="text1"/>
        </w:rPr>
      </w:pPr>
      <w:r>
        <w:rPr>
          <w:rFonts w:cstheme="minorHAnsi"/>
          <w:color w:val="000000" w:themeColor="text1"/>
        </w:rPr>
        <w:t>Interested party(</w:t>
      </w:r>
      <w:proofErr w:type="spellStart"/>
      <w:r>
        <w:rPr>
          <w:rFonts w:cstheme="minorHAnsi"/>
          <w:color w:val="000000" w:themeColor="text1"/>
        </w:rPr>
        <w:t>ies</w:t>
      </w:r>
      <w:proofErr w:type="spellEnd"/>
      <w:r>
        <w:rPr>
          <w:rFonts w:cstheme="minorHAnsi"/>
          <w:color w:val="000000" w:themeColor="text1"/>
        </w:rPr>
        <w:t xml:space="preserve">) (consultants/firm) are requested to submit their technical and financial proposals separately with the details organisational profiles including reference of relevant work experience (applicable for consulting firm), relevant experience including activities and milestones, budget details, time frame and CVs of experts and contact details. </w:t>
      </w:r>
    </w:p>
    <w:p w14:paraId="35940687" w14:textId="77777777" w:rsidR="00FC6BCE" w:rsidRDefault="00BB372C">
      <w:pPr>
        <w:shd w:val="clear" w:color="auto" w:fill="FFFFFF"/>
        <w:spacing w:before="120" w:after="120" w:line="240" w:lineRule="auto"/>
        <w:jc w:val="both"/>
        <w:rPr>
          <w:rFonts w:cs="CalibriLight"/>
          <w:color w:val="000000" w:themeColor="text1"/>
        </w:rPr>
      </w:pPr>
      <w:r>
        <w:rPr>
          <w:rFonts w:cs="CalibriLight"/>
          <w:color w:val="000000" w:themeColor="text1"/>
        </w:rPr>
        <w:t>The proposal from individuals/firms shall contain the following sections:</w:t>
      </w:r>
    </w:p>
    <w:p w14:paraId="0ACB3D44" w14:textId="77777777" w:rsidR="00FC6BCE" w:rsidRDefault="00BB372C">
      <w:pPr>
        <w:numPr>
          <w:ilvl w:val="0"/>
          <w:numId w:val="9"/>
        </w:numPr>
        <w:shd w:val="clear" w:color="auto" w:fill="FFFFFF"/>
        <w:spacing w:after="0" w:line="240" w:lineRule="auto"/>
        <w:jc w:val="both"/>
        <w:rPr>
          <w:rFonts w:cs="CalibriLight"/>
          <w:color w:val="000000" w:themeColor="text1"/>
        </w:rPr>
      </w:pPr>
      <w:r>
        <w:rPr>
          <w:rFonts w:cs="CalibriLight"/>
          <w:color w:val="000000" w:themeColor="text1"/>
        </w:rPr>
        <w:t>Understanding of the assignment</w:t>
      </w:r>
    </w:p>
    <w:p w14:paraId="31FA1379" w14:textId="77777777" w:rsidR="00FC6BCE" w:rsidRDefault="00BB372C">
      <w:pPr>
        <w:numPr>
          <w:ilvl w:val="0"/>
          <w:numId w:val="9"/>
        </w:numPr>
        <w:shd w:val="clear" w:color="auto" w:fill="FFFFFF"/>
        <w:spacing w:after="0" w:line="240" w:lineRule="auto"/>
        <w:jc w:val="both"/>
        <w:rPr>
          <w:rFonts w:cs="CalibriLight"/>
          <w:color w:val="000000" w:themeColor="text1"/>
        </w:rPr>
      </w:pPr>
      <w:r>
        <w:rPr>
          <w:rFonts w:cs="CalibriLight"/>
          <w:color w:val="000000" w:themeColor="text1"/>
        </w:rPr>
        <w:t>Methodology</w:t>
      </w:r>
    </w:p>
    <w:p w14:paraId="61C9E485" w14:textId="77777777" w:rsidR="00FC6BCE" w:rsidRDefault="00BB372C">
      <w:pPr>
        <w:numPr>
          <w:ilvl w:val="0"/>
          <w:numId w:val="9"/>
        </w:numPr>
        <w:shd w:val="clear" w:color="auto" w:fill="FFFFFF"/>
        <w:spacing w:after="0" w:line="240" w:lineRule="auto"/>
        <w:jc w:val="both"/>
        <w:rPr>
          <w:rFonts w:cs="CalibriLight"/>
          <w:color w:val="000000" w:themeColor="text1"/>
        </w:rPr>
      </w:pPr>
      <w:r>
        <w:rPr>
          <w:rFonts w:cs="CalibriLight"/>
          <w:color w:val="000000" w:themeColor="text1"/>
        </w:rPr>
        <w:t>Work plan and schedule</w:t>
      </w:r>
    </w:p>
    <w:p w14:paraId="19509ACF" w14:textId="77777777" w:rsidR="00FC6BCE" w:rsidRDefault="00BB372C">
      <w:pPr>
        <w:numPr>
          <w:ilvl w:val="0"/>
          <w:numId w:val="9"/>
        </w:numPr>
        <w:shd w:val="clear" w:color="auto" w:fill="FFFFFF"/>
        <w:spacing w:after="0" w:line="240" w:lineRule="auto"/>
        <w:jc w:val="both"/>
        <w:rPr>
          <w:rFonts w:cs="CalibriLight"/>
          <w:color w:val="000000" w:themeColor="text1"/>
        </w:rPr>
      </w:pPr>
      <w:r>
        <w:rPr>
          <w:rFonts w:cs="CalibriLight"/>
          <w:color w:val="000000" w:themeColor="text1"/>
        </w:rPr>
        <w:t>Team composition</w:t>
      </w:r>
    </w:p>
    <w:p w14:paraId="444FBE88" w14:textId="77777777" w:rsidR="00FC6BCE" w:rsidRDefault="00BB372C">
      <w:pPr>
        <w:numPr>
          <w:ilvl w:val="0"/>
          <w:numId w:val="9"/>
        </w:numPr>
        <w:shd w:val="clear" w:color="auto" w:fill="FFFFFF"/>
        <w:spacing w:after="0" w:line="240" w:lineRule="auto"/>
        <w:jc w:val="both"/>
        <w:rPr>
          <w:rFonts w:cs="CalibriLight"/>
          <w:color w:val="000000" w:themeColor="text1"/>
        </w:rPr>
      </w:pPr>
      <w:r>
        <w:rPr>
          <w:rFonts w:cs="CalibriLight"/>
          <w:color w:val="000000" w:themeColor="text1"/>
        </w:rPr>
        <w:t>Detailed Budget</w:t>
      </w:r>
    </w:p>
    <w:p w14:paraId="424D3E40" w14:textId="77777777" w:rsidR="00FC6BCE" w:rsidRDefault="00BB372C">
      <w:pPr>
        <w:autoSpaceDE w:val="0"/>
        <w:autoSpaceDN w:val="0"/>
        <w:adjustRightInd w:val="0"/>
        <w:spacing w:before="120" w:after="120" w:line="240" w:lineRule="auto"/>
        <w:jc w:val="both"/>
        <w:rPr>
          <w:rFonts w:eastAsia="Calibri" w:cstheme="minorHAnsi"/>
          <w:bCs/>
          <w:iCs/>
          <w:color w:val="000000" w:themeColor="text1"/>
        </w:rPr>
      </w:pPr>
      <w:r>
        <w:rPr>
          <w:rFonts w:eastAsia="Calibri" w:cstheme="minorHAnsi"/>
          <w:bCs/>
          <w:color w:val="000000" w:themeColor="text1"/>
        </w:rPr>
        <w:t>The consultants/firm must submit the following documents along with Technical &amp; Financial Proposal (including VAT and TAX) separately</w:t>
      </w:r>
      <w:r>
        <w:rPr>
          <w:rFonts w:eastAsia="Calibri" w:cstheme="minorHAnsi"/>
          <w:bCs/>
          <w:iCs/>
          <w:color w:val="000000" w:themeColor="text1"/>
        </w:rPr>
        <w:t>, as appropriate:</w:t>
      </w:r>
    </w:p>
    <w:p w14:paraId="2859E4BC" w14:textId="77777777" w:rsidR="00FC6BCE" w:rsidRDefault="00BB372C">
      <w:pPr>
        <w:autoSpaceDE w:val="0"/>
        <w:autoSpaceDN w:val="0"/>
        <w:adjustRightInd w:val="0"/>
        <w:spacing w:before="120" w:after="120" w:line="240" w:lineRule="auto"/>
        <w:jc w:val="both"/>
        <w:rPr>
          <w:rFonts w:eastAsia="Calibri" w:cstheme="minorHAnsi"/>
          <w:bCs/>
          <w:i/>
          <w:iCs/>
          <w:color w:val="000000" w:themeColor="text1"/>
        </w:rPr>
      </w:pPr>
      <w:r>
        <w:rPr>
          <w:rFonts w:eastAsia="Calibri" w:cstheme="minorHAnsi"/>
          <w:bCs/>
          <w:i/>
          <w:iCs/>
          <w:color w:val="000000" w:themeColor="text1"/>
        </w:rPr>
        <w:t>For Consultancy Firm:</w:t>
      </w:r>
    </w:p>
    <w:p w14:paraId="1BA8BEB7" w14:textId="77777777" w:rsidR="00FC6BCE"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Pr>
          <w:rFonts w:eastAsia="Calibri" w:cstheme="minorHAnsi"/>
          <w:color w:val="000000" w:themeColor="text1"/>
        </w:rPr>
        <w:t>Maximum 3-pages Firm profile highlighting related assignment completed with client name, contract person and contact number</w:t>
      </w:r>
    </w:p>
    <w:p w14:paraId="33A931B9" w14:textId="77777777" w:rsidR="00FC6BCE"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Pr>
          <w:rFonts w:eastAsia="Calibri" w:cstheme="minorHAnsi"/>
          <w:color w:val="000000" w:themeColor="text1"/>
        </w:rPr>
        <w:t>Lead Consultant’s (who will lead the assignment) CV with maximum 3-pages highlighting related assignment completed, role in the completed assignment</w:t>
      </w:r>
    </w:p>
    <w:p w14:paraId="7CE5455E" w14:textId="77777777" w:rsidR="00FC6BCE"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Pr>
          <w:rFonts w:eastAsia="Calibri" w:cstheme="minorHAnsi"/>
          <w:color w:val="000000" w:themeColor="text1"/>
        </w:rPr>
        <w:t>List of key team members (who will be involved in the assignment) along with their short CV (maximum 3 pages for each member) highlighting related assignment completed and role</w:t>
      </w:r>
    </w:p>
    <w:p w14:paraId="02A32C13" w14:textId="77777777" w:rsidR="00FC6BCE"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Pr>
          <w:rFonts w:eastAsia="Calibri" w:cstheme="minorHAnsi"/>
          <w:color w:val="000000" w:themeColor="text1"/>
        </w:rPr>
        <w:t>Firm’s Certificate, TIN and VAT registration</w:t>
      </w:r>
    </w:p>
    <w:p w14:paraId="48DE915F" w14:textId="77777777" w:rsidR="00FC6BCE" w:rsidRDefault="00FC6BCE">
      <w:pPr>
        <w:autoSpaceDE w:val="0"/>
        <w:autoSpaceDN w:val="0"/>
        <w:adjustRightInd w:val="0"/>
        <w:spacing w:after="0" w:line="240" w:lineRule="auto"/>
        <w:ind w:left="720"/>
        <w:contextualSpacing/>
        <w:jc w:val="both"/>
        <w:rPr>
          <w:rFonts w:eastAsia="Calibri" w:cstheme="minorHAnsi"/>
          <w:color w:val="000000" w:themeColor="text1"/>
        </w:rPr>
      </w:pPr>
    </w:p>
    <w:p w14:paraId="1D7BB365" w14:textId="77777777" w:rsidR="00FC6BCE" w:rsidRDefault="00BB372C">
      <w:pPr>
        <w:autoSpaceDE w:val="0"/>
        <w:autoSpaceDN w:val="0"/>
        <w:adjustRightInd w:val="0"/>
        <w:spacing w:before="120" w:after="120" w:line="240" w:lineRule="auto"/>
        <w:jc w:val="both"/>
        <w:rPr>
          <w:rFonts w:eastAsia="Calibri" w:cstheme="minorHAnsi"/>
          <w:bCs/>
          <w:i/>
          <w:iCs/>
          <w:color w:val="000000" w:themeColor="text1"/>
        </w:rPr>
      </w:pPr>
      <w:r>
        <w:rPr>
          <w:rFonts w:eastAsia="Calibri" w:cstheme="minorHAnsi"/>
          <w:bCs/>
          <w:i/>
          <w:iCs/>
          <w:color w:val="000000" w:themeColor="text1"/>
        </w:rPr>
        <w:t>For Individual Consultant:</w:t>
      </w:r>
    </w:p>
    <w:p w14:paraId="2D9DF7EB" w14:textId="77777777" w:rsidR="00FC6BCE" w:rsidRDefault="00BB372C">
      <w:pPr>
        <w:numPr>
          <w:ilvl w:val="0"/>
          <w:numId w:val="11"/>
        </w:numPr>
        <w:autoSpaceDE w:val="0"/>
        <w:autoSpaceDN w:val="0"/>
        <w:adjustRightInd w:val="0"/>
        <w:spacing w:after="0" w:line="240" w:lineRule="auto"/>
        <w:ind w:left="720"/>
        <w:jc w:val="both"/>
        <w:rPr>
          <w:rFonts w:eastAsia="Calibri" w:cstheme="minorHAnsi"/>
          <w:color w:val="000000" w:themeColor="text1"/>
        </w:rPr>
      </w:pPr>
      <w:r>
        <w:rPr>
          <w:rFonts w:eastAsia="Calibri" w:cstheme="minorHAnsi"/>
          <w:color w:val="000000" w:themeColor="text1"/>
        </w:rPr>
        <w:t>Maximum 3-page profile highlighting related assignment completed with client name, contract person and contact number along with detailed CV</w:t>
      </w:r>
    </w:p>
    <w:p w14:paraId="203CBE20" w14:textId="77777777" w:rsidR="00FC6BCE" w:rsidRDefault="00BB372C">
      <w:pPr>
        <w:numPr>
          <w:ilvl w:val="0"/>
          <w:numId w:val="11"/>
        </w:numPr>
        <w:autoSpaceDE w:val="0"/>
        <w:autoSpaceDN w:val="0"/>
        <w:adjustRightInd w:val="0"/>
        <w:spacing w:after="0" w:line="240" w:lineRule="auto"/>
        <w:ind w:left="720"/>
        <w:jc w:val="both"/>
        <w:rPr>
          <w:rFonts w:eastAsia="Calibri" w:cstheme="minorHAnsi"/>
          <w:color w:val="000000" w:themeColor="text1"/>
        </w:rPr>
      </w:pPr>
      <w:r>
        <w:rPr>
          <w:rFonts w:eastAsia="Calibri" w:cstheme="minorHAnsi"/>
          <w:color w:val="000000" w:themeColor="text1"/>
        </w:rPr>
        <w:t>TIN certificate and any other relevant document (if necessary)</w:t>
      </w:r>
    </w:p>
    <w:p w14:paraId="55569D9A" w14:textId="77777777" w:rsidR="00FC6BCE"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Pr>
          <w:rFonts w:eastAsia="Calibri" w:cstheme="minorHAnsi"/>
          <w:color w:val="000000" w:themeColor="text1"/>
        </w:rPr>
        <w:t>Team composition and list of key team members (who will be involved in the assignment) along with their short CV (maximum 3 pages for each member) highlighting related assignment completed and role</w:t>
      </w:r>
    </w:p>
    <w:p w14:paraId="76E8FDD3" w14:textId="77777777" w:rsidR="00FC6BCE" w:rsidRDefault="00BB372C">
      <w:pPr>
        <w:numPr>
          <w:ilvl w:val="0"/>
          <w:numId w:val="11"/>
        </w:numPr>
        <w:autoSpaceDE w:val="0"/>
        <w:autoSpaceDN w:val="0"/>
        <w:adjustRightInd w:val="0"/>
        <w:spacing w:after="0" w:line="240" w:lineRule="auto"/>
        <w:ind w:left="720"/>
        <w:jc w:val="both"/>
        <w:rPr>
          <w:rFonts w:eastAsia="Calibri" w:cstheme="minorHAnsi"/>
          <w:color w:val="000000" w:themeColor="text1"/>
        </w:rPr>
      </w:pPr>
      <w:r>
        <w:rPr>
          <w:rFonts w:eastAsia="Calibri" w:cstheme="minorHAnsi"/>
          <w:color w:val="000000" w:themeColor="text1"/>
        </w:rPr>
        <w:t>TIN certificate and any other relevant document  of each member (if necessary)</w:t>
      </w:r>
    </w:p>
    <w:p w14:paraId="635E8288" w14:textId="77777777" w:rsidR="00FC6BCE" w:rsidRDefault="00FC6BCE">
      <w:pPr>
        <w:autoSpaceDE w:val="0"/>
        <w:autoSpaceDN w:val="0"/>
        <w:adjustRightInd w:val="0"/>
        <w:spacing w:after="0" w:line="240" w:lineRule="auto"/>
        <w:ind w:left="720"/>
        <w:jc w:val="both"/>
        <w:rPr>
          <w:rFonts w:eastAsia="Calibri" w:cstheme="minorHAnsi"/>
          <w:color w:val="000000" w:themeColor="text1"/>
        </w:rPr>
      </w:pPr>
    </w:p>
    <w:p w14:paraId="3BC2976A" w14:textId="56935046" w:rsidR="00FC6BCE" w:rsidRDefault="00BB372C">
      <w:pPr>
        <w:autoSpaceDE w:val="0"/>
        <w:autoSpaceDN w:val="0"/>
        <w:adjustRightInd w:val="0"/>
        <w:rPr>
          <w:rFonts w:cs="Times New Roman"/>
          <w:color w:val="000000"/>
          <w:lang w:val="en-US"/>
        </w:rPr>
      </w:pPr>
      <w:r>
        <w:rPr>
          <w:rFonts w:cstheme="minorHAnsi"/>
          <w:color w:val="000000" w:themeColor="text1"/>
        </w:rPr>
        <w:t xml:space="preserve">Electronic copy of the proposal duly signed should be submitted to: </w:t>
      </w:r>
      <w:r>
        <w:rPr>
          <w:rFonts w:cstheme="minorHAnsi"/>
          <w:color w:val="548DD4" w:themeColor="text2" w:themeTint="99"/>
        </w:rPr>
        <w:t>p</w:t>
      </w:r>
      <w:r>
        <w:rPr>
          <w:color w:val="548DD4" w:themeColor="text2" w:themeTint="99"/>
        </w:rPr>
        <w:t>rocurement.bd@practicalaction.org.bd</w:t>
      </w:r>
      <w:r>
        <w:rPr>
          <w:rFonts w:cstheme="minorHAnsi"/>
          <w:b/>
          <w:bCs/>
          <w:color w:val="000000" w:themeColor="text1"/>
        </w:rPr>
        <w:t> </w:t>
      </w:r>
      <w:r>
        <w:rPr>
          <w:rFonts w:cstheme="minorHAnsi"/>
          <w:color w:val="000000" w:themeColor="text1"/>
        </w:rPr>
        <w:t>with the subject line: “</w:t>
      </w:r>
      <w:r>
        <w:rPr>
          <w:rFonts w:cstheme="minorHAnsi"/>
          <w:b/>
          <w:color w:val="000000" w:themeColor="text1"/>
        </w:rPr>
        <w:t>Proposal for</w:t>
      </w:r>
      <w:r>
        <w:rPr>
          <w:rFonts w:cstheme="minorHAnsi"/>
          <w:color w:val="000000" w:themeColor="text1"/>
        </w:rPr>
        <w:t xml:space="preserve"> </w:t>
      </w:r>
      <w:r>
        <w:rPr>
          <w:rFonts w:cs="Times New Roman"/>
          <w:b/>
          <w:bCs/>
          <w:color w:val="000000"/>
          <w:lang w:val="en-US"/>
        </w:rPr>
        <w:t xml:space="preserve">detailed structural design and supervision of construction </w:t>
      </w:r>
      <w:r w:rsidRPr="00672666">
        <w:rPr>
          <w:rFonts w:cs="Times New Roman"/>
          <w:b/>
          <w:bCs/>
          <w:color w:val="000000"/>
          <w:lang w:val="en-US"/>
        </w:rPr>
        <w:t xml:space="preserve">works for a single use thin plastic Demonstration Recycling Plant” </w:t>
      </w:r>
      <w:r w:rsidRPr="00672666">
        <w:rPr>
          <w:rFonts w:cstheme="minorHAnsi"/>
          <w:color w:val="000000" w:themeColor="text1"/>
        </w:rPr>
        <w:t xml:space="preserve">by no later than </w:t>
      </w:r>
      <w:r w:rsidR="00F8305C">
        <w:rPr>
          <w:rFonts w:cstheme="minorHAnsi"/>
          <w:b/>
          <w:color w:val="000000" w:themeColor="text1"/>
        </w:rPr>
        <w:t>15</w:t>
      </w:r>
      <w:r w:rsidRPr="00672666">
        <w:rPr>
          <w:rFonts w:cstheme="minorHAnsi"/>
          <w:b/>
          <w:bCs/>
          <w:color w:val="000000" w:themeColor="text1"/>
        </w:rPr>
        <w:t xml:space="preserve"> </w:t>
      </w:r>
      <w:r w:rsidR="007B2D6C" w:rsidRPr="00672666">
        <w:rPr>
          <w:rFonts w:cstheme="minorHAnsi"/>
          <w:b/>
          <w:bCs/>
          <w:color w:val="000000" w:themeColor="text1"/>
        </w:rPr>
        <w:t>August</w:t>
      </w:r>
      <w:r w:rsidRPr="00672666">
        <w:rPr>
          <w:rFonts w:cstheme="minorHAnsi"/>
          <w:b/>
          <w:bCs/>
          <w:color w:val="000000" w:themeColor="text1"/>
        </w:rPr>
        <w:t xml:space="preserve"> 2022.</w:t>
      </w:r>
      <w:r>
        <w:rPr>
          <w:rFonts w:cstheme="minorHAnsi"/>
          <w:b/>
          <w:bCs/>
          <w:color w:val="000000" w:themeColor="text1"/>
        </w:rPr>
        <w:t xml:space="preserve"> </w:t>
      </w:r>
    </w:p>
    <w:p w14:paraId="33378896" w14:textId="77777777" w:rsidR="00FC6BCE" w:rsidRDefault="00FC6BCE">
      <w:pPr>
        <w:spacing w:before="120" w:after="120" w:line="240" w:lineRule="auto"/>
        <w:jc w:val="both"/>
        <w:rPr>
          <w:rFonts w:cstheme="minorHAnsi"/>
          <w:b/>
          <w:bCs/>
          <w:color w:val="000000" w:themeColor="text1"/>
        </w:rPr>
      </w:pPr>
    </w:p>
    <w:p w14:paraId="747FBC7A" w14:textId="77777777" w:rsidR="00FC6BCE" w:rsidRDefault="00BB372C">
      <w:pPr>
        <w:pStyle w:val="ListParagraph"/>
        <w:numPr>
          <w:ilvl w:val="0"/>
          <w:numId w:val="1"/>
        </w:numPr>
        <w:spacing w:after="0" w:line="240" w:lineRule="auto"/>
        <w:jc w:val="both"/>
        <w:rPr>
          <w:rFonts w:eastAsia="Trade Gothic LT Com" w:cstheme="minorHAnsi"/>
          <w:b/>
          <w:bCs/>
          <w:color w:val="000000" w:themeColor="text1"/>
        </w:rPr>
      </w:pPr>
      <w:r>
        <w:rPr>
          <w:rFonts w:eastAsia="Trade Gothic LT Com" w:cstheme="minorHAnsi"/>
          <w:b/>
          <w:bCs/>
          <w:color w:val="000000" w:themeColor="text1"/>
        </w:rPr>
        <w:t>Terms of Payment for the consultant/firm:</w:t>
      </w:r>
    </w:p>
    <w:p w14:paraId="636E9A4A" w14:textId="77777777" w:rsidR="00FC6BCE" w:rsidRDefault="00BB372C">
      <w:pPr>
        <w:spacing w:before="120" w:after="120"/>
        <w:rPr>
          <w:color w:val="000000" w:themeColor="text1"/>
        </w:rPr>
      </w:pPr>
      <w:r>
        <w:rPr>
          <w:color w:val="000000" w:themeColor="text1"/>
        </w:rPr>
        <w:t>The payment will be made according to the following time frame/arrangement:</w:t>
      </w:r>
    </w:p>
    <w:tbl>
      <w:tblPr>
        <w:tblW w:w="8995" w:type="dxa"/>
        <w:tblInd w:w="-5" w:type="dxa"/>
        <w:tblCellMar>
          <w:left w:w="0" w:type="dxa"/>
          <w:right w:w="0" w:type="dxa"/>
        </w:tblCellMar>
        <w:tblLook w:val="04A0" w:firstRow="1" w:lastRow="0" w:firstColumn="1" w:lastColumn="0" w:noHBand="0" w:noVBand="1"/>
      </w:tblPr>
      <w:tblGrid>
        <w:gridCol w:w="1705"/>
        <w:gridCol w:w="1710"/>
        <w:gridCol w:w="5580"/>
      </w:tblGrid>
      <w:tr w:rsidR="00FC6BCE" w14:paraId="2D7E4183" w14:textId="77777777">
        <w:trPr>
          <w:trHeight w:val="286"/>
          <w:tblHeader/>
        </w:trPr>
        <w:tc>
          <w:tcPr>
            <w:tcW w:w="1705" w:type="dxa"/>
            <w:tcBorders>
              <w:top w:val="single" w:sz="8" w:space="0" w:color="auto"/>
              <w:left w:val="single" w:sz="8" w:space="0" w:color="auto"/>
              <w:bottom w:val="single" w:sz="8" w:space="0" w:color="7F7F7F"/>
              <w:right w:val="single" w:sz="8" w:space="0" w:color="auto"/>
            </w:tcBorders>
            <w:tcMar>
              <w:top w:w="0" w:type="dxa"/>
              <w:left w:w="108" w:type="dxa"/>
              <w:bottom w:w="0" w:type="dxa"/>
              <w:right w:w="108" w:type="dxa"/>
            </w:tcMar>
          </w:tcPr>
          <w:p w14:paraId="25220065" w14:textId="77777777" w:rsidR="00FC6BCE" w:rsidRDefault="00BB372C">
            <w:pPr>
              <w:spacing w:after="0"/>
              <w:rPr>
                <w:b/>
                <w:bCs/>
                <w:color w:val="000000" w:themeColor="text1"/>
                <w:lang w:val="nl-NL"/>
              </w:rPr>
            </w:pPr>
            <w:r>
              <w:rPr>
                <w:b/>
                <w:bCs/>
                <w:color w:val="000000" w:themeColor="text1"/>
                <w:lang w:val="nl-NL"/>
              </w:rPr>
              <w:t>Instalments</w:t>
            </w:r>
          </w:p>
        </w:tc>
        <w:tc>
          <w:tcPr>
            <w:tcW w:w="1710" w:type="dxa"/>
            <w:tcBorders>
              <w:top w:val="single" w:sz="8" w:space="0" w:color="auto"/>
              <w:left w:val="nil"/>
              <w:bottom w:val="single" w:sz="8" w:space="0" w:color="7F7F7F"/>
              <w:right w:val="single" w:sz="8" w:space="0" w:color="auto"/>
            </w:tcBorders>
            <w:tcMar>
              <w:top w:w="0" w:type="dxa"/>
              <w:left w:w="108" w:type="dxa"/>
              <w:bottom w:w="0" w:type="dxa"/>
              <w:right w:w="108" w:type="dxa"/>
            </w:tcMar>
          </w:tcPr>
          <w:p w14:paraId="2475F1AB" w14:textId="77777777" w:rsidR="00FC6BCE" w:rsidRDefault="00BB372C">
            <w:pPr>
              <w:spacing w:after="0"/>
              <w:rPr>
                <w:b/>
                <w:bCs/>
                <w:color w:val="000000" w:themeColor="text1"/>
                <w:lang w:val="nl-NL"/>
              </w:rPr>
            </w:pPr>
            <w:r>
              <w:rPr>
                <w:b/>
                <w:bCs/>
                <w:color w:val="000000" w:themeColor="text1"/>
                <w:lang w:val="nl-NL"/>
              </w:rPr>
              <w:t>Amount</w:t>
            </w:r>
          </w:p>
        </w:tc>
        <w:tc>
          <w:tcPr>
            <w:tcW w:w="5580" w:type="dxa"/>
            <w:tcBorders>
              <w:top w:val="single" w:sz="8" w:space="0" w:color="auto"/>
              <w:left w:val="nil"/>
              <w:bottom w:val="single" w:sz="8" w:space="0" w:color="7F7F7F"/>
              <w:right w:val="single" w:sz="8" w:space="0" w:color="auto"/>
            </w:tcBorders>
            <w:tcMar>
              <w:top w:w="0" w:type="dxa"/>
              <w:left w:w="108" w:type="dxa"/>
              <w:bottom w:w="0" w:type="dxa"/>
              <w:right w:w="108" w:type="dxa"/>
            </w:tcMar>
          </w:tcPr>
          <w:p w14:paraId="5BC4F1D4" w14:textId="77777777" w:rsidR="00FC6BCE" w:rsidRDefault="00BB372C">
            <w:pPr>
              <w:spacing w:after="0"/>
              <w:rPr>
                <w:b/>
                <w:bCs/>
                <w:color w:val="000000" w:themeColor="text1"/>
                <w:lang w:val="nl-NL"/>
              </w:rPr>
            </w:pPr>
            <w:r>
              <w:rPr>
                <w:b/>
                <w:bCs/>
                <w:color w:val="000000" w:themeColor="text1"/>
                <w:lang w:val="nl-NL"/>
              </w:rPr>
              <w:t>Timeline</w:t>
            </w:r>
          </w:p>
        </w:tc>
      </w:tr>
      <w:tr w:rsidR="00FC6BCE" w14:paraId="746E5B21" w14:textId="77777777">
        <w:trPr>
          <w:trHeight w:val="333"/>
        </w:trPr>
        <w:tc>
          <w:tcPr>
            <w:tcW w:w="1705" w:type="dxa"/>
            <w:tcBorders>
              <w:top w:val="nil"/>
              <w:left w:val="single" w:sz="8" w:space="0" w:color="auto"/>
              <w:bottom w:val="single" w:sz="8" w:space="0" w:color="7F7F7F"/>
              <w:right w:val="single" w:sz="8" w:space="0" w:color="auto"/>
            </w:tcBorders>
            <w:tcMar>
              <w:top w:w="0" w:type="dxa"/>
              <w:left w:w="108" w:type="dxa"/>
              <w:bottom w:w="0" w:type="dxa"/>
              <w:right w:w="108" w:type="dxa"/>
            </w:tcMar>
            <w:vAlign w:val="center"/>
          </w:tcPr>
          <w:p w14:paraId="5FA3FCDB" w14:textId="77777777" w:rsidR="00FC6BCE" w:rsidRDefault="00BB372C">
            <w:pPr>
              <w:spacing w:after="0"/>
              <w:rPr>
                <w:color w:val="000000" w:themeColor="text1"/>
                <w:lang w:val="nl-NL"/>
              </w:rPr>
            </w:pPr>
            <w:r>
              <w:rPr>
                <w:color w:val="000000" w:themeColor="text1"/>
                <w:lang w:val="nl-NL"/>
              </w:rPr>
              <w:t>1</w:t>
            </w:r>
            <w:r>
              <w:rPr>
                <w:color w:val="000000" w:themeColor="text1"/>
                <w:vertAlign w:val="superscript"/>
                <w:lang w:val="nl-NL"/>
              </w:rPr>
              <w:t>st</w:t>
            </w:r>
            <w:r>
              <w:rPr>
                <w:color w:val="000000" w:themeColor="text1"/>
                <w:lang w:val="nl-NL"/>
              </w:rPr>
              <w:t xml:space="preserve"> instalment</w:t>
            </w:r>
          </w:p>
        </w:tc>
        <w:tc>
          <w:tcPr>
            <w:tcW w:w="1710" w:type="dxa"/>
            <w:tcBorders>
              <w:top w:val="nil"/>
              <w:left w:val="nil"/>
              <w:bottom w:val="single" w:sz="8" w:space="0" w:color="7F7F7F"/>
              <w:right w:val="single" w:sz="8" w:space="0" w:color="auto"/>
            </w:tcBorders>
            <w:tcMar>
              <w:top w:w="0" w:type="dxa"/>
              <w:left w:w="108" w:type="dxa"/>
              <w:bottom w:w="0" w:type="dxa"/>
              <w:right w:w="108" w:type="dxa"/>
            </w:tcMar>
            <w:vAlign w:val="center"/>
          </w:tcPr>
          <w:p w14:paraId="3128353A" w14:textId="77777777" w:rsidR="00FC6BCE" w:rsidRDefault="00BB372C">
            <w:pPr>
              <w:spacing w:after="0"/>
              <w:rPr>
                <w:color w:val="000000" w:themeColor="text1"/>
                <w:lang w:val="nl-NL"/>
              </w:rPr>
            </w:pPr>
            <w:r>
              <w:rPr>
                <w:color w:val="000000" w:themeColor="text1"/>
                <w:lang w:val="nl-NL"/>
              </w:rPr>
              <w:t>25% of the total amount</w:t>
            </w:r>
          </w:p>
        </w:tc>
        <w:tc>
          <w:tcPr>
            <w:tcW w:w="5580" w:type="dxa"/>
            <w:tcBorders>
              <w:top w:val="nil"/>
              <w:left w:val="nil"/>
              <w:bottom w:val="single" w:sz="8" w:space="0" w:color="7F7F7F"/>
              <w:right w:val="single" w:sz="8" w:space="0" w:color="auto"/>
            </w:tcBorders>
            <w:tcMar>
              <w:top w:w="0" w:type="dxa"/>
              <w:left w:w="108" w:type="dxa"/>
              <w:bottom w:w="0" w:type="dxa"/>
              <w:right w:w="108" w:type="dxa"/>
            </w:tcMar>
          </w:tcPr>
          <w:p w14:paraId="6E8EB979" w14:textId="77777777" w:rsidR="00FC6BCE" w:rsidRDefault="00BB372C">
            <w:pPr>
              <w:spacing w:after="0"/>
              <w:rPr>
                <w:color w:val="000000" w:themeColor="text1"/>
              </w:rPr>
            </w:pPr>
            <w:r>
              <w:rPr>
                <w:color w:val="000000" w:themeColor="text1"/>
              </w:rPr>
              <w:t xml:space="preserve">After contract signing and submission of </w:t>
            </w:r>
            <w:r>
              <w:rPr>
                <w:rFonts w:cs="Times New Roman"/>
                <w:color w:val="000000"/>
                <w:lang w:val="en-US"/>
              </w:rPr>
              <w:t xml:space="preserve">preliminary designs (in consultation with Practical Action), and conduct relevant studies such as topographic survey, soil test, etc.  </w:t>
            </w:r>
          </w:p>
        </w:tc>
      </w:tr>
      <w:tr w:rsidR="00FC6BCE" w14:paraId="32ADF69E" w14:textId="77777777">
        <w:trPr>
          <w:trHeight w:val="333"/>
        </w:trPr>
        <w:tc>
          <w:tcPr>
            <w:tcW w:w="1705" w:type="dxa"/>
            <w:tcBorders>
              <w:top w:val="nil"/>
              <w:left w:val="single" w:sz="8" w:space="0" w:color="auto"/>
              <w:bottom w:val="single" w:sz="8" w:space="0" w:color="7F7F7F"/>
              <w:right w:val="single" w:sz="8" w:space="0" w:color="auto"/>
            </w:tcBorders>
            <w:tcMar>
              <w:top w:w="0" w:type="dxa"/>
              <w:left w:w="108" w:type="dxa"/>
              <w:bottom w:w="0" w:type="dxa"/>
              <w:right w:w="108" w:type="dxa"/>
            </w:tcMar>
            <w:vAlign w:val="center"/>
          </w:tcPr>
          <w:p w14:paraId="48AAEAB6" w14:textId="77777777" w:rsidR="00FC6BCE" w:rsidRDefault="00BB372C">
            <w:pPr>
              <w:spacing w:after="0"/>
              <w:rPr>
                <w:color w:val="000000" w:themeColor="text1"/>
                <w:lang w:val="nl-NL"/>
              </w:rPr>
            </w:pPr>
            <w:r>
              <w:rPr>
                <w:color w:val="000000" w:themeColor="text1"/>
                <w:lang w:val="nl-NL"/>
              </w:rPr>
              <w:t>2</w:t>
            </w:r>
            <w:r>
              <w:rPr>
                <w:color w:val="000000" w:themeColor="text1"/>
                <w:vertAlign w:val="superscript"/>
                <w:lang w:val="nl-NL"/>
              </w:rPr>
              <w:t>nd</w:t>
            </w:r>
            <w:r>
              <w:rPr>
                <w:color w:val="000000" w:themeColor="text1"/>
                <w:lang w:val="nl-NL"/>
              </w:rPr>
              <w:t xml:space="preserve"> instalment</w:t>
            </w:r>
          </w:p>
        </w:tc>
        <w:tc>
          <w:tcPr>
            <w:tcW w:w="1710" w:type="dxa"/>
            <w:tcBorders>
              <w:top w:val="nil"/>
              <w:left w:val="nil"/>
              <w:bottom w:val="single" w:sz="8" w:space="0" w:color="7F7F7F"/>
              <w:right w:val="single" w:sz="8" w:space="0" w:color="auto"/>
            </w:tcBorders>
            <w:tcMar>
              <w:top w:w="0" w:type="dxa"/>
              <w:left w:w="108" w:type="dxa"/>
              <w:bottom w:w="0" w:type="dxa"/>
              <w:right w:w="108" w:type="dxa"/>
            </w:tcMar>
            <w:vAlign w:val="center"/>
          </w:tcPr>
          <w:p w14:paraId="5FFB2D58" w14:textId="175A84C4" w:rsidR="00FC6BCE" w:rsidRDefault="00031FDA">
            <w:pPr>
              <w:spacing w:after="0"/>
              <w:rPr>
                <w:color w:val="000000" w:themeColor="text1"/>
                <w:lang w:val="nl-NL"/>
              </w:rPr>
            </w:pPr>
            <w:r>
              <w:rPr>
                <w:color w:val="000000" w:themeColor="text1"/>
                <w:lang w:val="nl-NL"/>
              </w:rPr>
              <w:t>45</w:t>
            </w:r>
            <w:r w:rsidR="00BB372C">
              <w:rPr>
                <w:color w:val="000000" w:themeColor="text1"/>
                <w:lang w:val="nl-NL"/>
              </w:rPr>
              <w:t>% of the total amount</w:t>
            </w:r>
          </w:p>
        </w:tc>
        <w:tc>
          <w:tcPr>
            <w:tcW w:w="5580" w:type="dxa"/>
            <w:tcBorders>
              <w:top w:val="nil"/>
              <w:left w:val="nil"/>
              <w:bottom w:val="single" w:sz="8" w:space="0" w:color="7F7F7F"/>
              <w:right w:val="single" w:sz="8" w:space="0" w:color="auto"/>
            </w:tcBorders>
            <w:tcMar>
              <w:top w:w="0" w:type="dxa"/>
              <w:left w:w="108" w:type="dxa"/>
              <w:bottom w:w="0" w:type="dxa"/>
              <w:right w:w="108" w:type="dxa"/>
            </w:tcMar>
          </w:tcPr>
          <w:p w14:paraId="42077205" w14:textId="77777777" w:rsidR="00FC6BCE" w:rsidRDefault="00BB372C">
            <w:pPr>
              <w:spacing w:after="0"/>
              <w:rPr>
                <w:color w:val="000000" w:themeColor="text1"/>
              </w:rPr>
            </w:pPr>
            <w:r>
              <w:rPr>
                <w:color w:val="000000" w:themeColor="text1"/>
              </w:rPr>
              <w:t xml:space="preserve">After submission of the </w:t>
            </w:r>
            <w:r>
              <w:rPr>
                <w:rFonts w:cs="Times New Roman"/>
                <w:color w:val="000000"/>
                <w:lang w:val="en-US"/>
              </w:rPr>
              <w:t xml:space="preserve">detailed architectural and structural engineering designs and drawings, electrical layout plan, equipment installation plan, detailed cost </w:t>
            </w:r>
            <w:r>
              <w:rPr>
                <w:rFonts w:cs="Times New Roman"/>
                <w:color w:val="000000"/>
                <w:lang w:val="en-US"/>
              </w:rPr>
              <w:lastRenderedPageBreak/>
              <w:t>estimates and segregated Bill of Quantities (</w:t>
            </w:r>
            <w:proofErr w:type="spellStart"/>
            <w:r>
              <w:rPr>
                <w:rFonts w:cs="Times New Roman"/>
                <w:color w:val="000000"/>
                <w:lang w:val="en-US"/>
              </w:rPr>
              <w:t>BoQ</w:t>
            </w:r>
            <w:proofErr w:type="spellEnd"/>
            <w:r>
              <w:rPr>
                <w:rFonts w:cs="Times New Roman"/>
                <w:color w:val="000000"/>
                <w:lang w:val="en-US"/>
              </w:rPr>
              <w:t xml:space="preserve">) for each category of infrastructure, market price, rate analysis, brand list and payment of IE and approval of the Plan from Faridpur municipality. </w:t>
            </w:r>
          </w:p>
        </w:tc>
      </w:tr>
      <w:tr w:rsidR="00FC6BCE" w14:paraId="0B8B80A7" w14:textId="77777777">
        <w:trPr>
          <w:trHeight w:val="619"/>
        </w:trPr>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DAEC34" w14:textId="77777777" w:rsidR="00FC6BCE" w:rsidRDefault="00BB372C">
            <w:pPr>
              <w:spacing w:after="0"/>
              <w:rPr>
                <w:color w:val="000000" w:themeColor="text1"/>
                <w:lang w:val="nl-NL"/>
              </w:rPr>
            </w:pPr>
            <w:r>
              <w:rPr>
                <w:color w:val="000000" w:themeColor="text1"/>
                <w:lang w:val="nl-NL"/>
              </w:rPr>
              <w:lastRenderedPageBreak/>
              <w:t>3</w:t>
            </w:r>
            <w:r>
              <w:rPr>
                <w:color w:val="000000" w:themeColor="text1"/>
                <w:vertAlign w:val="superscript"/>
                <w:lang w:val="nl-NL"/>
              </w:rPr>
              <w:t>rd</w:t>
            </w:r>
            <w:r>
              <w:rPr>
                <w:color w:val="000000" w:themeColor="text1"/>
                <w:lang w:val="nl-NL"/>
              </w:rPr>
              <w:t xml:space="preserve"> Instalment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A47ACE" w14:textId="0994B4D0" w:rsidR="00FC6BCE" w:rsidRDefault="00031FDA">
            <w:pPr>
              <w:spacing w:after="0"/>
              <w:rPr>
                <w:color w:val="000000" w:themeColor="text1"/>
                <w:lang w:val="nl-NL"/>
              </w:rPr>
            </w:pPr>
            <w:r>
              <w:rPr>
                <w:color w:val="000000" w:themeColor="text1"/>
                <w:lang w:val="nl-NL"/>
              </w:rPr>
              <w:t>30</w:t>
            </w:r>
            <w:r w:rsidR="00BB372C">
              <w:rPr>
                <w:color w:val="000000" w:themeColor="text1"/>
                <w:lang w:val="nl-NL"/>
              </w:rPr>
              <w:t>% of the total amount</w:t>
            </w: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6C080A99" w14:textId="3DF5551D" w:rsidR="00FC6BCE" w:rsidRDefault="00BB372C">
            <w:pPr>
              <w:spacing w:after="0"/>
              <w:rPr>
                <w:color w:val="000000" w:themeColor="text1"/>
                <w:lang w:val="en-US"/>
              </w:rPr>
            </w:pPr>
            <w:r w:rsidRPr="00DE1B94">
              <w:rPr>
                <w:color w:val="000000" w:themeColor="text1"/>
                <w:lang w:val="en-US"/>
              </w:rPr>
              <w:t xml:space="preserve">After completion of the plan with necessary correction in design and required site visits to construction site </w:t>
            </w:r>
            <w:r w:rsidR="00624229" w:rsidRPr="00DE1B94">
              <w:rPr>
                <w:color w:val="000000" w:themeColor="text1"/>
                <w:lang w:val="en-US"/>
              </w:rPr>
              <w:t xml:space="preserve">in order to supervise the team during the construction phase </w:t>
            </w:r>
            <w:r w:rsidRPr="00DE1B94">
              <w:rPr>
                <w:color w:val="000000" w:themeColor="text1"/>
                <w:lang w:val="en-US"/>
              </w:rPr>
              <w:t>and submission of the final report along with relevant documents</w:t>
            </w:r>
          </w:p>
        </w:tc>
      </w:tr>
    </w:tbl>
    <w:p w14:paraId="01D33DE5" w14:textId="77777777" w:rsidR="00FC6BCE" w:rsidRDefault="00BB372C">
      <w:pPr>
        <w:spacing w:before="120" w:after="120"/>
        <w:jc w:val="both"/>
        <w:rPr>
          <w:rFonts w:cs="Calibri"/>
          <w:i/>
          <w:iCs/>
          <w:color w:val="000000" w:themeColor="text1"/>
          <w:lang w:val="en-US"/>
        </w:rPr>
      </w:pPr>
      <w:r>
        <w:rPr>
          <w:b/>
          <w:bCs/>
          <w:i/>
          <w:iCs/>
          <w:color w:val="000000" w:themeColor="text1"/>
        </w:rPr>
        <w:t>Note:</w:t>
      </w:r>
      <w:r>
        <w:rPr>
          <w:i/>
          <w:iCs/>
          <w:color w:val="000000" w:themeColor="text1"/>
        </w:rPr>
        <w:t xml:space="preserve"> Tax and VAT will be deducted at source from the bills payable to the selected consultants/firm. In all cases, consultants/firm may only be paid their fees upon satisfactory completion of services. </w:t>
      </w:r>
    </w:p>
    <w:p w14:paraId="1FFA28A6" w14:textId="77777777" w:rsidR="00FC6BCE" w:rsidRDefault="00BB372C">
      <w:pPr>
        <w:pStyle w:val="ListParagraph"/>
        <w:numPr>
          <w:ilvl w:val="0"/>
          <w:numId w:val="1"/>
        </w:numPr>
        <w:tabs>
          <w:tab w:val="left" w:pos="6600"/>
        </w:tabs>
        <w:spacing w:before="240" w:after="120"/>
        <w:contextualSpacing w:val="0"/>
        <w:jc w:val="both"/>
        <w:rPr>
          <w:rFonts w:cs="Calibri"/>
          <w:b/>
          <w:color w:val="000000" w:themeColor="text1"/>
        </w:rPr>
      </w:pPr>
      <w:r>
        <w:rPr>
          <w:b/>
          <w:color w:val="000000" w:themeColor="text1"/>
        </w:rPr>
        <w:t>Resignation and cancellation/termination of contract:</w:t>
      </w:r>
    </w:p>
    <w:p w14:paraId="32210777" w14:textId="3113BB02" w:rsidR="00FC6BCE" w:rsidRDefault="00BB372C">
      <w:pPr>
        <w:spacing w:before="120" w:after="120"/>
        <w:jc w:val="both"/>
        <w:rPr>
          <w:color w:val="000000" w:themeColor="text1"/>
        </w:rPr>
      </w:pPr>
      <w:r>
        <w:rPr>
          <w:rFonts w:cs="Calibri"/>
          <w:color w:val="000000" w:themeColor="text1"/>
        </w:rPr>
        <w:t>The employment may be cancelled/terminated by either party as mutual agreement giving reasonable time. The services of the consultant/firm will be governed by the Human Resource and Administration policy of Practical Action in Bangladesh, as applicable for an employee of part time employment.</w:t>
      </w:r>
      <w:r>
        <w:rPr>
          <w:color w:val="000000" w:themeColor="text1"/>
        </w:rPr>
        <w:t xml:space="preserve"> </w:t>
      </w:r>
    </w:p>
    <w:p w14:paraId="382832A7" w14:textId="77777777" w:rsidR="00FC6BCE" w:rsidRDefault="00FC6BCE">
      <w:pPr>
        <w:spacing w:before="120" w:after="120"/>
        <w:jc w:val="both"/>
        <w:rPr>
          <w:color w:val="000000" w:themeColor="text1"/>
        </w:rPr>
      </w:pPr>
    </w:p>
    <w:p w14:paraId="792C0303" w14:textId="77777777" w:rsidR="00FC6BCE" w:rsidRDefault="00BB372C">
      <w:pPr>
        <w:spacing w:before="120" w:after="120"/>
        <w:jc w:val="both"/>
        <w:rPr>
          <w:color w:val="000000" w:themeColor="text1"/>
        </w:rPr>
      </w:pPr>
      <w:r>
        <w:rPr>
          <w:color w:val="000000" w:themeColor="text1"/>
        </w:rPr>
        <w:t>Annex 1. Proposed site layout</w:t>
      </w:r>
    </w:p>
    <w:p w14:paraId="01C7DFBE" w14:textId="77777777" w:rsidR="00FC6BCE" w:rsidRDefault="00BB372C" w:rsidP="00A6378A">
      <w:pPr>
        <w:spacing w:before="120" w:after="120"/>
        <w:jc w:val="center"/>
        <w:rPr>
          <w:color w:val="000000" w:themeColor="text1"/>
        </w:rPr>
        <w:sectPr w:rsidR="00FC6BCE">
          <w:headerReference w:type="default" r:id="rId12"/>
          <w:footerReference w:type="default" r:id="rId13"/>
          <w:headerReference w:type="first" r:id="rId14"/>
          <w:pgSz w:w="11906" w:h="16838"/>
          <w:pgMar w:top="1440" w:right="1440" w:bottom="1440" w:left="1440" w:header="708" w:footer="708" w:gutter="0"/>
          <w:cols w:space="708"/>
          <w:docGrid w:linePitch="360"/>
        </w:sectPr>
      </w:pPr>
      <w:r>
        <w:rPr>
          <w:noProof/>
          <w:color w:val="000000" w:themeColor="text1"/>
          <w:lang w:val="en-US"/>
        </w:rPr>
        <w:drawing>
          <wp:inline distT="0" distB="0" distL="0" distR="0" wp14:anchorId="3A0DE1C0" wp14:editId="419A5792">
            <wp:extent cx="3803650" cy="46380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3650" cy="4638040"/>
                    </a:xfrm>
                    <a:prstGeom prst="rect">
                      <a:avLst/>
                    </a:prstGeom>
                    <a:noFill/>
                    <a:ln>
                      <a:noFill/>
                    </a:ln>
                  </pic:spPr>
                </pic:pic>
              </a:graphicData>
            </a:graphic>
          </wp:inline>
        </w:drawing>
      </w:r>
    </w:p>
    <w:p w14:paraId="6BDF25D5" w14:textId="77777777" w:rsidR="00FC6BCE" w:rsidRDefault="00BB372C">
      <w:pPr>
        <w:shd w:val="clear" w:color="auto" w:fill="D9D9D9" w:themeFill="background1" w:themeFillShade="D9"/>
        <w:spacing w:before="120" w:after="120"/>
        <w:jc w:val="center"/>
        <w:rPr>
          <w:rFonts w:cstheme="minorHAnsi"/>
          <w:b/>
          <w:bCs/>
          <w:color w:val="000000" w:themeColor="text1"/>
        </w:rPr>
      </w:pPr>
      <w:r>
        <w:rPr>
          <w:rFonts w:cstheme="minorHAnsi"/>
          <w:b/>
          <w:bCs/>
          <w:color w:val="000000" w:themeColor="text1"/>
        </w:rPr>
        <w:lastRenderedPageBreak/>
        <w:t>Annexure</w:t>
      </w:r>
    </w:p>
    <w:p w14:paraId="6ABB43DB" w14:textId="77777777" w:rsidR="00FC6BCE" w:rsidRDefault="00BB372C">
      <w:pPr>
        <w:spacing w:before="120" w:after="120"/>
        <w:jc w:val="both"/>
        <w:rPr>
          <w:b/>
          <w:i/>
          <w:color w:val="000000" w:themeColor="text1"/>
        </w:rPr>
      </w:pPr>
      <w:r>
        <w:rPr>
          <w:rFonts w:cstheme="minorHAnsi"/>
          <w:b/>
          <w:bCs/>
          <w:color w:val="000000" w:themeColor="text1"/>
        </w:rPr>
        <w:t xml:space="preserve">Annex-2: </w:t>
      </w:r>
      <w:r>
        <w:rPr>
          <w:b/>
          <w:color w:val="000000" w:themeColor="text1"/>
        </w:rPr>
        <w:t>Duration of the assignment</w:t>
      </w:r>
    </w:p>
    <w:p w14:paraId="2D27137C" w14:textId="2AB40614" w:rsidR="00FC6BCE" w:rsidRDefault="00BB372C">
      <w:pPr>
        <w:spacing w:before="120" w:after="120"/>
        <w:jc w:val="both"/>
        <w:rPr>
          <w:rFonts w:cstheme="minorHAnsi"/>
        </w:rPr>
      </w:pPr>
      <w:r>
        <w:rPr>
          <w:rFonts w:cs="Calibri"/>
        </w:rPr>
        <w:t xml:space="preserve">Upon completion of the assignment, the final reports will have to be submitted within </w:t>
      </w:r>
      <w:r>
        <w:rPr>
          <w:rFonts w:eastAsia="Trade Gothic LT Com" w:cstheme="minorHAnsi"/>
          <w:bCs/>
        </w:rPr>
        <w:t>30 calendar days</w:t>
      </w:r>
      <w:r>
        <w:rPr>
          <w:rFonts w:cs="Calibri"/>
        </w:rPr>
        <w:t xml:space="preserve"> starting from the date of assigning relevant task. </w:t>
      </w:r>
      <w:r>
        <w:t xml:space="preserve">Proposed starting date is 15 </w:t>
      </w:r>
      <w:r w:rsidR="00FF1409">
        <w:t>September</w:t>
      </w:r>
      <w:r>
        <w:t xml:space="preserve"> 2022 and to be completed by 15 </w:t>
      </w:r>
      <w:r w:rsidR="00FF1409">
        <w:t>October</w:t>
      </w:r>
      <w:r>
        <w:t xml:space="preserve"> 2022</w:t>
      </w:r>
      <w:r>
        <w:rPr>
          <w:rFonts w:eastAsia="Times New Roman" w:cstheme="minorHAnsi"/>
        </w:rPr>
        <w:t>.</w:t>
      </w:r>
      <w:r>
        <w:rPr>
          <w:rFonts w:cstheme="minorHAnsi"/>
        </w:rPr>
        <w:t xml:space="preserve"> </w:t>
      </w:r>
    </w:p>
    <w:p w14:paraId="4F23373D" w14:textId="77777777" w:rsidR="00FC6BCE" w:rsidRDefault="00FC6BCE">
      <w:pPr>
        <w:shd w:val="clear" w:color="auto" w:fill="FFFFFF"/>
        <w:spacing w:after="0" w:line="240" w:lineRule="auto"/>
        <w:jc w:val="both"/>
        <w:rPr>
          <w:rFonts w:cstheme="minorHAnsi"/>
        </w:rPr>
      </w:pPr>
    </w:p>
    <w:tbl>
      <w:tblPr>
        <w:tblStyle w:val="TableGrid"/>
        <w:tblW w:w="4594" w:type="pct"/>
        <w:tblCellMar>
          <w:left w:w="29" w:type="dxa"/>
          <w:right w:w="29" w:type="dxa"/>
        </w:tblCellMar>
        <w:tblLook w:val="04A0" w:firstRow="1" w:lastRow="0" w:firstColumn="1" w:lastColumn="0" w:noHBand="0" w:noVBand="1"/>
      </w:tblPr>
      <w:tblGrid>
        <w:gridCol w:w="6586"/>
        <w:gridCol w:w="951"/>
        <w:gridCol w:w="805"/>
        <w:gridCol w:w="805"/>
        <w:gridCol w:w="805"/>
        <w:gridCol w:w="805"/>
        <w:gridCol w:w="1179"/>
        <w:gridCol w:w="879"/>
      </w:tblGrid>
      <w:tr w:rsidR="00FC6BCE" w14:paraId="26241E1B" w14:textId="77777777" w:rsidTr="003D2021">
        <w:trPr>
          <w:trHeight w:val="461"/>
          <w:tblHeader/>
        </w:trPr>
        <w:tc>
          <w:tcPr>
            <w:tcW w:w="2570" w:type="pct"/>
            <w:vMerge w:val="restart"/>
            <w:shd w:val="clear" w:color="auto" w:fill="31849B" w:themeFill="accent5" w:themeFillShade="BF"/>
            <w:vAlign w:val="center"/>
          </w:tcPr>
          <w:p w14:paraId="150B0C09" w14:textId="77777777" w:rsidR="00FC6BCE" w:rsidRDefault="00BB372C">
            <w:pPr>
              <w:autoSpaceDE w:val="0"/>
              <w:autoSpaceDN w:val="0"/>
              <w:adjustRightInd w:val="0"/>
              <w:spacing w:after="0" w:line="240" w:lineRule="auto"/>
              <w:rPr>
                <w:rFonts w:cs="Calibri-Bold"/>
                <w:b/>
                <w:bCs/>
                <w:color w:val="FFFFFF" w:themeColor="background1"/>
                <w:sz w:val="20"/>
                <w:szCs w:val="20"/>
              </w:rPr>
            </w:pPr>
            <w:r>
              <w:rPr>
                <w:rFonts w:cs="Calibri-Bold"/>
                <w:b/>
                <w:bCs/>
                <w:color w:val="FFFFFF" w:themeColor="background1"/>
                <w:sz w:val="20"/>
                <w:szCs w:val="20"/>
              </w:rPr>
              <w:t xml:space="preserve">Activity                                                                                                                  </w:t>
            </w:r>
          </w:p>
        </w:tc>
        <w:tc>
          <w:tcPr>
            <w:tcW w:w="2430" w:type="pct"/>
            <w:gridSpan w:val="7"/>
            <w:shd w:val="clear" w:color="auto" w:fill="31849B" w:themeFill="accent5" w:themeFillShade="BF"/>
          </w:tcPr>
          <w:p w14:paraId="63D965D2" w14:textId="77777777" w:rsidR="00FC6BCE" w:rsidRDefault="00BB372C">
            <w:pPr>
              <w:autoSpaceDE w:val="0"/>
              <w:autoSpaceDN w:val="0"/>
              <w:adjustRightInd w:val="0"/>
              <w:spacing w:after="0" w:line="240" w:lineRule="auto"/>
              <w:rPr>
                <w:rFonts w:cs="Calibri-Bold"/>
                <w:b/>
                <w:bCs/>
                <w:color w:val="FFFFFF" w:themeColor="background1"/>
                <w:sz w:val="20"/>
                <w:szCs w:val="20"/>
              </w:rPr>
            </w:pPr>
            <w:r>
              <w:rPr>
                <w:rFonts w:cs="Calibri-Bold"/>
                <w:b/>
                <w:bCs/>
                <w:color w:val="FFFFFF" w:themeColor="background1"/>
                <w:sz w:val="20"/>
                <w:szCs w:val="20"/>
              </w:rPr>
              <w:t>Time Frame</w:t>
            </w:r>
          </w:p>
        </w:tc>
      </w:tr>
      <w:tr w:rsidR="003D2021" w14:paraId="53FFAA3C" w14:textId="77777777" w:rsidTr="003D2021">
        <w:trPr>
          <w:trHeight w:val="56"/>
          <w:tblHeader/>
        </w:trPr>
        <w:tc>
          <w:tcPr>
            <w:tcW w:w="2570" w:type="pct"/>
            <w:vMerge/>
            <w:shd w:val="clear" w:color="auto" w:fill="31849B" w:themeFill="accent5" w:themeFillShade="BF"/>
          </w:tcPr>
          <w:p w14:paraId="52A3AC1A" w14:textId="77777777" w:rsidR="003D2021" w:rsidRDefault="003D2021">
            <w:pPr>
              <w:autoSpaceDE w:val="0"/>
              <w:autoSpaceDN w:val="0"/>
              <w:adjustRightInd w:val="0"/>
              <w:spacing w:after="0" w:line="240" w:lineRule="auto"/>
              <w:jc w:val="both"/>
              <w:rPr>
                <w:rFonts w:cs="Calibri-Bold"/>
                <w:b/>
                <w:bCs/>
                <w:color w:val="FFFFFF" w:themeColor="background1"/>
                <w:sz w:val="20"/>
                <w:szCs w:val="20"/>
              </w:rPr>
            </w:pPr>
          </w:p>
        </w:tc>
        <w:tc>
          <w:tcPr>
            <w:tcW w:w="371" w:type="pct"/>
            <w:shd w:val="clear" w:color="auto" w:fill="31849B" w:themeFill="accent5" w:themeFillShade="BF"/>
          </w:tcPr>
          <w:p w14:paraId="418511D4" w14:textId="2909BCDF" w:rsidR="003D2021" w:rsidRDefault="003D2021" w:rsidP="00DF7828">
            <w:pPr>
              <w:autoSpaceDE w:val="0"/>
              <w:autoSpaceDN w:val="0"/>
              <w:adjustRightInd w:val="0"/>
              <w:spacing w:after="0" w:line="240" w:lineRule="auto"/>
              <w:jc w:val="center"/>
              <w:rPr>
                <w:rFonts w:cs="Calibri-Bold"/>
                <w:b/>
                <w:bCs/>
                <w:color w:val="FFFFFF" w:themeColor="background1"/>
                <w:sz w:val="20"/>
                <w:szCs w:val="20"/>
              </w:rPr>
            </w:pPr>
            <w:r>
              <w:rPr>
                <w:rFonts w:cs="Calibri-Bold"/>
                <w:b/>
                <w:bCs/>
                <w:color w:val="FFFFFF" w:themeColor="background1"/>
                <w:sz w:val="20"/>
                <w:szCs w:val="20"/>
              </w:rPr>
              <w:t>1</w:t>
            </w:r>
            <w:r w:rsidRPr="006919E7">
              <w:rPr>
                <w:rFonts w:cs="Calibri-Bold"/>
                <w:b/>
                <w:bCs/>
                <w:color w:val="FFFFFF" w:themeColor="background1"/>
                <w:sz w:val="20"/>
                <w:szCs w:val="20"/>
                <w:vertAlign w:val="superscript"/>
              </w:rPr>
              <w:t>st</w:t>
            </w:r>
          </w:p>
          <w:p w14:paraId="6C0E476C" w14:textId="759F7C18" w:rsidR="003D2021" w:rsidRDefault="003D2021" w:rsidP="00DF7828">
            <w:pPr>
              <w:autoSpaceDE w:val="0"/>
              <w:autoSpaceDN w:val="0"/>
              <w:adjustRightInd w:val="0"/>
              <w:spacing w:after="0" w:line="240" w:lineRule="auto"/>
              <w:jc w:val="center"/>
              <w:rPr>
                <w:rFonts w:cs="Calibri-Bold"/>
                <w:b/>
                <w:bCs/>
                <w:color w:val="FFFFFF" w:themeColor="background1"/>
                <w:sz w:val="20"/>
                <w:szCs w:val="20"/>
              </w:rPr>
            </w:pPr>
            <w:r>
              <w:rPr>
                <w:rFonts w:cs="Calibri-Bold"/>
                <w:b/>
                <w:bCs/>
                <w:color w:val="FFFFFF" w:themeColor="background1"/>
                <w:sz w:val="20"/>
                <w:szCs w:val="20"/>
              </w:rPr>
              <w:t>week</w:t>
            </w:r>
          </w:p>
        </w:tc>
        <w:tc>
          <w:tcPr>
            <w:tcW w:w="314" w:type="pct"/>
            <w:shd w:val="clear" w:color="auto" w:fill="31849B" w:themeFill="accent5" w:themeFillShade="BF"/>
          </w:tcPr>
          <w:p w14:paraId="7AD6DC3D" w14:textId="026890B2" w:rsidR="003D2021" w:rsidRDefault="003D2021" w:rsidP="00DF7828">
            <w:pPr>
              <w:autoSpaceDE w:val="0"/>
              <w:autoSpaceDN w:val="0"/>
              <w:adjustRightInd w:val="0"/>
              <w:spacing w:after="0" w:line="240" w:lineRule="auto"/>
              <w:jc w:val="center"/>
              <w:rPr>
                <w:rFonts w:cs="Calibri-Bold"/>
                <w:b/>
                <w:bCs/>
                <w:color w:val="FFFFFF" w:themeColor="background1"/>
                <w:sz w:val="20"/>
                <w:szCs w:val="20"/>
              </w:rPr>
            </w:pPr>
            <w:r>
              <w:rPr>
                <w:rFonts w:cs="Calibri-Bold"/>
                <w:b/>
                <w:bCs/>
                <w:color w:val="FFFFFF" w:themeColor="background1"/>
                <w:sz w:val="20"/>
                <w:szCs w:val="20"/>
              </w:rPr>
              <w:t>2</w:t>
            </w:r>
            <w:r w:rsidRPr="006919E7">
              <w:rPr>
                <w:rFonts w:cs="Calibri-Bold"/>
                <w:b/>
                <w:bCs/>
                <w:color w:val="FFFFFF" w:themeColor="background1"/>
                <w:sz w:val="20"/>
                <w:szCs w:val="20"/>
                <w:vertAlign w:val="superscript"/>
              </w:rPr>
              <w:t>nd</w:t>
            </w:r>
            <w:r>
              <w:rPr>
                <w:rFonts w:cs="Calibri-Bold"/>
                <w:b/>
                <w:bCs/>
                <w:color w:val="FFFFFF" w:themeColor="background1"/>
                <w:sz w:val="20"/>
                <w:szCs w:val="20"/>
              </w:rPr>
              <w:t xml:space="preserve"> week</w:t>
            </w:r>
          </w:p>
        </w:tc>
        <w:tc>
          <w:tcPr>
            <w:tcW w:w="314" w:type="pct"/>
            <w:shd w:val="clear" w:color="auto" w:fill="31849B" w:themeFill="accent5" w:themeFillShade="BF"/>
          </w:tcPr>
          <w:p w14:paraId="1FCC007B" w14:textId="0083A667" w:rsidR="003D2021" w:rsidRDefault="003D2021" w:rsidP="00DF7828">
            <w:pPr>
              <w:autoSpaceDE w:val="0"/>
              <w:autoSpaceDN w:val="0"/>
              <w:adjustRightInd w:val="0"/>
              <w:spacing w:after="0" w:line="240" w:lineRule="auto"/>
              <w:jc w:val="center"/>
              <w:rPr>
                <w:rFonts w:cs="Calibri-Bold"/>
                <w:b/>
                <w:bCs/>
                <w:color w:val="FFFFFF" w:themeColor="background1"/>
                <w:sz w:val="20"/>
                <w:szCs w:val="20"/>
              </w:rPr>
            </w:pPr>
            <w:r>
              <w:rPr>
                <w:rFonts w:cs="Calibri-Bold"/>
                <w:b/>
                <w:bCs/>
                <w:color w:val="FFFFFF" w:themeColor="background1"/>
                <w:sz w:val="20"/>
                <w:szCs w:val="20"/>
              </w:rPr>
              <w:t>3</w:t>
            </w:r>
            <w:r w:rsidRPr="006919E7">
              <w:rPr>
                <w:rFonts w:cs="Calibri-Bold"/>
                <w:b/>
                <w:bCs/>
                <w:color w:val="FFFFFF" w:themeColor="background1"/>
                <w:sz w:val="20"/>
                <w:szCs w:val="20"/>
                <w:vertAlign w:val="superscript"/>
              </w:rPr>
              <w:t>rd</w:t>
            </w:r>
            <w:r>
              <w:rPr>
                <w:rFonts w:cs="Calibri-Bold"/>
                <w:b/>
                <w:bCs/>
                <w:color w:val="FFFFFF" w:themeColor="background1"/>
                <w:sz w:val="20"/>
                <w:szCs w:val="20"/>
              </w:rPr>
              <w:t xml:space="preserve"> week</w:t>
            </w:r>
          </w:p>
        </w:tc>
        <w:tc>
          <w:tcPr>
            <w:tcW w:w="314" w:type="pct"/>
            <w:shd w:val="clear" w:color="auto" w:fill="31849B" w:themeFill="accent5" w:themeFillShade="BF"/>
          </w:tcPr>
          <w:p w14:paraId="703B2CF2" w14:textId="55937790" w:rsidR="003D2021" w:rsidRDefault="003D2021" w:rsidP="00DF7828">
            <w:pPr>
              <w:spacing w:after="0" w:line="240" w:lineRule="auto"/>
              <w:jc w:val="center"/>
              <w:rPr>
                <w:b/>
                <w:bCs/>
                <w:color w:val="FFFFFF" w:themeColor="background1"/>
                <w:sz w:val="20"/>
                <w:szCs w:val="20"/>
              </w:rPr>
            </w:pPr>
            <w:r>
              <w:rPr>
                <w:rFonts w:cs="Calibri-Bold"/>
                <w:b/>
                <w:bCs/>
                <w:color w:val="FFFFFF" w:themeColor="background1"/>
                <w:sz w:val="20"/>
                <w:szCs w:val="20"/>
              </w:rPr>
              <w:t>4</w:t>
            </w:r>
            <w:r w:rsidRPr="006919E7">
              <w:rPr>
                <w:rFonts w:cs="Calibri-Bold"/>
                <w:b/>
                <w:bCs/>
                <w:color w:val="FFFFFF" w:themeColor="background1"/>
                <w:sz w:val="20"/>
                <w:szCs w:val="20"/>
                <w:vertAlign w:val="superscript"/>
              </w:rPr>
              <w:t>th</w:t>
            </w:r>
            <w:r>
              <w:rPr>
                <w:rFonts w:cs="Calibri-Bold"/>
                <w:b/>
                <w:bCs/>
                <w:color w:val="FFFFFF" w:themeColor="background1"/>
                <w:sz w:val="20"/>
                <w:szCs w:val="20"/>
              </w:rPr>
              <w:t xml:space="preserve">  week</w:t>
            </w:r>
          </w:p>
        </w:tc>
        <w:tc>
          <w:tcPr>
            <w:tcW w:w="1117" w:type="pct"/>
            <w:gridSpan w:val="3"/>
            <w:shd w:val="clear" w:color="auto" w:fill="31849B" w:themeFill="accent5" w:themeFillShade="BF"/>
          </w:tcPr>
          <w:p w14:paraId="28C2CB58" w14:textId="7F260EB5" w:rsidR="003D2021" w:rsidRDefault="003D2021" w:rsidP="00DF7828">
            <w:pPr>
              <w:autoSpaceDE w:val="0"/>
              <w:autoSpaceDN w:val="0"/>
              <w:adjustRightInd w:val="0"/>
              <w:spacing w:after="0" w:line="240" w:lineRule="auto"/>
              <w:jc w:val="center"/>
              <w:rPr>
                <w:rFonts w:cs="Calibri-Bold"/>
                <w:b/>
                <w:bCs/>
                <w:color w:val="FFFFFF" w:themeColor="background1"/>
                <w:sz w:val="20"/>
                <w:szCs w:val="20"/>
              </w:rPr>
            </w:pPr>
            <w:r>
              <w:rPr>
                <w:b/>
                <w:bCs/>
                <w:color w:val="FFFFFF" w:themeColor="background1"/>
                <w:sz w:val="20"/>
                <w:szCs w:val="20"/>
              </w:rPr>
              <w:t>Time required till construction</w:t>
            </w:r>
          </w:p>
        </w:tc>
      </w:tr>
      <w:tr w:rsidR="00FC6BCE" w14:paraId="44AE0830" w14:textId="77777777">
        <w:trPr>
          <w:trHeight w:val="169"/>
        </w:trPr>
        <w:tc>
          <w:tcPr>
            <w:tcW w:w="2570" w:type="pct"/>
            <w:shd w:val="clear" w:color="auto" w:fill="auto"/>
          </w:tcPr>
          <w:p w14:paraId="1232B3A4" w14:textId="77777777" w:rsidR="00FC6BCE" w:rsidRDefault="00BB372C">
            <w:pPr>
              <w:autoSpaceDE w:val="0"/>
              <w:autoSpaceDN w:val="0"/>
              <w:adjustRightInd w:val="0"/>
              <w:spacing w:after="0" w:line="240" w:lineRule="auto"/>
              <w:rPr>
                <w:rFonts w:cs="Calibri-Bold"/>
                <w:bCs/>
                <w:sz w:val="20"/>
                <w:szCs w:val="20"/>
              </w:rPr>
            </w:pPr>
            <w:r>
              <w:rPr>
                <w:rFonts w:cs="Calibri-Bold"/>
                <w:bCs/>
                <w:sz w:val="20"/>
                <w:szCs w:val="20"/>
              </w:rPr>
              <w:t>Contract signing, document review, site visit, topographic survey, layout plan, preliminary design and estimates</w:t>
            </w:r>
          </w:p>
        </w:tc>
        <w:tc>
          <w:tcPr>
            <w:tcW w:w="371" w:type="pct"/>
            <w:shd w:val="clear" w:color="auto" w:fill="00B0F0"/>
          </w:tcPr>
          <w:p w14:paraId="3E224703"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00B0F0"/>
          </w:tcPr>
          <w:p w14:paraId="440B0CEA" w14:textId="77777777" w:rsidR="00FC6BCE" w:rsidRDefault="00FC6BCE">
            <w:pPr>
              <w:autoSpaceDE w:val="0"/>
              <w:autoSpaceDN w:val="0"/>
              <w:adjustRightInd w:val="0"/>
              <w:spacing w:after="0" w:line="240" w:lineRule="auto"/>
              <w:jc w:val="both"/>
              <w:rPr>
                <w:rFonts w:cs="Calibri-Bold"/>
                <w:bCs/>
                <w:color w:val="00B0F0"/>
                <w:sz w:val="20"/>
                <w:szCs w:val="20"/>
              </w:rPr>
            </w:pPr>
          </w:p>
        </w:tc>
        <w:tc>
          <w:tcPr>
            <w:tcW w:w="314" w:type="pct"/>
            <w:shd w:val="clear" w:color="auto" w:fill="auto"/>
          </w:tcPr>
          <w:p w14:paraId="76FB4A24"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auto"/>
          </w:tcPr>
          <w:p w14:paraId="21583ED1"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auto"/>
          </w:tcPr>
          <w:p w14:paraId="516E9597" w14:textId="77777777" w:rsidR="00FC6BCE" w:rsidRDefault="00FC6BCE">
            <w:pPr>
              <w:autoSpaceDE w:val="0"/>
              <w:autoSpaceDN w:val="0"/>
              <w:adjustRightInd w:val="0"/>
              <w:spacing w:after="0" w:line="240" w:lineRule="auto"/>
              <w:jc w:val="both"/>
              <w:rPr>
                <w:rFonts w:cs="Calibri-Bold"/>
                <w:bCs/>
                <w:sz w:val="20"/>
                <w:szCs w:val="20"/>
              </w:rPr>
            </w:pPr>
          </w:p>
        </w:tc>
        <w:tc>
          <w:tcPr>
            <w:tcW w:w="460" w:type="pct"/>
            <w:shd w:val="clear" w:color="auto" w:fill="auto"/>
          </w:tcPr>
          <w:p w14:paraId="1A6DAE81" w14:textId="77777777" w:rsidR="00FC6BCE" w:rsidRDefault="00FC6BCE">
            <w:pPr>
              <w:autoSpaceDE w:val="0"/>
              <w:autoSpaceDN w:val="0"/>
              <w:adjustRightInd w:val="0"/>
              <w:spacing w:after="0" w:line="240" w:lineRule="auto"/>
              <w:jc w:val="both"/>
              <w:rPr>
                <w:rFonts w:cs="Calibri-Bold"/>
                <w:bCs/>
                <w:sz w:val="20"/>
                <w:szCs w:val="20"/>
              </w:rPr>
            </w:pPr>
          </w:p>
        </w:tc>
        <w:tc>
          <w:tcPr>
            <w:tcW w:w="343" w:type="pct"/>
            <w:shd w:val="clear" w:color="auto" w:fill="auto"/>
          </w:tcPr>
          <w:p w14:paraId="7CCC4CDF" w14:textId="77777777" w:rsidR="00FC6BCE" w:rsidRDefault="00FC6BCE">
            <w:pPr>
              <w:autoSpaceDE w:val="0"/>
              <w:autoSpaceDN w:val="0"/>
              <w:adjustRightInd w:val="0"/>
              <w:spacing w:after="0" w:line="240" w:lineRule="auto"/>
              <w:jc w:val="both"/>
              <w:rPr>
                <w:rFonts w:cs="Calibri-Bold"/>
                <w:bCs/>
                <w:sz w:val="20"/>
                <w:szCs w:val="20"/>
              </w:rPr>
            </w:pPr>
          </w:p>
        </w:tc>
      </w:tr>
      <w:tr w:rsidR="00FC6BCE" w14:paraId="5526E4B6" w14:textId="77777777">
        <w:trPr>
          <w:trHeight w:val="250"/>
        </w:trPr>
        <w:tc>
          <w:tcPr>
            <w:tcW w:w="2570" w:type="pct"/>
            <w:shd w:val="clear" w:color="auto" w:fill="auto"/>
          </w:tcPr>
          <w:p w14:paraId="637CF8F8" w14:textId="77777777" w:rsidR="00FC6BCE" w:rsidRDefault="00BB372C">
            <w:pPr>
              <w:autoSpaceDE w:val="0"/>
              <w:autoSpaceDN w:val="0"/>
              <w:adjustRightInd w:val="0"/>
              <w:spacing w:after="0" w:line="240" w:lineRule="auto"/>
              <w:rPr>
                <w:rFonts w:cs="Calibri-Bold"/>
                <w:bCs/>
                <w:sz w:val="20"/>
                <w:szCs w:val="20"/>
              </w:rPr>
            </w:pPr>
            <w:r>
              <w:rPr>
                <w:rFonts w:cs="Times New Roman"/>
                <w:color w:val="000000"/>
                <w:lang w:val="en-US"/>
              </w:rPr>
              <w:t>Detailed engineering design, BOQ, Cost estimate, brand suggestion, finalization of design, review by IE, submission for plan approval, etc.</w:t>
            </w:r>
          </w:p>
        </w:tc>
        <w:tc>
          <w:tcPr>
            <w:tcW w:w="371" w:type="pct"/>
            <w:shd w:val="clear" w:color="auto" w:fill="auto"/>
          </w:tcPr>
          <w:p w14:paraId="4C6832A3"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FFFFFF" w:themeFill="background1"/>
          </w:tcPr>
          <w:p w14:paraId="546B6A4F"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00B0F0"/>
          </w:tcPr>
          <w:p w14:paraId="37DA4366"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00B0F0"/>
          </w:tcPr>
          <w:p w14:paraId="4B586CB5"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FFFFFF" w:themeFill="background1"/>
          </w:tcPr>
          <w:p w14:paraId="1A4F2EA1" w14:textId="77777777" w:rsidR="00FC6BCE" w:rsidRDefault="00FC6BCE">
            <w:pPr>
              <w:autoSpaceDE w:val="0"/>
              <w:autoSpaceDN w:val="0"/>
              <w:adjustRightInd w:val="0"/>
              <w:spacing w:after="0" w:line="240" w:lineRule="auto"/>
              <w:jc w:val="both"/>
              <w:rPr>
                <w:rFonts w:cs="Calibri-Bold"/>
                <w:bCs/>
                <w:sz w:val="20"/>
                <w:szCs w:val="20"/>
              </w:rPr>
            </w:pPr>
          </w:p>
        </w:tc>
        <w:tc>
          <w:tcPr>
            <w:tcW w:w="460" w:type="pct"/>
            <w:shd w:val="clear" w:color="auto" w:fill="FFFFFF" w:themeFill="background1"/>
          </w:tcPr>
          <w:p w14:paraId="6ABC85EA" w14:textId="77777777" w:rsidR="00FC6BCE" w:rsidRDefault="00FC6BCE">
            <w:pPr>
              <w:autoSpaceDE w:val="0"/>
              <w:autoSpaceDN w:val="0"/>
              <w:adjustRightInd w:val="0"/>
              <w:spacing w:after="0" w:line="240" w:lineRule="auto"/>
              <w:jc w:val="both"/>
              <w:rPr>
                <w:rFonts w:cs="Calibri-Bold"/>
                <w:bCs/>
                <w:sz w:val="20"/>
                <w:szCs w:val="20"/>
              </w:rPr>
            </w:pPr>
          </w:p>
        </w:tc>
        <w:tc>
          <w:tcPr>
            <w:tcW w:w="343" w:type="pct"/>
            <w:shd w:val="clear" w:color="auto" w:fill="auto"/>
          </w:tcPr>
          <w:p w14:paraId="5D6A6162" w14:textId="77777777" w:rsidR="00FC6BCE" w:rsidRDefault="00FC6BCE">
            <w:pPr>
              <w:autoSpaceDE w:val="0"/>
              <w:autoSpaceDN w:val="0"/>
              <w:adjustRightInd w:val="0"/>
              <w:spacing w:after="0" w:line="240" w:lineRule="auto"/>
              <w:jc w:val="both"/>
              <w:rPr>
                <w:rFonts w:cs="Calibri-Bold"/>
                <w:bCs/>
                <w:sz w:val="20"/>
                <w:szCs w:val="20"/>
              </w:rPr>
            </w:pPr>
          </w:p>
        </w:tc>
      </w:tr>
      <w:tr w:rsidR="00FC6BCE" w14:paraId="51A06BCF" w14:textId="77777777">
        <w:trPr>
          <w:trHeight w:val="250"/>
        </w:trPr>
        <w:tc>
          <w:tcPr>
            <w:tcW w:w="2570" w:type="pct"/>
            <w:shd w:val="clear" w:color="auto" w:fill="auto"/>
          </w:tcPr>
          <w:p w14:paraId="5020FA79" w14:textId="77777777" w:rsidR="00FC6BCE" w:rsidRDefault="00BB372C">
            <w:pPr>
              <w:autoSpaceDE w:val="0"/>
              <w:autoSpaceDN w:val="0"/>
              <w:adjustRightInd w:val="0"/>
              <w:spacing w:after="0" w:line="240" w:lineRule="auto"/>
              <w:rPr>
                <w:rFonts w:cstheme="minorHAnsi"/>
                <w:sz w:val="20"/>
                <w:szCs w:val="20"/>
              </w:rPr>
            </w:pPr>
            <w:r>
              <w:rPr>
                <w:rFonts w:cstheme="minorHAnsi"/>
                <w:sz w:val="20"/>
                <w:szCs w:val="20"/>
              </w:rPr>
              <w:t>Plan approval, Site supervision, Construction supervision, design correction, submission of corrected design</w:t>
            </w:r>
          </w:p>
        </w:tc>
        <w:tc>
          <w:tcPr>
            <w:tcW w:w="371" w:type="pct"/>
            <w:shd w:val="clear" w:color="auto" w:fill="auto"/>
          </w:tcPr>
          <w:p w14:paraId="1C35E46D"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FFFFFF" w:themeFill="background1"/>
          </w:tcPr>
          <w:p w14:paraId="5A88F5B9"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FFFFFF" w:themeFill="background1"/>
          </w:tcPr>
          <w:p w14:paraId="5347A906"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auto"/>
          </w:tcPr>
          <w:p w14:paraId="7F2C3DD1" w14:textId="77777777" w:rsidR="00FC6BCE" w:rsidRDefault="00FC6BCE">
            <w:pPr>
              <w:autoSpaceDE w:val="0"/>
              <w:autoSpaceDN w:val="0"/>
              <w:adjustRightInd w:val="0"/>
              <w:spacing w:after="0" w:line="240" w:lineRule="auto"/>
              <w:jc w:val="both"/>
              <w:rPr>
                <w:rFonts w:cs="Calibri-Bold"/>
                <w:bCs/>
                <w:sz w:val="20"/>
                <w:szCs w:val="20"/>
              </w:rPr>
            </w:pPr>
          </w:p>
        </w:tc>
        <w:tc>
          <w:tcPr>
            <w:tcW w:w="314" w:type="pct"/>
            <w:shd w:val="clear" w:color="auto" w:fill="00B0F0"/>
          </w:tcPr>
          <w:p w14:paraId="5F4C77AE" w14:textId="77777777" w:rsidR="00FC6BCE" w:rsidRDefault="00FC6BCE">
            <w:pPr>
              <w:autoSpaceDE w:val="0"/>
              <w:autoSpaceDN w:val="0"/>
              <w:adjustRightInd w:val="0"/>
              <w:spacing w:after="0" w:line="240" w:lineRule="auto"/>
              <w:jc w:val="both"/>
              <w:rPr>
                <w:rFonts w:cs="Calibri-Bold"/>
                <w:bCs/>
                <w:sz w:val="20"/>
                <w:szCs w:val="20"/>
                <w:highlight w:val="blue"/>
              </w:rPr>
            </w:pPr>
          </w:p>
        </w:tc>
        <w:tc>
          <w:tcPr>
            <w:tcW w:w="460" w:type="pct"/>
            <w:shd w:val="clear" w:color="auto" w:fill="00B0F0"/>
          </w:tcPr>
          <w:p w14:paraId="139838B0" w14:textId="77777777" w:rsidR="00FC6BCE" w:rsidRDefault="00FC6BCE">
            <w:pPr>
              <w:autoSpaceDE w:val="0"/>
              <w:autoSpaceDN w:val="0"/>
              <w:adjustRightInd w:val="0"/>
              <w:spacing w:after="0" w:line="240" w:lineRule="auto"/>
              <w:jc w:val="both"/>
              <w:rPr>
                <w:rFonts w:cs="Calibri-Bold"/>
                <w:bCs/>
                <w:sz w:val="20"/>
                <w:szCs w:val="20"/>
                <w:highlight w:val="blue"/>
              </w:rPr>
            </w:pPr>
          </w:p>
        </w:tc>
        <w:tc>
          <w:tcPr>
            <w:tcW w:w="343" w:type="pct"/>
            <w:shd w:val="clear" w:color="auto" w:fill="00B0F0"/>
          </w:tcPr>
          <w:p w14:paraId="51C36FAF" w14:textId="77777777" w:rsidR="00FC6BCE" w:rsidRDefault="00FC6BCE">
            <w:pPr>
              <w:autoSpaceDE w:val="0"/>
              <w:autoSpaceDN w:val="0"/>
              <w:adjustRightInd w:val="0"/>
              <w:spacing w:after="0" w:line="240" w:lineRule="auto"/>
              <w:jc w:val="both"/>
              <w:rPr>
                <w:rFonts w:cs="Calibri-Bold"/>
                <w:bCs/>
                <w:sz w:val="20"/>
                <w:szCs w:val="20"/>
                <w:highlight w:val="blue"/>
              </w:rPr>
            </w:pPr>
          </w:p>
        </w:tc>
      </w:tr>
    </w:tbl>
    <w:p w14:paraId="1254B8DF" w14:textId="77777777" w:rsidR="00FC6BCE" w:rsidRDefault="00FC6BCE">
      <w:pPr>
        <w:jc w:val="both"/>
        <w:rPr>
          <w:rFonts w:eastAsia="Trade Gothic LT Com" w:cstheme="minorHAnsi"/>
          <w:bCs/>
          <w:color w:val="000000" w:themeColor="text1"/>
        </w:rPr>
      </w:pPr>
    </w:p>
    <w:p w14:paraId="5745003A" w14:textId="77777777" w:rsidR="00FC6BCE" w:rsidRDefault="00FC6BCE">
      <w:pPr>
        <w:jc w:val="both"/>
        <w:rPr>
          <w:rFonts w:eastAsia="Trade Gothic LT Com" w:cstheme="minorHAnsi"/>
          <w:bCs/>
          <w:color w:val="000000" w:themeColor="text1"/>
        </w:rPr>
      </w:pPr>
    </w:p>
    <w:p w14:paraId="0D269A46" w14:textId="77777777" w:rsidR="00FC6BCE" w:rsidRDefault="00FC6BCE">
      <w:pPr>
        <w:spacing w:before="120" w:after="120"/>
        <w:jc w:val="both"/>
        <w:rPr>
          <w:rFonts w:cstheme="minorHAnsi"/>
          <w:b/>
          <w:bCs/>
          <w:color w:val="000000" w:themeColor="text1"/>
        </w:rPr>
      </w:pPr>
    </w:p>
    <w:p w14:paraId="1CF923CF" w14:textId="77777777" w:rsidR="00FC6BCE" w:rsidRDefault="00FC6BCE">
      <w:pPr>
        <w:spacing w:before="120" w:after="120"/>
        <w:jc w:val="both"/>
        <w:rPr>
          <w:rFonts w:cstheme="minorHAnsi"/>
          <w:b/>
          <w:bCs/>
          <w:color w:val="000000" w:themeColor="text1"/>
        </w:rPr>
      </w:pPr>
    </w:p>
    <w:p w14:paraId="1CDF6E67" w14:textId="77777777" w:rsidR="00FC6BCE" w:rsidRDefault="00FC6BCE">
      <w:pPr>
        <w:spacing w:before="120" w:after="120"/>
        <w:jc w:val="both"/>
        <w:rPr>
          <w:rFonts w:cstheme="minorHAnsi"/>
          <w:b/>
          <w:bCs/>
          <w:color w:val="000000" w:themeColor="text1"/>
        </w:rPr>
      </w:pPr>
    </w:p>
    <w:p w14:paraId="429B33B8" w14:textId="77777777" w:rsidR="00FC6BCE" w:rsidRDefault="00FC6BCE">
      <w:pPr>
        <w:spacing w:before="120" w:after="120"/>
        <w:jc w:val="both"/>
        <w:rPr>
          <w:rFonts w:cstheme="minorHAnsi"/>
          <w:b/>
          <w:bCs/>
          <w:color w:val="000000" w:themeColor="text1"/>
        </w:rPr>
      </w:pPr>
    </w:p>
    <w:p w14:paraId="571BEC90" w14:textId="77777777" w:rsidR="00FC6BCE" w:rsidRDefault="00FC6BCE">
      <w:pPr>
        <w:spacing w:before="120" w:after="120"/>
        <w:jc w:val="both"/>
        <w:rPr>
          <w:rFonts w:cstheme="minorHAnsi"/>
          <w:b/>
          <w:bCs/>
          <w:color w:val="000000" w:themeColor="text1"/>
        </w:rPr>
      </w:pPr>
    </w:p>
    <w:p w14:paraId="654F3E88" w14:textId="77777777" w:rsidR="00FC6BCE" w:rsidRDefault="00FC6BCE">
      <w:pPr>
        <w:spacing w:before="120" w:after="120"/>
        <w:jc w:val="both"/>
        <w:rPr>
          <w:rFonts w:cstheme="minorHAnsi"/>
          <w:b/>
          <w:bCs/>
          <w:color w:val="000000" w:themeColor="text1"/>
        </w:rPr>
      </w:pPr>
    </w:p>
    <w:sectPr w:rsidR="00FC6B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92220" w14:textId="77777777" w:rsidR="003A5FB3" w:rsidRDefault="003A5FB3">
      <w:pPr>
        <w:spacing w:line="240" w:lineRule="auto"/>
      </w:pPr>
      <w:r>
        <w:separator/>
      </w:r>
    </w:p>
  </w:endnote>
  <w:endnote w:type="continuationSeparator" w:id="0">
    <w:p w14:paraId="79CDA2FD" w14:textId="77777777" w:rsidR="003A5FB3" w:rsidRDefault="003A5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rade Gothic LT Com">
    <w:charset w:val="00"/>
    <w:family w:val="swiss"/>
    <w:pitch w:val="variable"/>
    <w:sig w:usb0="800000AF" w:usb1="5000204A" w:usb2="00000000" w:usb3="00000000" w:csb0="0000009B" w:csb1="00000000"/>
  </w:font>
  <w:font w:name="Geller Text">
    <w:panose1 w:val="00000000000000000000"/>
    <w:charset w:val="00"/>
    <w:family w:val="modern"/>
    <w:notTrueType/>
    <w:pitch w:val="variable"/>
    <w:sig w:usb0="00000007" w:usb1="00000000" w:usb2="00000000" w:usb3="00000000" w:csb0="00000093" w:csb1="00000000"/>
  </w:font>
  <w:font w:name="CalibriLigh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56246504"/>
      <w:docPartObj>
        <w:docPartGallery w:val="AutoText"/>
      </w:docPartObj>
    </w:sdtPr>
    <w:sdtEndPr/>
    <w:sdtContent>
      <w:sdt>
        <w:sdtPr>
          <w:rPr>
            <w:sz w:val="18"/>
            <w:szCs w:val="18"/>
          </w:rPr>
          <w:id w:val="1728636285"/>
          <w:docPartObj>
            <w:docPartGallery w:val="AutoText"/>
          </w:docPartObj>
        </w:sdtPr>
        <w:sdtEndPr/>
        <w:sdtContent>
          <w:p w14:paraId="6F0D2628" w14:textId="4E1BA093" w:rsidR="00FC6BCE" w:rsidRDefault="00BB372C">
            <w:pPr>
              <w:pStyle w:val="Footer"/>
              <w:jc w:val="center"/>
              <w:rPr>
                <w:sz w:val="18"/>
                <w:szCs w:val="18"/>
              </w:rPr>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672666">
              <w:rPr>
                <w:b/>
                <w:bCs/>
                <w:noProof/>
                <w:sz w:val="18"/>
                <w:szCs w:val="18"/>
              </w:rPr>
              <w:t>8</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672666">
              <w:rPr>
                <w:b/>
                <w:bCs/>
                <w:noProof/>
                <w:sz w:val="18"/>
                <w:szCs w:val="18"/>
              </w:rPr>
              <w:t>8</w:t>
            </w:r>
            <w:r>
              <w:rPr>
                <w:b/>
                <w:bCs/>
                <w:sz w:val="18"/>
                <w:szCs w:val="18"/>
              </w:rPr>
              <w:fldChar w:fldCharType="end"/>
            </w:r>
          </w:p>
        </w:sdtContent>
      </w:sdt>
    </w:sdtContent>
  </w:sdt>
  <w:p w14:paraId="667DB547" w14:textId="77777777" w:rsidR="00FC6BCE" w:rsidRDefault="00FC6BC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465F0" w14:textId="77777777" w:rsidR="003A5FB3" w:rsidRDefault="003A5FB3">
      <w:pPr>
        <w:spacing w:after="0"/>
      </w:pPr>
      <w:r>
        <w:separator/>
      </w:r>
    </w:p>
  </w:footnote>
  <w:footnote w:type="continuationSeparator" w:id="0">
    <w:p w14:paraId="6876FE3C" w14:textId="77777777" w:rsidR="003A5FB3" w:rsidRDefault="003A5FB3">
      <w:pPr>
        <w:spacing w:after="0"/>
      </w:pPr>
      <w:r>
        <w:continuationSeparator/>
      </w:r>
    </w:p>
  </w:footnote>
  <w:footnote w:id="1">
    <w:p w14:paraId="3CE1BD84" w14:textId="77777777" w:rsidR="00FC6BCE" w:rsidRDefault="00BB372C">
      <w:pPr>
        <w:pStyle w:val="FootnoteText"/>
        <w:rPr>
          <w:lang w:val="en-US"/>
        </w:rPr>
      </w:pPr>
      <w:r>
        <w:rPr>
          <w:rStyle w:val="FootnoteReference"/>
        </w:rPr>
        <w:footnoteRef/>
      </w:r>
      <w:r>
        <w:t xml:space="preserve"> </w:t>
      </w:r>
      <w:hyperlink r:id="rId1" w:history="1">
        <w:r>
          <w:rPr>
            <w:rStyle w:val="Hyperlink"/>
          </w:rPr>
          <w:t>https://unstats.un.org/sdgs/report/2019/goal-11/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41F7" w14:textId="77777777" w:rsidR="00FC6BCE" w:rsidRDefault="00FC6BCE">
    <w:pPr>
      <w:pStyle w:val="Header"/>
      <w:jc w:val="right"/>
    </w:pPr>
  </w:p>
  <w:p w14:paraId="5C087087" w14:textId="77777777" w:rsidR="00FC6BCE" w:rsidRDefault="00FC6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6072" w14:textId="77777777" w:rsidR="00FC6BCE" w:rsidRDefault="00BB372C">
    <w:pPr>
      <w:pStyle w:val="Header"/>
    </w:pPr>
    <w:r>
      <w:rPr>
        <w:noProof/>
        <w:lang w:val="en-US"/>
      </w:rPr>
      <w:drawing>
        <wp:anchor distT="0" distB="0" distL="114300" distR="114300" simplePos="0" relativeHeight="251659264" behindDoc="1" locked="0" layoutInCell="1" allowOverlap="1" wp14:anchorId="591E4731" wp14:editId="799E03C1">
          <wp:simplePos x="0" y="0"/>
          <wp:positionH relativeFrom="margin">
            <wp:posOffset>3552825</wp:posOffset>
          </wp:positionH>
          <wp:positionV relativeFrom="margin">
            <wp:posOffset>-466725</wp:posOffset>
          </wp:positionV>
          <wp:extent cx="2368550" cy="1374140"/>
          <wp:effectExtent l="0" t="0" r="0" b="0"/>
          <wp:wrapSquare wrapText="bothSides"/>
          <wp:docPr id="1" name="Picture 1" descr="C:\Users\cmand\AppData\Local\Microsoft\Windows\INetCache\Content.Word\Practcal_Action_Logo_RGB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mand\AppData\Local\Microsoft\Windows\INetCache\Content.Word\Practcal_Action_Logo_RGB_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68550" cy="13741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A4B64"/>
    <w:multiLevelType w:val="multilevel"/>
    <w:tmpl w:val="22CA4B6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BF36D3"/>
    <w:multiLevelType w:val="multilevel"/>
    <w:tmpl w:val="26BF36D3"/>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D3E355C"/>
    <w:multiLevelType w:val="multilevel"/>
    <w:tmpl w:val="3D3E355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65746E"/>
    <w:multiLevelType w:val="multilevel"/>
    <w:tmpl w:val="3D65746E"/>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1715C6"/>
    <w:multiLevelType w:val="multilevel"/>
    <w:tmpl w:val="431715C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3A55418"/>
    <w:multiLevelType w:val="multilevel"/>
    <w:tmpl w:val="43A5541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461268F9"/>
    <w:multiLevelType w:val="multilevel"/>
    <w:tmpl w:val="461268F9"/>
    <w:lvl w:ilvl="0">
      <w:start w:val="1"/>
      <w:numFmt w:val="decimal"/>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C3B450B"/>
    <w:multiLevelType w:val="multilevel"/>
    <w:tmpl w:val="4C3B45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3B5C5D"/>
    <w:multiLevelType w:val="multilevel"/>
    <w:tmpl w:val="563B5C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C63036"/>
    <w:multiLevelType w:val="multilevel"/>
    <w:tmpl w:val="70C6303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295322"/>
    <w:multiLevelType w:val="multilevel"/>
    <w:tmpl w:val="7D2953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9"/>
  </w:num>
  <w:num w:numId="6">
    <w:abstractNumId w:val="10"/>
  </w:num>
  <w:num w:numId="7">
    <w:abstractNumId w:val="7"/>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NDA0NTczNTIyNzdV0lEKTi0uzszPAykwtKwFAP1FoActAAAA"/>
  </w:docVars>
  <w:rsids>
    <w:rsidRoot w:val="00F157FC"/>
    <w:rsid w:val="00002267"/>
    <w:rsid w:val="00002C10"/>
    <w:rsid w:val="00003BEF"/>
    <w:rsid w:val="000047E1"/>
    <w:rsid w:val="00004A40"/>
    <w:rsid w:val="0000578D"/>
    <w:rsid w:val="00007863"/>
    <w:rsid w:val="000115DA"/>
    <w:rsid w:val="00011EDC"/>
    <w:rsid w:val="00015311"/>
    <w:rsid w:val="000177DE"/>
    <w:rsid w:val="00020B04"/>
    <w:rsid w:val="00023DE8"/>
    <w:rsid w:val="00025008"/>
    <w:rsid w:val="0002756A"/>
    <w:rsid w:val="00031249"/>
    <w:rsid w:val="00031FDA"/>
    <w:rsid w:val="000321E5"/>
    <w:rsid w:val="00033232"/>
    <w:rsid w:val="000339FA"/>
    <w:rsid w:val="0003549D"/>
    <w:rsid w:val="00036D58"/>
    <w:rsid w:val="000374FE"/>
    <w:rsid w:val="00040B47"/>
    <w:rsid w:val="000410F7"/>
    <w:rsid w:val="00042186"/>
    <w:rsid w:val="00044363"/>
    <w:rsid w:val="0004599D"/>
    <w:rsid w:val="00047D25"/>
    <w:rsid w:val="000508F3"/>
    <w:rsid w:val="00052E6F"/>
    <w:rsid w:val="00054638"/>
    <w:rsid w:val="00056B04"/>
    <w:rsid w:val="00057674"/>
    <w:rsid w:val="000601BA"/>
    <w:rsid w:val="000602C5"/>
    <w:rsid w:val="00063773"/>
    <w:rsid w:val="000654C6"/>
    <w:rsid w:val="0006550A"/>
    <w:rsid w:val="00070342"/>
    <w:rsid w:val="000711B3"/>
    <w:rsid w:val="00072B8C"/>
    <w:rsid w:val="000746F4"/>
    <w:rsid w:val="00075210"/>
    <w:rsid w:val="00080FA0"/>
    <w:rsid w:val="00080FF0"/>
    <w:rsid w:val="000825C4"/>
    <w:rsid w:val="00082978"/>
    <w:rsid w:val="000834AE"/>
    <w:rsid w:val="000874DE"/>
    <w:rsid w:val="000910D3"/>
    <w:rsid w:val="000931E1"/>
    <w:rsid w:val="0009466F"/>
    <w:rsid w:val="00094F56"/>
    <w:rsid w:val="00095E6F"/>
    <w:rsid w:val="00096F3B"/>
    <w:rsid w:val="0009713E"/>
    <w:rsid w:val="000A194A"/>
    <w:rsid w:val="000A2647"/>
    <w:rsid w:val="000A2EE9"/>
    <w:rsid w:val="000A359F"/>
    <w:rsid w:val="000A593C"/>
    <w:rsid w:val="000A6D9E"/>
    <w:rsid w:val="000A7064"/>
    <w:rsid w:val="000A73A5"/>
    <w:rsid w:val="000B0E16"/>
    <w:rsid w:val="000B116E"/>
    <w:rsid w:val="000B374D"/>
    <w:rsid w:val="000B481A"/>
    <w:rsid w:val="000B4A3D"/>
    <w:rsid w:val="000B794F"/>
    <w:rsid w:val="000C38FC"/>
    <w:rsid w:val="000C62BC"/>
    <w:rsid w:val="000C68BA"/>
    <w:rsid w:val="000C7E7E"/>
    <w:rsid w:val="000D0C73"/>
    <w:rsid w:val="000D2FE7"/>
    <w:rsid w:val="000D4A40"/>
    <w:rsid w:val="000D4C6E"/>
    <w:rsid w:val="000D7341"/>
    <w:rsid w:val="000E1C8B"/>
    <w:rsid w:val="000E4C9D"/>
    <w:rsid w:val="000E53D6"/>
    <w:rsid w:val="000E75E8"/>
    <w:rsid w:val="000F39CF"/>
    <w:rsid w:val="001038EF"/>
    <w:rsid w:val="00111808"/>
    <w:rsid w:val="00111ABA"/>
    <w:rsid w:val="00112CE6"/>
    <w:rsid w:val="001138D9"/>
    <w:rsid w:val="001155DE"/>
    <w:rsid w:val="00120C59"/>
    <w:rsid w:val="00120FDE"/>
    <w:rsid w:val="00122CC5"/>
    <w:rsid w:val="0012337C"/>
    <w:rsid w:val="00125549"/>
    <w:rsid w:val="001270CB"/>
    <w:rsid w:val="00133204"/>
    <w:rsid w:val="00135036"/>
    <w:rsid w:val="00135B2F"/>
    <w:rsid w:val="00137B85"/>
    <w:rsid w:val="00140C1B"/>
    <w:rsid w:val="00142137"/>
    <w:rsid w:val="00143E10"/>
    <w:rsid w:val="00146241"/>
    <w:rsid w:val="00146926"/>
    <w:rsid w:val="001517AD"/>
    <w:rsid w:val="001553E4"/>
    <w:rsid w:val="001559FD"/>
    <w:rsid w:val="00156E42"/>
    <w:rsid w:val="001573ED"/>
    <w:rsid w:val="00157ADE"/>
    <w:rsid w:val="00157E99"/>
    <w:rsid w:val="00161F0A"/>
    <w:rsid w:val="00162CCA"/>
    <w:rsid w:val="00163D86"/>
    <w:rsid w:val="00164662"/>
    <w:rsid w:val="00166FBB"/>
    <w:rsid w:val="0017092A"/>
    <w:rsid w:val="00172423"/>
    <w:rsid w:val="00173870"/>
    <w:rsid w:val="00173B72"/>
    <w:rsid w:val="00174DCD"/>
    <w:rsid w:val="00174F21"/>
    <w:rsid w:val="00175229"/>
    <w:rsid w:val="00176505"/>
    <w:rsid w:val="0017674F"/>
    <w:rsid w:val="00181FFB"/>
    <w:rsid w:val="001947C0"/>
    <w:rsid w:val="001963AA"/>
    <w:rsid w:val="001A157F"/>
    <w:rsid w:val="001A3460"/>
    <w:rsid w:val="001A34EA"/>
    <w:rsid w:val="001A730C"/>
    <w:rsid w:val="001B17EC"/>
    <w:rsid w:val="001B3DE5"/>
    <w:rsid w:val="001B692E"/>
    <w:rsid w:val="001C187B"/>
    <w:rsid w:val="001C2A98"/>
    <w:rsid w:val="001C493D"/>
    <w:rsid w:val="001C7EDB"/>
    <w:rsid w:val="001D26FB"/>
    <w:rsid w:val="001D5B65"/>
    <w:rsid w:val="001D7C6D"/>
    <w:rsid w:val="001E4B59"/>
    <w:rsid w:val="001E6F4F"/>
    <w:rsid w:val="001E7A11"/>
    <w:rsid w:val="001F0D32"/>
    <w:rsid w:val="001F2708"/>
    <w:rsid w:val="001F6EA4"/>
    <w:rsid w:val="002026B5"/>
    <w:rsid w:val="00203AE0"/>
    <w:rsid w:val="00207D0A"/>
    <w:rsid w:val="00212420"/>
    <w:rsid w:val="00212EC6"/>
    <w:rsid w:val="00213836"/>
    <w:rsid w:val="00213AB3"/>
    <w:rsid w:val="00213F9C"/>
    <w:rsid w:val="00214737"/>
    <w:rsid w:val="00214B35"/>
    <w:rsid w:val="002178EB"/>
    <w:rsid w:val="002218D1"/>
    <w:rsid w:val="00222755"/>
    <w:rsid w:val="00225337"/>
    <w:rsid w:val="0022584F"/>
    <w:rsid w:val="00226413"/>
    <w:rsid w:val="00230D1E"/>
    <w:rsid w:val="00232694"/>
    <w:rsid w:val="00240938"/>
    <w:rsid w:val="00240A7B"/>
    <w:rsid w:val="00241E53"/>
    <w:rsid w:val="002436A0"/>
    <w:rsid w:val="002437B8"/>
    <w:rsid w:val="00243856"/>
    <w:rsid w:val="00243F31"/>
    <w:rsid w:val="00246058"/>
    <w:rsid w:val="0024659F"/>
    <w:rsid w:val="00251731"/>
    <w:rsid w:val="00253FF9"/>
    <w:rsid w:val="00254360"/>
    <w:rsid w:val="00254F96"/>
    <w:rsid w:val="00256B43"/>
    <w:rsid w:val="00256C1C"/>
    <w:rsid w:val="00257480"/>
    <w:rsid w:val="0026079A"/>
    <w:rsid w:val="00261467"/>
    <w:rsid w:val="00261E4F"/>
    <w:rsid w:val="00262395"/>
    <w:rsid w:val="0026289C"/>
    <w:rsid w:val="00262C1C"/>
    <w:rsid w:val="002635AA"/>
    <w:rsid w:val="00263B84"/>
    <w:rsid w:val="00265804"/>
    <w:rsid w:val="00270344"/>
    <w:rsid w:val="0027407F"/>
    <w:rsid w:val="0027596C"/>
    <w:rsid w:val="0027618D"/>
    <w:rsid w:val="002808D0"/>
    <w:rsid w:val="00281B38"/>
    <w:rsid w:val="00283917"/>
    <w:rsid w:val="0028410C"/>
    <w:rsid w:val="00284C39"/>
    <w:rsid w:val="00285DB7"/>
    <w:rsid w:val="002903E8"/>
    <w:rsid w:val="00290918"/>
    <w:rsid w:val="00290D8D"/>
    <w:rsid w:val="002916C4"/>
    <w:rsid w:val="00291BC2"/>
    <w:rsid w:val="00293DD2"/>
    <w:rsid w:val="002973F5"/>
    <w:rsid w:val="00297AB7"/>
    <w:rsid w:val="002A3638"/>
    <w:rsid w:val="002A3E5C"/>
    <w:rsid w:val="002A3EDE"/>
    <w:rsid w:val="002A44ED"/>
    <w:rsid w:val="002A4831"/>
    <w:rsid w:val="002A50B1"/>
    <w:rsid w:val="002ADA81"/>
    <w:rsid w:val="002B0298"/>
    <w:rsid w:val="002B15F3"/>
    <w:rsid w:val="002B241E"/>
    <w:rsid w:val="002B335C"/>
    <w:rsid w:val="002C20C0"/>
    <w:rsid w:val="002C40A2"/>
    <w:rsid w:val="002C45C2"/>
    <w:rsid w:val="002D15D5"/>
    <w:rsid w:val="002D26F2"/>
    <w:rsid w:val="002D4CE9"/>
    <w:rsid w:val="002D5BC8"/>
    <w:rsid w:val="002D6A81"/>
    <w:rsid w:val="002E07F6"/>
    <w:rsid w:val="002E0F69"/>
    <w:rsid w:val="002E29A9"/>
    <w:rsid w:val="002E4584"/>
    <w:rsid w:val="002E4F1A"/>
    <w:rsid w:val="002E51FF"/>
    <w:rsid w:val="002E766E"/>
    <w:rsid w:val="002F0D3C"/>
    <w:rsid w:val="002F1780"/>
    <w:rsid w:val="002F2887"/>
    <w:rsid w:val="002F2A20"/>
    <w:rsid w:val="002F3F19"/>
    <w:rsid w:val="002F5ABD"/>
    <w:rsid w:val="002F6A39"/>
    <w:rsid w:val="00300202"/>
    <w:rsid w:val="00300864"/>
    <w:rsid w:val="003014C3"/>
    <w:rsid w:val="0030264A"/>
    <w:rsid w:val="00305629"/>
    <w:rsid w:val="00307270"/>
    <w:rsid w:val="00307B02"/>
    <w:rsid w:val="00307DE5"/>
    <w:rsid w:val="00310498"/>
    <w:rsid w:val="003104E5"/>
    <w:rsid w:val="00310778"/>
    <w:rsid w:val="0031317E"/>
    <w:rsid w:val="00316D7F"/>
    <w:rsid w:val="003214C3"/>
    <w:rsid w:val="00322156"/>
    <w:rsid w:val="0032379B"/>
    <w:rsid w:val="00323D55"/>
    <w:rsid w:val="00324A4F"/>
    <w:rsid w:val="0032572D"/>
    <w:rsid w:val="00330117"/>
    <w:rsid w:val="003329B4"/>
    <w:rsid w:val="00332F5E"/>
    <w:rsid w:val="0033356B"/>
    <w:rsid w:val="003407E0"/>
    <w:rsid w:val="00342068"/>
    <w:rsid w:val="00344390"/>
    <w:rsid w:val="00344F1B"/>
    <w:rsid w:val="00351581"/>
    <w:rsid w:val="003515EA"/>
    <w:rsid w:val="00351AF0"/>
    <w:rsid w:val="00351AFE"/>
    <w:rsid w:val="003534FA"/>
    <w:rsid w:val="0035403B"/>
    <w:rsid w:val="00360312"/>
    <w:rsid w:val="00360472"/>
    <w:rsid w:val="00361217"/>
    <w:rsid w:val="00363D2F"/>
    <w:rsid w:val="003651DC"/>
    <w:rsid w:val="00372B53"/>
    <w:rsid w:val="00373DD6"/>
    <w:rsid w:val="00375624"/>
    <w:rsid w:val="00377684"/>
    <w:rsid w:val="00377C5D"/>
    <w:rsid w:val="0038147C"/>
    <w:rsid w:val="00385B9E"/>
    <w:rsid w:val="00385D23"/>
    <w:rsid w:val="00386A1E"/>
    <w:rsid w:val="00387C74"/>
    <w:rsid w:val="003928EB"/>
    <w:rsid w:val="0039378D"/>
    <w:rsid w:val="0039381E"/>
    <w:rsid w:val="003952E0"/>
    <w:rsid w:val="003A09E7"/>
    <w:rsid w:val="003A129E"/>
    <w:rsid w:val="003A3301"/>
    <w:rsid w:val="003A5FB3"/>
    <w:rsid w:val="003B0272"/>
    <w:rsid w:val="003B087A"/>
    <w:rsid w:val="003B1712"/>
    <w:rsid w:val="003B1B2D"/>
    <w:rsid w:val="003B2EA5"/>
    <w:rsid w:val="003B4A23"/>
    <w:rsid w:val="003B517B"/>
    <w:rsid w:val="003C2416"/>
    <w:rsid w:val="003C38CF"/>
    <w:rsid w:val="003C54D4"/>
    <w:rsid w:val="003C7B8D"/>
    <w:rsid w:val="003D2021"/>
    <w:rsid w:val="003D4A1D"/>
    <w:rsid w:val="003D74C4"/>
    <w:rsid w:val="003E3715"/>
    <w:rsid w:val="003E5A78"/>
    <w:rsid w:val="003F0332"/>
    <w:rsid w:val="003F1900"/>
    <w:rsid w:val="003F1B50"/>
    <w:rsid w:val="003F359A"/>
    <w:rsid w:val="003F3D2A"/>
    <w:rsid w:val="003F65F8"/>
    <w:rsid w:val="003F76F3"/>
    <w:rsid w:val="00402C70"/>
    <w:rsid w:val="0040486F"/>
    <w:rsid w:val="00405463"/>
    <w:rsid w:val="004071E3"/>
    <w:rsid w:val="00407633"/>
    <w:rsid w:val="004078B5"/>
    <w:rsid w:val="00407FB0"/>
    <w:rsid w:val="00410603"/>
    <w:rsid w:val="004122FE"/>
    <w:rsid w:val="00413A22"/>
    <w:rsid w:val="00413F89"/>
    <w:rsid w:val="00423357"/>
    <w:rsid w:val="00424411"/>
    <w:rsid w:val="0042466E"/>
    <w:rsid w:val="00427B1E"/>
    <w:rsid w:val="00427C43"/>
    <w:rsid w:val="00431FB5"/>
    <w:rsid w:val="004327EE"/>
    <w:rsid w:val="0043435D"/>
    <w:rsid w:val="00435D9E"/>
    <w:rsid w:val="00442F48"/>
    <w:rsid w:val="00443C47"/>
    <w:rsid w:val="00443EE8"/>
    <w:rsid w:val="00446A91"/>
    <w:rsid w:val="00453404"/>
    <w:rsid w:val="004534F7"/>
    <w:rsid w:val="00454436"/>
    <w:rsid w:val="00457987"/>
    <w:rsid w:val="004636EC"/>
    <w:rsid w:val="004665B1"/>
    <w:rsid w:val="00466F36"/>
    <w:rsid w:val="004706D2"/>
    <w:rsid w:val="00472034"/>
    <w:rsid w:val="004726C0"/>
    <w:rsid w:val="0047341A"/>
    <w:rsid w:val="0047656B"/>
    <w:rsid w:val="0048446D"/>
    <w:rsid w:val="004845CB"/>
    <w:rsid w:val="004863CA"/>
    <w:rsid w:val="00486976"/>
    <w:rsid w:val="00486C4B"/>
    <w:rsid w:val="004875C7"/>
    <w:rsid w:val="00487C76"/>
    <w:rsid w:val="00487D0D"/>
    <w:rsid w:val="00493DED"/>
    <w:rsid w:val="00493F10"/>
    <w:rsid w:val="00496090"/>
    <w:rsid w:val="00496617"/>
    <w:rsid w:val="004A3BFF"/>
    <w:rsid w:val="004A5107"/>
    <w:rsid w:val="004A56D2"/>
    <w:rsid w:val="004A6EC4"/>
    <w:rsid w:val="004A7BBB"/>
    <w:rsid w:val="004B2876"/>
    <w:rsid w:val="004B3F7E"/>
    <w:rsid w:val="004B48C8"/>
    <w:rsid w:val="004B7E2E"/>
    <w:rsid w:val="004C1CDA"/>
    <w:rsid w:val="004C2C91"/>
    <w:rsid w:val="004C3110"/>
    <w:rsid w:val="004C3303"/>
    <w:rsid w:val="004C458C"/>
    <w:rsid w:val="004C65A5"/>
    <w:rsid w:val="004C6B08"/>
    <w:rsid w:val="004C725E"/>
    <w:rsid w:val="004D005E"/>
    <w:rsid w:val="004D1650"/>
    <w:rsid w:val="004D1A51"/>
    <w:rsid w:val="004D2995"/>
    <w:rsid w:val="004D64EB"/>
    <w:rsid w:val="004D7523"/>
    <w:rsid w:val="004E0B57"/>
    <w:rsid w:val="004E2365"/>
    <w:rsid w:val="004E6A29"/>
    <w:rsid w:val="004F2D9E"/>
    <w:rsid w:val="004F6085"/>
    <w:rsid w:val="004F7358"/>
    <w:rsid w:val="00501018"/>
    <w:rsid w:val="00501E15"/>
    <w:rsid w:val="0050449F"/>
    <w:rsid w:val="0051166B"/>
    <w:rsid w:val="00511AB6"/>
    <w:rsid w:val="005138C7"/>
    <w:rsid w:val="0051631E"/>
    <w:rsid w:val="00516DA1"/>
    <w:rsid w:val="005210E1"/>
    <w:rsid w:val="005231DE"/>
    <w:rsid w:val="00525219"/>
    <w:rsid w:val="00526C94"/>
    <w:rsid w:val="005275A1"/>
    <w:rsid w:val="005306CE"/>
    <w:rsid w:val="00530FE4"/>
    <w:rsid w:val="00531318"/>
    <w:rsid w:val="00531682"/>
    <w:rsid w:val="00531A72"/>
    <w:rsid w:val="00531DBA"/>
    <w:rsid w:val="00532529"/>
    <w:rsid w:val="005329A4"/>
    <w:rsid w:val="0053330D"/>
    <w:rsid w:val="00533F00"/>
    <w:rsid w:val="005343E0"/>
    <w:rsid w:val="0053465B"/>
    <w:rsid w:val="00537428"/>
    <w:rsid w:val="00537D70"/>
    <w:rsid w:val="005403C5"/>
    <w:rsid w:val="00540C52"/>
    <w:rsid w:val="00541F9E"/>
    <w:rsid w:val="00545BBF"/>
    <w:rsid w:val="0054760A"/>
    <w:rsid w:val="00547AA4"/>
    <w:rsid w:val="00550068"/>
    <w:rsid w:val="005504EA"/>
    <w:rsid w:val="00552644"/>
    <w:rsid w:val="00553CA2"/>
    <w:rsid w:val="00554A5F"/>
    <w:rsid w:val="00555911"/>
    <w:rsid w:val="00556FE3"/>
    <w:rsid w:val="0056078E"/>
    <w:rsid w:val="00561776"/>
    <w:rsid w:val="00561AD1"/>
    <w:rsid w:val="00564FA2"/>
    <w:rsid w:val="005650F6"/>
    <w:rsid w:val="00565211"/>
    <w:rsid w:val="00565906"/>
    <w:rsid w:val="005674C4"/>
    <w:rsid w:val="00570E3D"/>
    <w:rsid w:val="00571F8D"/>
    <w:rsid w:val="00573864"/>
    <w:rsid w:val="00573984"/>
    <w:rsid w:val="00573A8B"/>
    <w:rsid w:val="00575836"/>
    <w:rsid w:val="00580350"/>
    <w:rsid w:val="00580964"/>
    <w:rsid w:val="00582EEF"/>
    <w:rsid w:val="00583212"/>
    <w:rsid w:val="005846ED"/>
    <w:rsid w:val="00585872"/>
    <w:rsid w:val="00593F2D"/>
    <w:rsid w:val="00595FA1"/>
    <w:rsid w:val="005A01AA"/>
    <w:rsid w:val="005A0DD3"/>
    <w:rsid w:val="005A1452"/>
    <w:rsid w:val="005A315A"/>
    <w:rsid w:val="005A6703"/>
    <w:rsid w:val="005A6921"/>
    <w:rsid w:val="005B346D"/>
    <w:rsid w:val="005B497B"/>
    <w:rsid w:val="005B6BF1"/>
    <w:rsid w:val="005B7648"/>
    <w:rsid w:val="005C1EA9"/>
    <w:rsid w:val="005C21F7"/>
    <w:rsid w:val="005C2C30"/>
    <w:rsid w:val="005C2E3C"/>
    <w:rsid w:val="005C3CFE"/>
    <w:rsid w:val="005C4E17"/>
    <w:rsid w:val="005C5891"/>
    <w:rsid w:val="005C6872"/>
    <w:rsid w:val="005D0E74"/>
    <w:rsid w:val="005D247A"/>
    <w:rsid w:val="005D3302"/>
    <w:rsid w:val="005D4126"/>
    <w:rsid w:val="005D4A66"/>
    <w:rsid w:val="005D6BB0"/>
    <w:rsid w:val="005D77EA"/>
    <w:rsid w:val="005E2CD5"/>
    <w:rsid w:val="005E316B"/>
    <w:rsid w:val="005E3755"/>
    <w:rsid w:val="005E3F98"/>
    <w:rsid w:val="005E6DC2"/>
    <w:rsid w:val="005E74C9"/>
    <w:rsid w:val="005F1E2F"/>
    <w:rsid w:val="005F36F3"/>
    <w:rsid w:val="005F55B1"/>
    <w:rsid w:val="00600793"/>
    <w:rsid w:val="0060100C"/>
    <w:rsid w:val="00602011"/>
    <w:rsid w:val="00603FF9"/>
    <w:rsid w:val="00605A11"/>
    <w:rsid w:val="00605B84"/>
    <w:rsid w:val="00606101"/>
    <w:rsid w:val="00610484"/>
    <w:rsid w:val="00612C54"/>
    <w:rsid w:val="00613D7A"/>
    <w:rsid w:val="00617150"/>
    <w:rsid w:val="00621D47"/>
    <w:rsid w:val="006231A4"/>
    <w:rsid w:val="00623DD3"/>
    <w:rsid w:val="00624229"/>
    <w:rsid w:val="006248CC"/>
    <w:rsid w:val="006269AD"/>
    <w:rsid w:val="00627B88"/>
    <w:rsid w:val="00630FAE"/>
    <w:rsid w:val="00632BD4"/>
    <w:rsid w:val="0063665A"/>
    <w:rsid w:val="00636E5A"/>
    <w:rsid w:val="00637886"/>
    <w:rsid w:val="00641BF2"/>
    <w:rsid w:val="00644543"/>
    <w:rsid w:val="0064549C"/>
    <w:rsid w:val="0064782D"/>
    <w:rsid w:val="00647F81"/>
    <w:rsid w:val="006511B6"/>
    <w:rsid w:val="00653696"/>
    <w:rsid w:val="00654F9B"/>
    <w:rsid w:val="006570E8"/>
    <w:rsid w:val="00657B91"/>
    <w:rsid w:val="00661024"/>
    <w:rsid w:val="00661B2E"/>
    <w:rsid w:val="006641F2"/>
    <w:rsid w:val="006658A5"/>
    <w:rsid w:val="00666608"/>
    <w:rsid w:val="006676C4"/>
    <w:rsid w:val="00670220"/>
    <w:rsid w:val="00672666"/>
    <w:rsid w:val="006726A3"/>
    <w:rsid w:val="00673234"/>
    <w:rsid w:val="00673DDB"/>
    <w:rsid w:val="00675B1B"/>
    <w:rsid w:val="00676044"/>
    <w:rsid w:val="006771BB"/>
    <w:rsid w:val="006801EE"/>
    <w:rsid w:val="00680243"/>
    <w:rsid w:val="00683513"/>
    <w:rsid w:val="00685653"/>
    <w:rsid w:val="00686E36"/>
    <w:rsid w:val="00687E64"/>
    <w:rsid w:val="006919E7"/>
    <w:rsid w:val="00692F6A"/>
    <w:rsid w:val="00692F9C"/>
    <w:rsid w:val="00693024"/>
    <w:rsid w:val="006942AB"/>
    <w:rsid w:val="00695118"/>
    <w:rsid w:val="00695177"/>
    <w:rsid w:val="00695FF5"/>
    <w:rsid w:val="006A550B"/>
    <w:rsid w:val="006B12C3"/>
    <w:rsid w:val="006B178B"/>
    <w:rsid w:val="006B21EB"/>
    <w:rsid w:val="006B648C"/>
    <w:rsid w:val="006B6BDA"/>
    <w:rsid w:val="006B7A61"/>
    <w:rsid w:val="006C073D"/>
    <w:rsid w:val="006C15EB"/>
    <w:rsid w:val="006C5B64"/>
    <w:rsid w:val="006D0A97"/>
    <w:rsid w:val="006D11EB"/>
    <w:rsid w:val="006D45CF"/>
    <w:rsid w:val="006E13BD"/>
    <w:rsid w:val="006E28C0"/>
    <w:rsid w:val="006E361B"/>
    <w:rsid w:val="006E3856"/>
    <w:rsid w:val="006E4746"/>
    <w:rsid w:val="006F0F22"/>
    <w:rsid w:val="006F1B97"/>
    <w:rsid w:val="006F2CC8"/>
    <w:rsid w:val="006F4649"/>
    <w:rsid w:val="006F6D80"/>
    <w:rsid w:val="006F73B1"/>
    <w:rsid w:val="006F743E"/>
    <w:rsid w:val="006F7D5D"/>
    <w:rsid w:val="00700218"/>
    <w:rsid w:val="007017BE"/>
    <w:rsid w:val="007018D4"/>
    <w:rsid w:val="00702F76"/>
    <w:rsid w:val="00704275"/>
    <w:rsid w:val="00705150"/>
    <w:rsid w:val="00706334"/>
    <w:rsid w:val="007073B6"/>
    <w:rsid w:val="00710D3F"/>
    <w:rsid w:val="00712685"/>
    <w:rsid w:val="00713467"/>
    <w:rsid w:val="00714A3E"/>
    <w:rsid w:val="007164BE"/>
    <w:rsid w:val="00717193"/>
    <w:rsid w:val="00720F5E"/>
    <w:rsid w:val="00721955"/>
    <w:rsid w:val="0072238D"/>
    <w:rsid w:val="00722A38"/>
    <w:rsid w:val="007234D6"/>
    <w:rsid w:val="00723624"/>
    <w:rsid w:val="007240BB"/>
    <w:rsid w:val="0072590D"/>
    <w:rsid w:val="007264EB"/>
    <w:rsid w:val="0072713F"/>
    <w:rsid w:val="00734995"/>
    <w:rsid w:val="00736108"/>
    <w:rsid w:val="00740D0D"/>
    <w:rsid w:val="0074139E"/>
    <w:rsid w:val="00743FB3"/>
    <w:rsid w:val="00744ACA"/>
    <w:rsid w:val="0074567B"/>
    <w:rsid w:val="007461F4"/>
    <w:rsid w:val="00747197"/>
    <w:rsid w:val="00750A9C"/>
    <w:rsid w:val="00752408"/>
    <w:rsid w:val="0075370A"/>
    <w:rsid w:val="00754D36"/>
    <w:rsid w:val="007567C0"/>
    <w:rsid w:val="00756F8D"/>
    <w:rsid w:val="00757EB6"/>
    <w:rsid w:val="0076368A"/>
    <w:rsid w:val="00770BA3"/>
    <w:rsid w:val="007720D5"/>
    <w:rsid w:val="00772930"/>
    <w:rsid w:val="00772E6F"/>
    <w:rsid w:val="00774AE1"/>
    <w:rsid w:val="00777EF9"/>
    <w:rsid w:val="00781A58"/>
    <w:rsid w:val="007863F0"/>
    <w:rsid w:val="007873B1"/>
    <w:rsid w:val="00790C98"/>
    <w:rsid w:val="00791B3D"/>
    <w:rsid w:val="0079291F"/>
    <w:rsid w:val="00793B3B"/>
    <w:rsid w:val="00794A3C"/>
    <w:rsid w:val="00794C2C"/>
    <w:rsid w:val="00794DD6"/>
    <w:rsid w:val="007962FE"/>
    <w:rsid w:val="00797AD8"/>
    <w:rsid w:val="007A28B6"/>
    <w:rsid w:val="007A36CC"/>
    <w:rsid w:val="007A6E0C"/>
    <w:rsid w:val="007B05C7"/>
    <w:rsid w:val="007B0DD9"/>
    <w:rsid w:val="007B2146"/>
    <w:rsid w:val="007B2D6C"/>
    <w:rsid w:val="007B5CC8"/>
    <w:rsid w:val="007B7E0E"/>
    <w:rsid w:val="007C075E"/>
    <w:rsid w:val="007C2835"/>
    <w:rsid w:val="007C3680"/>
    <w:rsid w:val="007D0BEC"/>
    <w:rsid w:val="007D228E"/>
    <w:rsid w:val="007D5038"/>
    <w:rsid w:val="007E18AC"/>
    <w:rsid w:val="007E2DF4"/>
    <w:rsid w:val="007E302D"/>
    <w:rsid w:val="007E3FC9"/>
    <w:rsid w:val="007E4E94"/>
    <w:rsid w:val="007E7F3B"/>
    <w:rsid w:val="007F04E4"/>
    <w:rsid w:val="007F173C"/>
    <w:rsid w:val="007F5701"/>
    <w:rsid w:val="007F5968"/>
    <w:rsid w:val="007F5CB5"/>
    <w:rsid w:val="007F5F8E"/>
    <w:rsid w:val="007F6274"/>
    <w:rsid w:val="007F72D4"/>
    <w:rsid w:val="007F730B"/>
    <w:rsid w:val="007F78F8"/>
    <w:rsid w:val="007F7A18"/>
    <w:rsid w:val="00801E05"/>
    <w:rsid w:val="00806798"/>
    <w:rsid w:val="008105E4"/>
    <w:rsid w:val="0081504D"/>
    <w:rsid w:val="00816141"/>
    <w:rsid w:val="00817BA9"/>
    <w:rsid w:val="00827F0B"/>
    <w:rsid w:val="00830C05"/>
    <w:rsid w:val="00831773"/>
    <w:rsid w:val="00832EF4"/>
    <w:rsid w:val="00833C0F"/>
    <w:rsid w:val="008350F7"/>
    <w:rsid w:val="008369C6"/>
    <w:rsid w:val="00842863"/>
    <w:rsid w:val="00843378"/>
    <w:rsid w:val="0084399B"/>
    <w:rsid w:val="008461FF"/>
    <w:rsid w:val="0085304E"/>
    <w:rsid w:val="00854A65"/>
    <w:rsid w:val="008572F3"/>
    <w:rsid w:val="00857479"/>
    <w:rsid w:val="008576B0"/>
    <w:rsid w:val="00861303"/>
    <w:rsid w:val="00864D4A"/>
    <w:rsid w:val="00865BDF"/>
    <w:rsid w:val="008675A1"/>
    <w:rsid w:val="00867E25"/>
    <w:rsid w:val="0087049D"/>
    <w:rsid w:val="00870A72"/>
    <w:rsid w:val="00871537"/>
    <w:rsid w:val="0087327C"/>
    <w:rsid w:val="008749B9"/>
    <w:rsid w:val="00883065"/>
    <w:rsid w:val="008841A3"/>
    <w:rsid w:val="00884C27"/>
    <w:rsid w:val="0088513E"/>
    <w:rsid w:val="00891F71"/>
    <w:rsid w:val="008926EE"/>
    <w:rsid w:val="0089443D"/>
    <w:rsid w:val="008947B4"/>
    <w:rsid w:val="00894FE0"/>
    <w:rsid w:val="008959B2"/>
    <w:rsid w:val="00896C1B"/>
    <w:rsid w:val="00896CA4"/>
    <w:rsid w:val="00897919"/>
    <w:rsid w:val="008A3CC6"/>
    <w:rsid w:val="008A3F4F"/>
    <w:rsid w:val="008B230B"/>
    <w:rsid w:val="008B2B92"/>
    <w:rsid w:val="008B5C04"/>
    <w:rsid w:val="008B6021"/>
    <w:rsid w:val="008C3F5A"/>
    <w:rsid w:val="008C475A"/>
    <w:rsid w:val="008C4FE7"/>
    <w:rsid w:val="008C5AFD"/>
    <w:rsid w:val="008C7207"/>
    <w:rsid w:val="008D045E"/>
    <w:rsid w:val="008D1C8F"/>
    <w:rsid w:val="008D2236"/>
    <w:rsid w:val="008D344E"/>
    <w:rsid w:val="008D3780"/>
    <w:rsid w:val="008D3B3C"/>
    <w:rsid w:val="008D4191"/>
    <w:rsid w:val="008D42B2"/>
    <w:rsid w:val="008D4FA1"/>
    <w:rsid w:val="008D5EB3"/>
    <w:rsid w:val="008D7EAC"/>
    <w:rsid w:val="008E01D9"/>
    <w:rsid w:val="008E5340"/>
    <w:rsid w:val="008E68BD"/>
    <w:rsid w:val="008E71A0"/>
    <w:rsid w:val="008E7AA8"/>
    <w:rsid w:val="008F0DC2"/>
    <w:rsid w:val="008F72AC"/>
    <w:rsid w:val="008F7D06"/>
    <w:rsid w:val="0090034C"/>
    <w:rsid w:val="00900A39"/>
    <w:rsid w:val="009019A4"/>
    <w:rsid w:val="00901F20"/>
    <w:rsid w:val="00902D2D"/>
    <w:rsid w:val="00902DA1"/>
    <w:rsid w:val="00903665"/>
    <w:rsid w:val="00905155"/>
    <w:rsid w:val="00905365"/>
    <w:rsid w:val="009058C2"/>
    <w:rsid w:val="00910239"/>
    <w:rsid w:val="00911223"/>
    <w:rsid w:val="00911AC2"/>
    <w:rsid w:val="009138A7"/>
    <w:rsid w:val="00915034"/>
    <w:rsid w:val="00915C65"/>
    <w:rsid w:val="00916780"/>
    <w:rsid w:val="00920A47"/>
    <w:rsid w:val="00921941"/>
    <w:rsid w:val="00921D80"/>
    <w:rsid w:val="0092298B"/>
    <w:rsid w:val="00924604"/>
    <w:rsid w:val="00925049"/>
    <w:rsid w:val="009316B5"/>
    <w:rsid w:val="00931FD0"/>
    <w:rsid w:val="00934C40"/>
    <w:rsid w:val="00937ACE"/>
    <w:rsid w:val="00937DDA"/>
    <w:rsid w:val="009422CC"/>
    <w:rsid w:val="009448EC"/>
    <w:rsid w:val="0094722A"/>
    <w:rsid w:val="00947414"/>
    <w:rsid w:val="00947917"/>
    <w:rsid w:val="00947DAB"/>
    <w:rsid w:val="00947DB8"/>
    <w:rsid w:val="0095063B"/>
    <w:rsid w:val="00950E6D"/>
    <w:rsid w:val="009535F9"/>
    <w:rsid w:val="00955732"/>
    <w:rsid w:val="00956EB8"/>
    <w:rsid w:val="009619A0"/>
    <w:rsid w:val="00963260"/>
    <w:rsid w:val="00963635"/>
    <w:rsid w:val="009642D4"/>
    <w:rsid w:val="00965DA2"/>
    <w:rsid w:val="0096648D"/>
    <w:rsid w:val="009669E6"/>
    <w:rsid w:val="00967926"/>
    <w:rsid w:val="00970E4C"/>
    <w:rsid w:val="00974264"/>
    <w:rsid w:val="00974E93"/>
    <w:rsid w:val="0097759B"/>
    <w:rsid w:val="00983051"/>
    <w:rsid w:val="009833C0"/>
    <w:rsid w:val="00983E95"/>
    <w:rsid w:val="00990C09"/>
    <w:rsid w:val="009914AD"/>
    <w:rsid w:val="00991DBF"/>
    <w:rsid w:val="00994DE8"/>
    <w:rsid w:val="009959BF"/>
    <w:rsid w:val="00995A4D"/>
    <w:rsid w:val="00996FF3"/>
    <w:rsid w:val="009A1842"/>
    <w:rsid w:val="009A3FF8"/>
    <w:rsid w:val="009A57EA"/>
    <w:rsid w:val="009B58E0"/>
    <w:rsid w:val="009B7BF8"/>
    <w:rsid w:val="009C06BD"/>
    <w:rsid w:val="009C1C1F"/>
    <w:rsid w:val="009C31B3"/>
    <w:rsid w:val="009C36E8"/>
    <w:rsid w:val="009C449B"/>
    <w:rsid w:val="009C4AC8"/>
    <w:rsid w:val="009C566A"/>
    <w:rsid w:val="009D0092"/>
    <w:rsid w:val="009D0F04"/>
    <w:rsid w:val="009D1CF1"/>
    <w:rsid w:val="009D7DC6"/>
    <w:rsid w:val="009E09EB"/>
    <w:rsid w:val="009E29FC"/>
    <w:rsid w:val="009E3508"/>
    <w:rsid w:val="009E3512"/>
    <w:rsid w:val="009E3BF5"/>
    <w:rsid w:val="009E455E"/>
    <w:rsid w:val="009E67DD"/>
    <w:rsid w:val="009E797F"/>
    <w:rsid w:val="009F2603"/>
    <w:rsid w:val="009F2B4D"/>
    <w:rsid w:val="009F55E8"/>
    <w:rsid w:val="009F7C37"/>
    <w:rsid w:val="00A029E3"/>
    <w:rsid w:val="00A04F24"/>
    <w:rsid w:val="00A05590"/>
    <w:rsid w:val="00A11343"/>
    <w:rsid w:val="00A12CC2"/>
    <w:rsid w:val="00A1530C"/>
    <w:rsid w:val="00A15B89"/>
    <w:rsid w:val="00A16A32"/>
    <w:rsid w:val="00A16F24"/>
    <w:rsid w:val="00A20383"/>
    <w:rsid w:val="00A221F3"/>
    <w:rsid w:val="00A267B4"/>
    <w:rsid w:val="00A270EA"/>
    <w:rsid w:val="00A3018B"/>
    <w:rsid w:val="00A31597"/>
    <w:rsid w:val="00A32917"/>
    <w:rsid w:val="00A401C9"/>
    <w:rsid w:val="00A40D50"/>
    <w:rsid w:val="00A4205C"/>
    <w:rsid w:val="00A42ECA"/>
    <w:rsid w:val="00A44479"/>
    <w:rsid w:val="00A527CD"/>
    <w:rsid w:val="00A534E0"/>
    <w:rsid w:val="00A544FE"/>
    <w:rsid w:val="00A5563E"/>
    <w:rsid w:val="00A57247"/>
    <w:rsid w:val="00A578D8"/>
    <w:rsid w:val="00A57F0F"/>
    <w:rsid w:val="00A61A07"/>
    <w:rsid w:val="00A61CF6"/>
    <w:rsid w:val="00A63426"/>
    <w:rsid w:val="00A634D9"/>
    <w:rsid w:val="00A6378A"/>
    <w:rsid w:val="00A64F2C"/>
    <w:rsid w:val="00A71E8E"/>
    <w:rsid w:val="00A728E5"/>
    <w:rsid w:val="00A737B1"/>
    <w:rsid w:val="00A76700"/>
    <w:rsid w:val="00A76864"/>
    <w:rsid w:val="00A81704"/>
    <w:rsid w:val="00A84898"/>
    <w:rsid w:val="00A84ADA"/>
    <w:rsid w:val="00A84E99"/>
    <w:rsid w:val="00A871E1"/>
    <w:rsid w:val="00A87EF8"/>
    <w:rsid w:val="00A93105"/>
    <w:rsid w:val="00A94800"/>
    <w:rsid w:val="00A96382"/>
    <w:rsid w:val="00A9742B"/>
    <w:rsid w:val="00AA0C63"/>
    <w:rsid w:val="00AA1899"/>
    <w:rsid w:val="00AA5334"/>
    <w:rsid w:val="00AA6568"/>
    <w:rsid w:val="00AA7956"/>
    <w:rsid w:val="00AA7C03"/>
    <w:rsid w:val="00AB0A06"/>
    <w:rsid w:val="00AB3DB7"/>
    <w:rsid w:val="00AB4C17"/>
    <w:rsid w:val="00AB676C"/>
    <w:rsid w:val="00AB7718"/>
    <w:rsid w:val="00AC0375"/>
    <w:rsid w:val="00AC0A3C"/>
    <w:rsid w:val="00AC1C28"/>
    <w:rsid w:val="00AC1F7F"/>
    <w:rsid w:val="00AC2B78"/>
    <w:rsid w:val="00AC5753"/>
    <w:rsid w:val="00AC5BAF"/>
    <w:rsid w:val="00AC5C9C"/>
    <w:rsid w:val="00AC5D01"/>
    <w:rsid w:val="00AD6760"/>
    <w:rsid w:val="00AD72DE"/>
    <w:rsid w:val="00AD7518"/>
    <w:rsid w:val="00AD7C52"/>
    <w:rsid w:val="00AE0369"/>
    <w:rsid w:val="00AF20C1"/>
    <w:rsid w:val="00AF2BDF"/>
    <w:rsid w:val="00AF3C87"/>
    <w:rsid w:val="00AF5C51"/>
    <w:rsid w:val="00AF613C"/>
    <w:rsid w:val="00AF7456"/>
    <w:rsid w:val="00B00D2F"/>
    <w:rsid w:val="00B01EEF"/>
    <w:rsid w:val="00B0430D"/>
    <w:rsid w:val="00B05662"/>
    <w:rsid w:val="00B058E7"/>
    <w:rsid w:val="00B0671E"/>
    <w:rsid w:val="00B0718F"/>
    <w:rsid w:val="00B0794E"/>
    <w:rsid w:val="00B121E4"/>
    <w:rsid w:val="00B1474D"/>
    <w:rsid w:val="00B21AEF"/>
    <w:rsid w:val="00B21E46"/>
    <w:rsid w:val="00B22410"/>
    <w:rsid w:val="00B22429"/>
    <w:rsid w:val="00B23BCA"/>
    <w:rsid w:val="00B23CB1"/>
    <w:rsid w:val="00B300D0"/>
    <w:rsid w:val="00B324B3"/>
    <w:rsid w:val="00B32BC3"/>
    <w:rsid w:val="00B32C7D"/>
    <w:rsid w:val="00B3542A"/>
    <w:rsid w:val="00B36355"/>
    <w:rsid w:val="00B416DF"/>
    <w:rsid w:val="00B41CEE"/>
    <w:rsid w:val="00B43B67"/>
    <w:rsid w:val="00B45625"/>
    <w:rsid w:val="00B46E36"/>
    <w:rsid w:val="00B5014A"/>
    <w:rsid w:val="00B503D7"/>
    <w:rsid w:val="00B5160A"/>
    <w:rsid w:val="00B54A6C"/>
    <w:rsid w:val="00B54A7A"/>
    <w:rsid w:val="00B5700B"/>
    <w:rsid w:val="00B639CE"/>
    <w:rsid w:val="00B655AD"/>
    <w:rsid w:val="00B676D3"/>
    <w:rsid w:val="00B70319"/>
    <w:rsid w:val="00B70930"/>
    <w:rsid w:val="00B735BB"/>
    <w:rsid w:val="00B83B48"/>
    <w:rsid w:val="00B8727B"/>
    <w:rsid w:val="00B923CC"/>
    <w:rsid w:val="00B92E54"/>
    <w:rsid w:val="00B93E3F"/>
    <w:rsid w:val="00B95438"/>
    <w:rsid w:val="00B95D50"/>
    <w:rsid w:val="00B973A1"/>
    <w:rsid w:val="00B975B6"/>
    <w:rsid w:val="00B9799A"/>
    <w:rsid w:val="00BA07E2"/>
    <w:rsid w:val="00BA1782"/>
    <w:rsid w:val="00BA4460"/>
    <w:rsid w:val="00BA45A5"/>
    <w:rsid w:val="00BA55A0"/>
    <w:rsid w:val="00BA6018"/>
    <w:rsid w:val="00BA7CE1"/>
    <w:rsid w:val="00BA7ED7"/>
    <w:rsid w:val="00BB20C5"/>
    <w:rsid w:val="00BB3122"/>
    <w:rsid w:val="00BB3694"/>
    <w:rsid w:val="00BB372C"/>
    <w:rsid w:val="00BB4D54"/>
    <w:rsid w:val="00BB5297"/>
    <w:rsid w:val="00BC4DE4"/>
    <w:rsid w:val="00BC5D63"/>
    <w:rsid w:val="00BD0548"/>
    <w:rsid w:val="00BD5F86"/>
    <w:rsid w:val="00BD7D32"/>
    <w:rsid w:val="00BE0002"/>
    <w:rsid w:val="00BE0B2C"/>
    <w:rsid w:val="00BE0E3B"/>
    <w:rsid w:val="00BE45B4"/>
    <w:rsid w:val="00BE4FDD"/>
    <w:rsid w:val="00BE6063"/>
    <w:rsid w:val="00BF0F00"/>
    <w:rsid w:val="00BF7102"/>
    <w:rsid w:val="00BF7747"/>
    <w:rsid w:val="00C00BF2"/>
    <w:rsid w:val="00C01D03"/>
    <w:rsid w:val="00C023C1"/>
    <w:rsid w:val="00C02ED1"/>
    <w:rsid w:val="00C02F28"/>
    <w:rsid w:val="00C02FF8"/>
    <w:rsid w:val="00C03D0C"/>
    <w:rsid w:val="00C03FB3"/>
    <w:rsid w:val="00C04DBD"/>
    <w:rsid w:val="00C06CBF"/>
    <w:rsid w:val="00C07A76"/>
    <w:rsid w:val="00C12A48"/>
    <w:rsid w:val="00C12C17"/>
    <w:rsid w:val="00C1347B"/>
    <w:rsid w:val="00C13670"/>
    <w:rsid w:val="00C13B77"/>
    <w:rsid w:val="00C13CB0"/>
    <w:rsid w:val="00C1543B"/>
    <w:rsid w:val="00C15EB5"/>
    <w:rsid w:val="00C200D8"/>
    <w:rsid w:val="00C22A99"/>
    <w:rsid w:val="00C235C7"/>
    <w:rsid w:val="00C23E14"/>
    <w:rsid w:val="00C24136"/>
    <w:rsid w:val="00C24A5A"/>
    <w:rsid w:val="00C24B87"/>
    <w:rsid w:val="00C25AB0"/>
    <w:rsid w:val="00C25C46"/>
    <w:rsid w:val="00C26225"/>
    <w:rsid w:val="00C27376"/>
    <w:rsid w:val="00C3075D"/>
    <w:rsid w:val="00C31ACE"/>
    <w:rsid w:val="00C32246"/>
    <w:rsid w:val="00C32830"/>
    <w:rsid w:val="00C328C6"/>
    <w:rsid w:val="00C34EE1"/>
    <w:rsid w:val="00C37193"/>
    <w:rsid w:val="00C37BD3"/>
    <w:rsid w:val="00C4154F"/>
    <w:rsid w:val="00C4214D"/>
    <w:rsid w:val="00C437F8"/>
    <w:rsid w:val="00C44346"/>
    <w:rsid w:val="00C45DB3"/>
    <w:rsid w:val="00C46301"/>
    <w:rsid w:val="00C46902"/>
    <w:rsid w:val="00C46CA2"/>
    <w:rsid w:val="00C46F01"/>
    <w:rsid w:val="00C52B28"/>
    <w:rsid w:val="00C54ADD"/>
    <w:rsid w:val="00C557F6"/>
    <w:rsid w:val="00C61196"/>
    <w:rsid w:val="00C63836"/>
    <w:rsid w:val="00C64AE7"/>
    <w:rsid w:val="00C70F11"/>
    <w:rsid w:val="00C7412F"/>
    <w:rsid w:val="00C74EE8"/>
    <w:rsid w:val="00C767A2"/>
    <w:rsid w:val="00C80B0A"/>
    <w:rsid w:val="00C81264"/>
    <w:rsid w:val="00C81E2E"/>
    <w:rsid w:val="00C83E30"/>
    <w:rsid w:val="00C84812"/>
    <w:rsid w:val="00C84FA2"/>
    <w:rsid w:val="00C86D08"/>
    <w:rsid w:val="00C86F73"/>
    <w:rsid w:val="00C87F97"/>
    <w:rsid w:val="00C90DC1"/>
    <w:rsid w:val="00C9184A"/>
    <w:rsid w:val="00C91CDC"/>
    <w:rsid w:val="00C92215"/>
    <w:rsid w:val="00C9468D"/>
    <w:rsid w:val="00C9586D"/>
    <w:rsid w:val="00C96E28"/>
    <w:rsid w:val="00C96EE9"/>
    <w:rsid w:val="00CA23C9"/>
    <w:rsid w:val="00CA2FF6"/>
    <w:rsid w:val="00CA38C1"/>
    <w:rsid w:val="00CA4440"/>
    <w:rsid w:val="00CA551F"/>
    <w:rsid w:val="00CA787F"/>
    <w:rsid w:val="00CB4D0B"/>
    <w:rsid w:val="00CC07E9"/>
    <w:rsid w:val="00CC38BB"/>
    <w:rsid w:val="00CC4D45"/>
    <w:rsid w:val="00CC7458"/>
    <w:rsid w:val="00CD18EB"/>
    <w:rsid w:val="00CD2C2F"/>
    <w:rsid w:val="00CD36A2"/>
    <w:rsid w:val="00CD43C8"/>
    <w:rsid w:val="00CD4C1A"/>
    <w:rsid w:val="00CE229F"/>
    <w:rsid w:val="00CE445C"/>
    <w:rsid w:val="00CE5CAA"/>
    <w:rsid w:val="00CE633F"/>
    <w:rsid w:val="00CE6EF1"/>
    <w:rsid w:val="00CF03CA"/>
    <w:rsid w:val="00CF1CEE"/>
    <w:rsid w:val="00CF2F25"/>
    <w:rsid w:val="00CF3751"/>
    <w:rsid w:val="00CF4ED8"/>
    <w:rsid w:val="00CF5635"/>
    <w:rsid w:val="00CF73F9"/>
    <w:rsid w:val="00D00F10"/>
    <w:rsid w:val="00D00FAD"/>
    <w:rsid w:val="00D03F92"/>
    <w:rsid w:val="00D05D1E"/>
    <w:rsid w:val="00D078A3"/>
    <w:rsid w:val="00D1143E"/>
    <w:rsid w:val="00D1175B"/>
    <w:rsid w:val="00D17D6D"/>
    <w:rsid w:val="00D17F8A"/>
    <w:rsid w:val="00D21583"/>
    <w:rsid w:val="00D2315C"/>
    <w:rsid w:val="00D267FC"/>
    <w:rsid w:val="00D30435"/>
    <w:rsid w:val="00D312EB"/>
    <w:rsid w:val="00D3182F"/>
    <w:rsid w:val="00D32774"/>
    <w:rsid w:val="00D36AC1"/>
    <w:rsid w:val="00D37C45"/>
    <w:rsid w:val="00D41DC6"/>
    <w:rsid w:val="00D46130"/>
    <w:rsid w:val="00D4768C"/>
    <w:rsid w:val="00D50035"/>
    <w:rsid w:val="00D50A37"/>
    <w:rsid w:val="00D51310"/>
    <w:rsid w:val="00D52E37"/>
    <w:rsid w:val="00D53433"/>
    <w:rsid w:val="00D54499"/>
    <w:rsid w:val="00D567B0"/>
    <w:rsid w:val="00D56ED7"/>
    <w:rsid w:val="00D56FB7"/>
    <w:rsid w:val="00D57C63"/>
    <w:rsid w:val="00D57E13"/>
    <w:rsid w:val="00D62A4D"/>
    <w:rsid w:val="00D652BE"/>
    <w:rsid w:val="00D66B4C"/>
    <w:rsid w:val="00D72DEC"/>
    <w:rsid w:val="00D73C42"/>
    <w:rsid w:val="00D769AE"/>
    <w:rsid w:val="00D77910"/>
    <w:rsid w:val="00D800EB"/>
    <w:rsid w:val="00D80451"/>
    <w:rsid w:val="00D80B22"/>
    <w:rsid w:val="00D84B76"/>
    <w:rsid w:val="00D85137"/>
    <w:rsid w:val="00D86FB8"/>
    <w:rsid w:val="00D87C15"/>
    <w:rsid w:val="00D87C1E"/>
    <w:rsid w:val="00D87DF8"/>
    <w:rsid w:val="00D900F0"/>
    <w:rsid w:val="00D923FE"/>
    <w:rsid w:val="00D925A3"/>
    <w:rsid w:val="00D93F76"/>
    <w:rsid w:val="00D94FEF"/>
    <w:rsid w:val="00D95B95"/>
    <w:rsid w:val="00D962C2"/>
    <w:rsid w:val="00DA1BC2"/>
    <w:rsid w:val="00DA2357"/>
    <w:rsid w:val="00DA35F2"/>
    <w:rsid w:val="00DA40F3"/>
    <w:rsid w:val="00DA45F0"/>
    <w:rsid w:val="00DA5266"/>
    <w:rsid w:val="00DA53ED"/>
    <w:rsid w:val="00DA6100"/>
    <w:rsid w:val="00DA7134"/>
    <w:rsid w:val="00DA7818"/>
    <w:rsid w:val="00DB1E2D"/>
    <w:rsid w:val="00DB2834"/>
    <w:rsid w:val="00DB3FA4"/>
    <w:rsid w:val="00DB4429"/>
    <w:rsid w:val="00DB5174"/>
    <w:rsid w:val="00DC1261"/>
    <w:rsid w:val="00DC1634"/>
    <w:rsid w:val="00DC28DE"/>
    <w:rsid w:val="00DC3392"/>
    <w:rsid w:val="00DD19DD"/>
    <w:rsid w:val="00DD218D"/>
    <w:rsid w:val="00DD305D"/>
    <w:rsid w:val="00DE1B94"/>
    <w:rsid w:val="00DE1BF7"/>
    <w:rsid w:val="00DE1DC6"/>
    <w:rsid w:val="00DE220C"/>
    <w:rsid w:val="00DE41DE"/>
    <w:rsid w:val="00DE4F33"/>
    <w:rsid w:val="00DE66AC"/>
    <w:rsid w:val="00DF0BA6"/>
    <w:rsid w:val="00DF1249"/>
    <w:rsid w:val="00DF2FF5"/>
    <w:rsid w:val="00DF37F5"/>
    <w:rsid w:val="00DF4F37"/>
    <w:rsid w:val="00DF65EA"/>
    <w:rsid w:val="00DF7828"/>
    <w:rsid w:val="00E01CA2"/>
    <w:rsid w:val="00E01D50"/>
    <w:rsid w:val="00E04C6A"/>
    <w:rsid w:val="00E051DC"/>
    <w:rsid w:val="00E0691F"/>
    <w:rsid w:val="00E075D7"/>
    <w:rsid w:val="00E11F5A"/>
    <w:rsid w:val="00E121FB"/>
    <w:rsid w:val="00E140B7"/>
    <w:rsid w:val="00E155A7"/>
    <w:rsid w:val="00E1620E"/>
    <w:rsid w:val="00E1688F"/>
    <w:rsid w:val="00E16F71"/>
    <w:rsid w:val="00E172F1"/>
    <w:rsid w:val="00E2173E"/>
    <w:rsid w:val="00E22A97"/>
    <w:rsid w:val="00E23568"/>
    <w:rsid w:val="00E23D75"/>
    <w:rsid w:val="00E240A4"/>
    <w:rsid w:val="00E26DE3"/>
    <w:rsid w:val="00E27D02"/>
    <w:rsid w:val="00E30629"/>
    <w:rsid w:val="00E30FF3"/>
    <w:rsid w:val="00E316BB"/>
    <w:rsid w:val="00E34A6A"/>
    <w:rsid w:val="00E34BB2"/>
    <w:rsid w:val="00E3548E"/>
    <w:rsid w:val="00E35F30"/>
    <w:rsid w:val="00E4033E"/>
    <w:rsid w:val="00E40610"/>
    <w:rsid w:val="00E40BF2"/>
    <w:rsid w:val="00E429D4"/>
    <w:rsid w:val="00E43127"/>
    <w:rsid w:val="00E4394C"/>
    <w:rsid w:val="00E45671"/>
    <w:rsid w:val="00E47541"/>
    <w:rsid w:val="00E47D51"/>
    <w:rsid w:val="00E54B00"/>
    <w:rsid w:val="00E60A0C"/>
    <w:rsid w:val="00E70DB8"/>
    <w:rsid w:val="00E716E2"/>
    <w:rsid w:val="00E71D5B"/>
    <w:rsid w:val="00E74C6D"/>
    <w:rsid w:val="00E74F41"/>
    <w:rsid w:val="00E752B6"/>
    <w:rsid w:val="00E77D31"/>
    <w:rsid w:val="00E80BB0"/>
    <w:rsid w:val="00E80FF7"/>
    <w:rsid w:val="00E84326"/>
    <w:rsid w:val="00E85A4E"/>
    <w:rsid w:val="00E91115"/>
    <w:rsid w:val="00E9359C"/>
    <w:rsid w:val="00E93C12"/>
    <w:rsid w:val="00E94AF3"/>
    <w:rsid w:val="00E95350"/>
    <w:rsid w:val="00E96BDA"/>
    <w:rsid w:val="00E97798"/>
    <w:rsid w:val="00EA1A1E"/>
    <w:rsid w:val="00EA3A19"/>
    <w:rsid w:val="00EA4942"/>
    <w:rsid w:val="00EA6CF1"/>
    <w:rsid w:val="00EB005E"/>
    <w:rsid w:val="00EB307E"/>
    <w:rsid w:val="00EB4BD6"/>
    <w:rsid w:val="00EB64B0"/>
    <w:rsid w:val="00EB6D1D"/>
    <w:rsid w:val="00EB7AAD"/>
    <w:rsid w:val="00EC0C77"/>
    <w:rsid w:val="00EC2727"/>
    <w:rsid w:val="00EC3C4E"/>
    <w:rsid w:val="00EC46EC"/>
    <w:rsid w:val="00ED09D1"/>
    <w:rsid w:val="00ED1537"/>
    <w:rsid w:val="00ED28A7"/>
    <w:rsid w:val="00ED3B1E"/>
    <w:rsid w:val="00ED4440"/>
    <w:rsid w:val="00ED506A"/>
    <w:rsid w:val="00ED5FD3"/>
    <w:rsid w:val="00ED75E6"/>
    <w:rsid w:val="00EE03F3"/>
    <w:rsid w:val="00EE16AC"/>
    <w:rsid w:val="00EE2BCA"/>
    <w:rsid w:val="00EE465C"/>
    <w:rsid w:val="00EE47E1"/>
    <w:rsid w:val="00EE7050"/>
    <w:rsid w:val="00EE7576"/>
    <w:rsid w:val="00EF089F"/>
    <w:rsid w:val="00EF0991"/>
    <w:rsid w:val="00EF0FD9"/>
    <w:rsid w:val="00EF1F47"/>
    <w:rsid w:val="00EF26CC"/>
    <w:rsid w:val="00EF3D04"/>
    <w:rsid w:val="00F0162D"/>
    <w:rsid w:val="00F05BCA"/>
    <w:rsid w:val="00F070C8"/>
    <w:rsid w:val="00F1302B"/>
    <w:rsid w:val="00F13C11"/>
    <w:rsid w:val="00F14A4E"/>
    <w:rsid w:val="00F157FC"/>
    <w:rsid w:val="00F162B9"/>
    <w:rsid w:val="00F16CB6"/>
    <w:rsid w:val="00F17060"/>
    <w:rsid w:val="00F170A1"/>
    <w:rsid w:val="00F20BAA"/>
    <w:rsid w:val="00F211D7"/>
    <w:rsid w:val="00F212C7"/>
    <w:rsid w:val="00F22294"/>
    <w:rsid w:val="00F24243"/>
    <w:rsid w:val="00F24265"/>
    <w:rsid w:val="00F3124B"/>
    <w:rsid w:val="00F351D6"/>
    <w:rsid w:val="00F40DB2"/>
    <w:rsid w:val="00F42251"/>
    <w:rsid w:val="00F43F3F"/>
    <w:rsid w:val="00F45013"/>
    <w:rsid w:val="00F522C7"/>
    <w:rsid w:val="00F54156"/>
    <w:rsid w:val="00F54482"/>
    <w:rsid w:val="00F57F02"/>
    <w:rsid w:val="00F6027D"/>
    <w:rsid w:val="00F6217D"/>
    <w:rsid w:val="00F6648D"/>
    <w:rsid w:val="00F67B13"/>
    <w:rsid w:val="00F70030"/>
    <w:rsid w:val="00F701A2"/>
    <w:rsid w:val="00F71557"/>
    <w:rsid w:val="00F71B7B"/>
    <w:rsid w:val="00F72D9D"/>
    <w:rsid w:val="00F76D2A"/>
    <w:rsid w:val="00F77028"/>
    <w:rsid w:val="00F77E4A"/>
    <w:rsid w:val="00F801B7"/>
    <w:rsid w:val="00F80758"/>
    <w:rsid w:val="00F8305C"/>
    <w:rsid w:val="00F859BF"/>
    <w:rsid w:val="00F86272"/>
    <w:rsid w:val="00F86B62"/>
    <w:rsid w:val="00F9085B"/>
    <w:rsid w:val="00F91136"/>
    <w:rsid w:val="00F93BF0"/>
    <w:rsid w:val="00F950C6"/>
    <w:rsid w:val="00F951BD"/>
    <w:rsid w:val="00F9796C"/>
    <w:rsid w:val="00FA2756"/>
    <w:rsid w:val="00FA4058"/>
    <w:rsid w:val="00FA6D57"/>
    <w:rsid w:val="00FB0D3E"/>
    <w:rsid w:val="00FB25DE"/>
    <w:rsid w:val="00FB3254"/>
    <w:rsid w:val="00FB61B3"/>
    <w:rsid w:val="00FC04EF"/>
    <w:rsid w:val="00FC0C3D"/>
    <w:rsid w:val="00FC3149"/>
    <w:rsid w:val="00FC38D2"/>
    <w:rsid w:val="00FC6BCE"/>
    <w:rsid w:val="00FC6D9C"/>
    <w:rsid w:val="00FC7AEC"/>
    <w:rsid w:val="00FD03D5"/>
    <w:rsid w:val="00FD066C"/>
    <w:rsid w:val="00FD0956"/>
    <w:rsid w:val="00FD09DB"/>
    <w:rsid w:val="00FD1E18"/>
    <w:rsid w:val="00FD3F30"/>
    <w:rsid w:val="00FD427F"/>
    <w:rsid w:val="00FD55ED"/>
    <w:rsid w:val="00FD6392"/>
    <w:rsid w:val="00FD661F"/>
    <w:rsid w:val="00FE1FA3"/>
    <w:rsid w:val="00FE412A"/>
    <w:rsid w:val="00FF1409"/>
    <w:rsid w:val="00FF3C01"/>
    <w:rsid w:val="00FF5036"/>
    <w:rsid w:val="00FF50DE"/>
    <w:rsid w:val="00FF5B3B"/>
    <w:rsid w:val="084335C6"/>
    <w:rsid w:val="0C045FBF"/>
    <w:rsid w:val="0C9FF615"/>
    <w:rsid w:val="178ADA65"/>
    <w:rsid w:val="48D806CA"/>
    <w:rsid w:val="5A4C5623"/>
    <w:rsid w:val="684DD177"/>
    <w:rsid w:val="7A019940"/>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CE36FF"/>
  <w15:docId w15:val="{4161A4E6-9AB6-432B-95E0-8B5D4667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Georgia" w:hAnsi="Georgia"/>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Hyperlink">
    <w:name w:val="Hyperlink"/>
    <w:basedOn w:val="DefaultParagraphFont"/>
    <w:rPr>
      <w:rFonts w:ascii="Arial" w:hAnsi="Arial"/>
      <w:color w:val="auto"/>
      <w:u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rPr>
      <w:rFonts w:ascii="Georgia" w:hAnsi="Georgia"/>
    </w:rPr>
  </w:style>
  <w:style w:type="character" w:customStyle="1" w:styleId="FooterChar">
    <w:name w:val="Footer Char"/>
    <w:basedOn w:val="DefaultParagraphFont"/>
    <w:link w:val="Footer"/>
    <w:uiPriority w:val="99"/>
    <w:rPr>
      <w:rFonts w:ascii="Georgia" w:hAnsi="Georgia"/>
    </w:rPr>
  </w:style>
  <w:style w:type="character" w:customStyle="1" w:styleId="ListParagraphChar">
    <w:name w:val="List Paragraph Char"/>
    <w:link w:val="ListParagraph"/>
    <w:uiPriority w:val="34"/>
    <w:qFormat/>
    <w:rPr>
      <w:rFonts w:ascii="Georgia" w:hAnsi="Georgia"/>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Pr>
      <w:rFonts w:asciiTheme="minorHAnsi" w:hAnsiTheme="minorHAnsi" w:cstheme="minorBidi"/>
      <w:b/>
      <w:bCs/>
      <w:i/>
      <w:iCs/>
      <w:color w:val="4F81BD" w:themeColor="accent1"/>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Default">
    <w:name w:val="Default"/>
    <w:pPr>
      <w:autoSpaceDE w:val="0"/>
      <w:autoSpaceDN w:val="0"/>
      <w:adjustRightInd w:val="0"/>
    </w:pPr>
    <w:rPr>
      <w:rFonts w:ascii="Corbel" w:eastAsia="MS Mincho" w:hAnsi="Corbel" w:cs="Corbel"/>
      <w:color w:val="000000"/>
      <w:sz w:val="24"/>
      <w:szCs w:val="24"/>
    </w:rPr>
  </w:style>
  <w:style w:type="character" w:customStyle="1" w:styleId="CommentTextChar">
    <w:name w:val="Comment Text Char"/>
    <w:basedOn w:val="DefaultParagraphFont"/>
    <w:link w:val="CommentText"/>
    <w:uiPriority w:val="99"/>
    <w:rPr>
      <w:rFonts w:ascii="Georgia" w:hAnsi="Georgia"/>
      <w:sz w:val="20"/>
      <w:szCs w:val="20"/>
    </w:rPr>
  </w:style>
  <w:style w:type="character" w:customStyle="1" w:styleId="CommentSubjectChar">
    <w:name w:val="Comment Subject Char"/>
    <w:basedOn w:val="CommentTextChar"/>
    <w:link w:val="CommentSubject"/>
    <w:uiPriority w:val="99"/>
    <w:semiHidden/>
    <w:rPr>
      <w:rFonts w:ascii="Georgia" w:hAnsi="Georgia"/>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A6">
    <w:name w:val="A6"/>
    <w:uiPriority w:val="99"/>
    <w:rPr>
      <w:rFonts w:ascii="Symbol" w:hAnsi="Symbol" w:cs="Symbol"/>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vision1">
    <w:name w:val="Revision1"/>
    <w:hidden/>
    <w:uiPriority w:val="99"/>
    <w:semiHidden/>
    <w:rPr>
      <w:rFonts w:ascii="Georgia" w:hAnsi="Georgia"/>
      <w:sz w:val="22"/>
      <w:szCs w:val="22"/>
      <w:lang w:val="en-GB"/>
    </w:rPr>
  </w:style>
  <w:style w:type="paragraph" w:customStyle="1" w:styleId="xmsonormal">
    <w:name w:val="x_msonormal"/>
    <w:basedOn w:val="Normal"/>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semiHidden/>
    <w:rPr>
      <w:rFonts w:ascii="Georgia" w:hAnsi="Georgia"/>
      <w:sz w:val="20"/>
      <w:szCs w:val="20"/>
    </w:rPr>
  </w:style>
  <w:style w:type="paragraph" w:customStyle="1" w:styleId="ssc">
    <w:name w:val="ssc"/>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TableText">
    <w:name w:val="Table Text"/>
    <w:basedOn w:val="Normal"/>
    <w:link w:val="TableTextChar"/>
    <w:qFormat/>
    <w:pPr>
      <w:spacing w:before="60" w:after="60" w:line="240" w:lineRule="auto"/>
      <w:jc w:val="both"/>
    </w:pPr>
    <w:rPr>
      <w:rFonts w:ascii="Arial" w:hAnsi="Arial" w:cstheme="minorBidi"/>
      <w:color w:val="000000" w:themeColor="text1" w:themeShade="BF"/>
      <w:sz w:val="18"/>
      <w:szCs w:val="20"/>
      <w:lang w:val="en-AU"/>
    </w:rPr>
  </w:style>
  <w:style w:type="character" w:customStyle="1" w:styleId="TableTextChar">
    <w:name w:val="Table Text Char"/>
    <w:basedOn w:val="DefaultParagraphFont"/>
    <w:link w:val="TableText"/>
    <w:rPr>
      <w:rFonts w:cstheme="minorBidi"/>
      <w:color w:val="000000" w:themeColor="text1" w:themeShade="BF"/>
      <w:sz w:val="18"/>
      <w:szCs w:val="20"/>
      <w:lang w:val="en-AU"/>
    </w:rPr>
  </w:style>
  <w:style w:type="character" w:customStyle="1" w:styleId="e24kjd">
    <w:name w:val="e24kjd"/>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US"/>
    </w:rPr>
  </w:style>
  <w:style w:type="paragraph" w:styleId="NoSpacing">
    <w:name w:val="No Spacing"/>
    <w:basedOn w:val="Normal"/>
    <w:uiPriority w:val="1"/>
    <w:qFormat/>
    <w:pPr>
      <w:spacing w:after="0" w:line="220" w:lineRule="atLeast"/>
    </w:pPr>
    <w:rPr>
      <w:rFonts w:ascii="Verdana" w:eastAsia="Times New Roman" w:hAnsi="Verdana" w:cs="Times New Roman"/>
      <w:sz w:val="17"/>
      <w:szCs w:val="18"/>
    </w:rPr>
  </w:style>
  <w:style w:type="character" w:customStyle="1" w:styleId="Brot">
    <w:name w:val="Brot"/>
    <w:qFormat/>
    <w:rPr>
      <w:rFonts w:ascii="Georgia" w:hAnsi="Georgia"/>
      <w:color w:val="000000"/>
      <w:sz w:val="24"/>
    </w:rPr>
  </w:style>
  <w:style w:type="table" w:customStyle="1" w:styleId="TableGrid0">
    <w:name w:val="TableGrid"/>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sdgs/report/2019/goal-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962872E0387549BA844703495FB6E0" ma:contentTypeVersion="13" ma:contentTypeDescription="Create a new document." ma:contentTypeScope="" ma:versionID="84b6faf18b2e14204a8a7a624b4c153d">
  <xsd:schema xmlns:xsd="http://www.w3.org/2001/XMLSchema" xmlns:xs="http://www.w3.org/2001/XMLSchema" xmlns:p="http://schemas.microsoft.com/office/2006/metadata/properties" xmlns:ns3="3d4b28a8-b03e-406d-95f5-1c08a6b2cb18" xmlns:ns4="03296c51-4cb3-4284-889a-cb4f497ed988" targetNamespace="http://schemas.microsoft.com/office/2006/metadata/properties" ma:root="true" ma:fieldsID="2afce51cdcf302358483c74e3336267e" ns3:_="" ns4:_="">
    <xsd:import namespace="3d4b28a8-b03e-406d-95f5-1c08a6b2cb18"/>
    <xsd:import namespace="03296c51-4cb3-4284-889a-cb4f497ed9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b28a8-b03e-406d-95f5-1c08a6b2cb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96c51-4cb3-4284-889a-cb4f497ed9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EF7F5-EA91-41D5-A736-06ED2537064D}">
  <ds:schemaRefs>
    <ds:schemaRef ds:uri="http://schemas.openxmlformats.org/officeDocument/2006/bibliography"/>
  </ds:schemaRefs>
</ds:datastoreItem>
</file>

<file path=customXml/itemProps2.xml><?xml version="1.0" encoding="utf-8"?>
<ds:datastoreItem xmlns:ds="http://schemas.openxmlformats.org/officeDocument/2006/customXml" ds:itemID="{6ED8D2B1-8D43-4B44-B861-7B5B04CDF95A}">
  <ds:schemaRefs>
    <ds:schemaRef ds:uri="http://schemas.microsoft.com/sharepoint/v3/contenttype/forms"/>
  </ds:schemaRefs>
</ds:datastoreItem>
</file>

<file path=customXml/itemProps3.xml><?xml version="1.0" encoding="utf-8"?>
<ds:datastoreItem xmlns:ds="http://schemas.openxmlformats.org/officeDocument/2006/customXml" ds:itemID="{F6408809-B2E9-45BF-897D-623B123D8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CDD4CA-0B9B-4962-901B-9FEAE730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b28a8-b03e-406d-95f5-1c08a6b2cb18"/>
    <ds:schemaRef ds:uri="03296c51-4cb3-4284-889a-cb4f497e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Mostaured Khan</dc:creator>
  <cp:lastModifiedBy>Helal</cp:lastModifiedBy>
  <cp:revision>31</cp:revision>
  <cp:lastPrinted>2021-12-15T10:19:00Z</cp:lastPrinted>
  <dcterms:created xsi:type="dcterms:W3CDTF">2022-04-21T10:47:00Z</dcterms:created>
  <dcterms:modified xsi:type="dcterms:W3CDTF">2022-08-01T06:14:00Z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0x010100D3962872E0387549BA844703495FB6E0</vt:lpwstr>
  </property>
  <property fmtid="{D5CDD505-2E9C-101B-9397-08002B2CF9AE}" pid="3" name="KSOProductBuildVer">
    <vt:lpwstr>1033-11.2.0.11074</vt:lpwstr>
  </property>
  <property fmtid="{D5CDD505-2E9C-101B-9397-08002B2CF9AE}" pid="4" name="ICV">
    <vt:lpwstr>ABD7D80F1B74478C814ACA37D0E3E8ED</vt:lpwstr>
  </property>
</Properties>
</file>