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4A159">
      <w:pPr>
        <w:pStyle w:val="38"/>
        <w:spacing w:after="0"/>
        <w:rPr>
          <w:rFonts w:ascii="Verdana" w:hAnsi="Verdana"/>
          <w:b/>
          <w:bCs/>
          <w:color w:val="C00000"/>
          <w:sz w:val="36"/>
          <w:szCs w:val="36"/>
        </w:rPr>
      </w:pPr>
      <w:bookmarkStart w:id="0" w:name="_GoBack"/>
      <w:bookmarkEnd w:id="0"/>
      <w:r>
        <w:rPr>
          <w:rFonts w:ascii="Verdana" w:hAnsi="Verdana"/>
          <w:b/>
          <w:bCs/>
          <w:color w:val="C00000"/>
          <w:sz w:val="36"/>
          <w:szCs w:val="36"/>
        </w:rPr>
        <w:t>Concept Note: Endline Evaluation of the 'Action for Change (A4C)' Project</w:t>
      </w:r>
    </w:p>
    <w:p w14:paraId="3910B268">
      <w:pPr>
        <w:pStyle w:val="2"/>
        <w:spacing w:before="0"/>
        <w:rPr>
          <w:rFonts w:ascii="Verdana" w:hAnsi="Verdana"/>
          <w:sz w:val="24"/>
          <w:szCs w:val="24"/>
        </w:rPr>
      </w:pPr>
    </w:p>
    <w:p w14:paraId="220E8CA8">
      <w:pPr>
        <w:pStyle w:val="2"/>
        <w:spacing w:before="0"/>
        <w:rPr>
          <w:rFonts w:ascii="Verdana" w:hAnsi="Verdana"/>
          <w:color w:val="002060"/>
        </w:rPr>
      </w:pPr>
      <w:r>
        <w:rPr>
          <w:rFonts w:ascii="Verdana" w:hAnsi="Verdana"/>
          <w:color w:val="002060"/>
        </w:rPr>
        <w:t>Executive Summary</w:t>
      </w:r>
    </w:p>
    <w:p w14:paraId="2336BAC9">
      <w:pPr>
        <w:spacing w:after="0"/>
        <w:rPr>
          <w:rFonts w:ascii="Verdana" w:hAnsi="Verdana"/>
        </w:rPr>
      </w:pPr>
      <w:r>
        <w:rPr>
          <w:rFonts w:ascii="Verdana" w:hAnsi="Verdana"/>
        </w:rPr>
        <w:t>The 'Action for Change (A4C)' project, implemented in Teknaf Upazila, Bangladesh, aims to enhance the resilience, rights, and livelihood opportunities of persons with disabilities through inclusive disaster preparedness, climate change adaptation, and economic empowerment. As the project approaches completion, an endline evaluation is proposed to assess its effectiveness, relevance, impact, and sustainability. This evaluation will generate evidence-based insights to inform future programming, policy advocacy, and inclusive development strategies.</w:t>
      </w:r>
    </w:p>
    <w:p w14:paraId="1A1755DA">
      <w:pPr>
        <w:spacing w:after="0"/>
        <w:rPr>
          <w:rFonts w:ascii="Verdana" w:hAnsi="Verdana"/>
          <w:sz w:val="24"/>
          <w:szCs w:val="24"/>
        </w:rPr>
      </w:pPr>
    </w:p>
    <w:p w14:paraId="411589D8">
      <w:pPr>
        <w:pStyle w:val="2"/>
        <w:spacing w:before="0"/>
        <w:rPr>
          <w:rFonts w:ascii="Verdana" w:hAnsi="Verdana"/>
          <w:color w:val="002060"/>
        </w:rPr>
      </w:pPr>
      <w:r>
        <w:rPr>
          <w:rFonts w:ascii="Verdana" w:hAnsi="Verdana"/>
          <w:color w:val="002060"/>
        </w:rPr>
        <w:t>1. Background</w:t>
      </w:r>
    </w:p>
    <w:p w14:paraId="5C0988B8">
      <w:pPr>
        <w:spacing w:after="0"/>
        <w:rPr>
          <w:rFonts w:ascii="Verdana" w:hAnsi="Verdana"/>
        </w:rPr>
      </w:pPr>
      <w:r>
        <w:rPr>
          <w:rFonts w:ascii="Verdana" w:hAnsi="Verdana"/>
        </w:rPr>
        <w:t xml:space="preserve">The </w:t>
      </w:r>
      <w:r>
        <w:rPr>
          <w:rFonts w:ascii="Verdana" w:hAnsi="Verdana"/>
          <w:i/>
          <w:iCs/>
        </w:rPr>
        <w:t>Action for Change (A4C)</w:t>
      </w:r>
      <w:r>
        <w:rPr>
          <w:rFonts w:ascii="Verdana" w:hAnsi="Verdana"/>
        </w:rPr>
        <w:t xml:space="preserve"> project in Teknaf Upazila aimed to enhance the resilience and quality of life of people with disabilities through inclusive DRR, climate change adaptation, and economic empowerment. It engaged OPDs, SHGs, government, and communities. Organizational strengthening included leadership training, governance support, strategic planning, and digital literacy. OPDs were empowered to influence policy, mobilize resources, and actively participate in disaster and climate resilience efforts, fostering sustainable, inclusive development.</w:t>
      </w:r>
    </w:p>
    <w:p w14:paraId="27FA1617">
      <w:pPr>
        <w:spacing w:after="0"/>
        <w:rPr>
          <w:rFonts w:ascii="Verdana" w:hAnsi="Verdana"/>
          <w:sz w:val="24"/>
          <w:szCs w:val="24"/>
        </w:rPr>
      </w:pPr>
    </w:p>
    <w:p w14:paraId="6626056A">
      <w:pPr>
        <w:pStyle w:val="2"/>
        <w:spacing w:before="0"/>
        <w:rPr>
          <w:rFonts w:ascii="Verdana" w:hAnsi="Verdana"/>
          <w:color w:val="002060"/>
        </w:rPr>
      </w:pPr>
      <w:r>
        <w:rPr>
          <w:rFonts w:ascii="Verdana" w:hAnsi="Verdana"/>
          <w:color w:val="002060"/>
        </w:rPr>
        <w:t>2. Purpose of the Evaluation</w:t>
      </w:r>
    </w:p>
    <w:p w14:paraId="00FE2EEC">
      <w:pPr>
        <w:spacing w:after="0"/>
        <w:rPr>
          <w:rFonts w:ascii="Verdana" w:hAnsi="Verdana"/>
        </w:rPr>
      </w:pPr>
      <w:r>
        <w:rPr>
          <w:rFonts w:ascii="Verdana" w:hAnsi="Verdana"/>
        </w:rPr>
        <w:t>The purpose of the endline evaluation is to assess the overall performance of the A4C project against its stated objectives and indicators. The evaluation will generate evidence on the relevance, effectiveness, efficiency, impact, and sustainability of the project interventions, and provide actionable recommendations for future programming.</w:t>
      </w:r>
    </w:p>
    <w:p w14:paraId="3E4C090A">
      <w:pPr>
        <w:spacing w:after="0"/>
        <w:rPr>
          <w:rFonts w:ascii="Verdana" w:hAnsi="Verdana"/>
          <w:sz w:val="24"/>
          <w:szCs w:val="24"/>
        </w:rPr>
      </w:pPr>
    </w:p>
    <w:p w14:paraId="3CAC3696">
      <w:pPr>
        <w:pStyle w:val="2"/>
        <w:spacing w:before="0"/>
        <w:rPr>
          <w:rFonts w:ascii="Verdana" w:hAnsi="Verdana"/>
          <w:color w:val="002060"/>
        </w:rPr>
      </w:pPr>
      <w:r>
        <w:rPr>
          <w:rFonts w:ascii="Verdana" w:hAnsi="Verdana"/>
          <w:color w:val="002060"/>
        </w:rPr>
        <w:t>3. Objectives</w:t>
      </w:r>
    </w:p>
    <w:p w14:paraId="21170884">
      <w:pPr>
        <w:pStyle w:val="145"/>
        <w:numPr>
          <w:ilvl w:val="0"/>
          <w:numId w:val="7"/>
        </w:numPr>
        <w:spacing w:after="0"/>
        <w:rPr>
          <w:rFonts w:ascii="Verdana" w:hAnsi="Verdana"/>
        </w:rPr>
      </w:pPr>
      <w:r>
        <w:rPr>
          <w:rFonts w:ascii="Verdana" w:hAnsi="Verdana"/>
          <w:b/>
          <w:bCs/>
        </w:rPr>
        <w:t>Measure progress</w:t>
      </w:r>
      <w:r>
        <w:rPr>
          <w:rFonts w:ascii="Verdana" w:hAnsi="Verdana"/>
        </w:rPr>
        <w:t xml:space="preserve"> against the logical framework indicators. </w:t>
      </w:r>
    </w:p>
    <w:p w14:paraId="0BAE7B56">
      <w:pPr>
        <w:pStyle w:val="145"/>
        <w:numPr>
          <w:ilvl w:val="0"/>
          <w:numId w:val="7"/>
        </w:numPr>
        <w:spacing w:after="0"/>
        <w:rPr>
          <w:rFonts w:ascii="Verdana" w:hAnsi="Verdana"/>
        </w:rPr>
      </w:pPr>
      <w:r>
        <w:rPr>
          <w:rFonts w:ascii="Verdana" w:hAnsi="Verdana"/>
          <w:b/>
          <w:bCs/>
        </w:rPr>
        <w:t>Assess the quality and inclusiveness</w:t>
      </w:r>
      <w:r>
        <w:rPr>
          <w:rFonts w:ascii="Verdana" w:hAnsi="Verdana"/>
        </w:rPr>
        <w:t xml:space="preserve"> of project implementation. </w:t>
      </w:r>
    </w:p>
    <w:p w14:paraId="3FBE3B61">
      <w:pPr>
        <w:pStyle w:val="145"/>
        <w:numPr>
          <w:ilvl w:val="0"/>
          <w:numId w:val="7"/>
        </w:numPr>
        <w:spacing w:after="0"/>
        <w:rPr>
          <w:rFonts w:ascii="Verdana" w:hAnsi="Verdana"/>
        </w:rPr>
      </w:pPr>
      <w:r>
        <w:rPr>
          <w:rFonts w:ascii="Verdana" w:hAnsi="Verdana"/>
          <w:b/>
          <w:bCs/>
        </w:rPr>
        <w:t>Evaluate the impact</w:t>
      </w:r>
      <w:r>
        <w:rPr>
          <w:rFonts w:ascii="Verdana" w:hAnsi="Verdana"/>
        </w:rPr>
        <w:t xml:space="preserve"> on target beneficiaries, especially persons with disabilities. </w:t>
      </w:r>
    </w:p>
    <w:p w14:paraId="7FF8C75C">
      <w:pPr>
        <w:pStyle w:val="145"/>
        <w:numPr>
          <w:ilvl w:val="0"/>
          <w:numId w:val="7"/>
        </w:numPr>
        <w:spacing w:after="0"/>
        <w:rPr>
          <w:rFonts w:ascii="Verdana" w:hAnsi="Verdana"/>
        </w:rPr>
      </w:pPr>
      <w:r>
        <w:rPr>
          <w:rFonts w:ascii="Verdana" w:hAnsi="Verdana"/>
          <w:b/>
          <w:bCs/>
        </w:rPr>
        <w:t>Review Organizational/OPD Strengthening</w:t>
      </w:r>
      <w:r>
        <w:rPr>
          <w:rFonts w:ascii="Verdana" w:hAnsi="Verdana"/>
        </w:rPr>
        <w:t xml:space="preserve">, including leadership development, governance capacity, strategic planning, and advocacy effectiveness. </w:t>
      </w:r>
    </w:p>
    <w:p w14:paraId="52F1E47E">
      <w:pPr>
        <w:pStyle w:val="145"/>
        <w:numPr>
          <w:ilvl w:val="0"/>
          <w:numId w:val="7"/>
        </w:numPr>
        <w:spacing w:after="0"/>
        <w:rPr>
          <w:rFonts w:ascii="Verdana" w:hAnsi="Verdana"/>
        </w:rPr>
      </w:pPr>
      <w:r>
        <w:rPr>
          <w:rFonts w:ascii="Verdana" w:hAnsi="Verdana"/>
          <w:b/>
          <w:bCs/>
        </w:rPr>
        <w:t>Provide recommendations</w:t>
      </w:r>
      <w:r>
        <w:rPr>
          <w:rFonts w:ascii="Verdana" w:hAnsi="Verdana"/>
        </w:rPr>
        <w:t xml:space="preserve"> for future programming and policy engagement, emphasizing sustainability, localization, and inclusive resilience-building.</w:t>
      </w:r>
    </w:p>
    <w:p w14:paraId="58DDC3AC">
      <w:pPr>
        <w:pStyle w:val="145"/>
        <w:spacing w:after="0"/>
        <w:ind w:left="360"/>
        <w:rPr>
          <w:rFonts w:ascii="Verdana" w:hAnsi="Verdana"/>
          <w:sz w:val="24"/>
          <w:szCs w:val="24"/>
        </w:rPr>
      </w:pPr>
    </w:p>
    <w:p w14:paraId="451148D9">
      <w:pPr>
        <w:pStyle w:val="2"/>
        <w:spacing w:before="0"/>
        <w:rPr>
          <w:rFonts w:ascii="Verdana" w:hAnsi="Verdana"/>
          <w:color w:val="002060"/>
        </w:rPr>
      </w:pPr>
      <w:r>
        <w:rPr>
          <w:rFonts w:ascii="Verdana" w:hAnsi="Verdana"/>
          <w:color w:val="002060"/>
        </w:rPr>
        <w:t>4. Scope of the Evaluation</w:t>
      </w:r>
    </w:p>
    <w:p w14:paraId="43247464">
      <w:pPr>
        <w:spacing w:after="0"/>
        <w:rPr>
          <w:rFonts w:ascii="Verdana" w:hAnsi="Verdana"/>
        </w:rPr>
      </w:pPr>
      <w:r>
        <w:rPr>
          <w:rFonts w:ascii="Verdana" w:hAnsi="Verdana"/>
        </w:rPr>
        <w:t>The evaluation will cover all project components, including inclusive DRR and CCA, livelihood interventions, policy advocacy, and institutional capacity building. It will focus on geographic areas such as Teknaf Upazila and selected Union Parishads, and target groups including OPDs, SHGs, government agencies, and people with disabilities.</w:t>
      </w:r>
    </w:p>
    <w:p w14:paraId="2C03E3DB">
      <w:pPr>
        <w:spacing w:after="0"/>
        <w:rPr>
          <w:rFonts w:ascii="Verdana" w:hAnsi="Verdana"/>
        </w:rPr>
      </w:pPr>
    </w:p>
    <w:p w14:paraId="75A14CC1">
      <w:pPr>
        <w:spacing w:after="0"/>
        <w:jc w:val="both"/>
        <w:rPr>
          <w:rFonts w:ascii="Verdana" w:hAnsi="Verdana"/>
        </w:rPr>
      </w:pPr>
      <w:r>
        <w:rPr>
          <w:rFonts w:ascii="Verdana" w:hAnsi="Verdana"/>
          <w:b/>
          <w:bCs/>
        </w:rPr>
        <w:t>Firstly,</w:t>
      </w:r>
      <w:r>
        <w:rPr>
          <w:rFonts w:ascii="Verdana" w:hAnsi="Verdana"/>
        </w:rPr>
        <w:t xml:space="preserve"> the consultant will carefully document and evaluate the key activities of the Action for Change project, with a specific focus on the active participation of people with disabilities in disaster risk management, climate adaptation initiatives, and their inclusion in government social safety net programs.</w:t>
      </w:r>
    </w:p>
    <w:p w14:paraId="480A8DC9">
      <w:pPr>
        <w:spacing w:after="0"/>
        <w:jc w:val="both"/>
        <w:rPr>
          <w:rFonts w:ascii="Verdana" w:hAnsi="Verdana"/>
        </w:rPr>
      </w:pPr>
    </w:p>
    <w:p w14:paraId="57EE33A8">
      <w:pPr>
        <w:spacing w:after="0"/>
        <w:jc w:val="both"/>
        <w:rPr>
          <w:rFonts w:ascii="Verdana" w:hAnsi="Verdana"/>
        </w:rPr>
      </w:pPr>
      <w:r>
        <w:rPr>
          <w:rFonts w:ascii="Verdana" w:hAnsi="Verdana"/>
          <w:b/>
          <w:bCs/>
        </w:rPr>
        <w:t>Secondly,</w:t>
      </w:r>
      <w:r>
        <w:rPr>
          <w:rFonts w:ascii="Verdana" w:hAnsi="Verdana"/>
        </w:rPr>
        <w:t xml:space="preserve"> the consultant will assess the effectiveness of the project’s interventions, evaluating how inclusive and accessible the disaster resilience measures have been for people with disabilities. The evaluation will also examine the success of integrating people with disabilities into government programs, ensuring that these efforts are both impactful and sustainable.</w:t>
      </w:r>
    </w:p>
    <w:p w14:paraId="6840937D">
      <w:pPr>
        <w:spacing w:after="0"/>
        <w:jc w:val="both"/>
        <w:rPr>
          <w:rFonts w:ascii="Verdana" w:hAnsi="Verdana"/>
        </w:rPr>
      </w:pPr>
    </w:p>
    <w:p w14:paraId="10670BFD">
      <w:pPr>
        <w:spacing w:after="0"/>
        <w:jc w:val="both"/>
        <w:rPr>
          <w:rFonts w:ascii="Verdana" w:hAnsi="Verdana"/>
        </w:rPr>
      </w:pPr>
      <w:r>
        <w:rPr>
          <w:rFonts w:ascii="Verdana" w:hAnsi="Verdana"/>
          <w:b/>
          <w:bCs/>
        </w:rPr>
        <w:t>Thirdly,</w:t>
      </w:r>
      <w:r>
        <w:rPr>
          <w:rFonts w:ascii="Verdana" w:hAnsi="Verdana"/>
        </w:rPr>
        <w:t xml:space="preserve"> the consultant will identify any gaps or challenges faced during the project’s implementation. This includes highlighting issues such as accessibility barriers, difficulties in stakeholder collaboration, and the scalability of the interventions, all of which will inform areas requiring attention for future improvements.</w:t>
      </w:r>
    </w:p>
    <w:p w14:paraId="5C4399C3">
      <w:pPr>
        <w:spacing w:after="0"/>
        <w:jc w:val="both"/>
        <w:rPr>
          <w:rFonts w:ascii="Verdana" w:hAnsi="Verdana"/>
        </w:rPr>
      </w:pPr>
    </w:p>
    <w:p w14:paraId="286EB82A">
      <w:pPr>
        <w:spacing w:after="0"/>
        <w:jc w:val="both"/>
        <w:rPr>
          <w:rFonts w:ascii="Verdana" w:hAnsi="Verdana"/>
          <w:sz w:val="20"/>
          <w:szCs w:val="20"/>
        </w:rPr>
      </w:pPr>
      <w:r>
        <w:rPr>
          <w:rFonts w:ascii="Verdana" w:hAnsi="Verdana"/>
          <w:b/>
          <w:bCs/>
        </w:rPr>
        <w:t>Fourthly,</w:t>
      </w:r>
      <w:r>
        <w:rPr>
          <w:rFonts w:ascii="Verdana" w:hAnsi="Verdana"/>
        </w:rPr>
        <w:t xml:space="preserve"> based on the evaluation findings, the consultant will provide practical, actionable recommendations aimed at refining the project’s design to better promote inclusivity and enhance the sustainability of its outcomes. These recommendations will be shared with both district and national-level stakeholders, offering a pathway for scaling the project’s successes while addressing any identified gaps or challenges</w:t>
      </w:r>
      <w:r>
        <w:rPr>
          <w:rFonts w:ascii="Verdana" w:hAnsi="Verdana"/>
          <w:sz w:val="20"/>
          <w:szCs w:val="20"/>
        </w:rPr>
        <w:t>.</w:t>
      </w:r>
    </w:p>
    <w:p w14:paraId="7CBE8AED">
      <w:pPr>
        <w:spacing w:after="0"/>
        <w:rPr>
          <w:rFonts w:ascii="Verdana" w:hAnsi="Verdana"/>
          <w:sz w:val="24"/>
          <w:szCs w:val="24"/>
        </w:rPr>
      </w:pPr>
    </w:p>
    <w:p w14:paraId="6891E5B6">
      <w:pPr>
        <w:pStyle w:val="2"/>
        <w:spacing w:before="0"/>
        <w:rPr>
          <w:rFonts w:ascii="Verdana" w:hAnsi="Verdana"/>
          <w:color w:val="002060"/>
        </w:rPr>
      </w:pPr>
      <w:r>
        <w:rPr>
          <w:rFonts w:ascii="Verdana" w:hAnsi="Verdana"/>
          <w:color w:val="002060"/>
        </w:rPr>
        <w:t>5. Methodology</w:t>
      </w:r>
    </w:p>
    <w:p w14:paraId="40265899">
      <w:pPr>
        <w:spacing w:after="0"/>
        <w:rPr>
          <w:rFonts w:ascii="Verdana" w:hAnsi="Verdana"/>
        </w:rPr>
      </w:pPr>
      <w:r>
        <w:rPr>
          <w:rFonts w:ascii="Verdana" w:hAnsi="Verdana"/>
        </w:rPr>
        <w:t>A mixed-methods approach will be adopted, combining quantitative surveys, qualitative interviews, focus group discussions, and document reviews. The evaluation will include stakeholder consultations and participatory assessments to ensure inclusive and representative findings.</w:t>
      </w:r>
    </w:p>
    <w:p w14:paraId="44C692F5">
      <w:pPr>
        <w:spacing w:after="0"/>
        <w:rPr>
          <w:rFonts w:ascii="Verdana" w:hAnsi="Verdana"/>
          <w:sz w:val="24"/>
          <w:szCs w:val="24"/>
        </w:rPr>
      </w:pPr>
    </w:p>
    <w:p w14:paraId="1A21CB7D">
      <w:pPr>
        <w:pStyle w:val="2"/>
        <w:spacing w:before="0"/>
        <w:rPr>
          <w:rFonts w:ascii="Verdana" w:hAnsi="Verdana"/>
          <w:color w:val="002060"/>
        </w:rPr>
      </w:pPr>
      <w:r>
        <w:rPr>
          <w:rFonts w:ascii="Verdana" w:hAnsi="Verdana"/>
          <w:color w:val="002060"/>
        </w:rPr>
        <w:t>6. Expected Outputs</w:t>
      </w:r>
    </w:p>
    <w:p w14:paraId="3F8F91C5">
      <w:pPr>
        <w:pStyle w:val="145"/>
        <w:numPr>
          <w:ilvl w:val="0"/>
          <w:numId w:val="8"/>
        </w:numPr>
        <w:spacing w:after="0"/>
        <w:rPr>
          <w:rFonts w:ascii="Verdana" w:hAnsi="Verdana"/>
        </w:rPr>
      </w:pPr>
      <w:r>
        <w:rPr>
          <w:rFonts w:ascii="Verdana" w:hAnsi="Verdana"/>
        </w:rPr>
        <w:t>Inception report with detailed methodology and tools.</w:t>
      </w:r>
    </w:p>
    <w:p w14:paraId="796577BD">
      <w:pPr>
        <w:pStyle w:val="145"/>
        <w:numPr>
          <w:ilvl w:val="0"/>
          <w:numId w:val="8"/>
        </w:numPr>
        <w:spacing w:after="0"/>
        <w:rPr>
          <w:rFonts w:ascii="Verdana" w:hAnsi="Verdana"/>
        </w:rPr>
      </w:pPr>
      <w:r>
        <w:rPr>
          <w:rFonts w:ascii="Verdana" w:hAnsi="Verdana"/>
        </w:rPr>
        <w:t>Draft evaluation report with preliminary findings.</w:t>
      </w:r>
    </w:p>
    <w:p w14:paraId="675961C5">
      <w:pPr>
        <w:pStyle w:val="145"/>
        <w:numPr>
          <w:ilvl w:val="0"/>
          <w:numId w:val="8"/>
        </w:numPr>
        <w:spacing w:after="0"/>
        <w:rPr>
          <w:rFonts w:ascii="Verdana" w:hAnsi="Verdana"/>
        </w:rPr>
      </w:pPr>
      <w:r>
        <w:rPr>
          <w:rFonts w:ascii="Verdana" w:hAnsi="Verdana"/>
        </w:rPr>
        <w:t>Final evaluation report with analysis, conclusions, and recommendations.</w:t>
      </w:r>
    </w:p>
    <w:p w14:paraId="1D882F16">
      <w:pPr>
        <w:pStyle w:val="145"/>
        <w:numPr>
          <w:ilvl w:val="0"/>
          <w:numId w:val="8"/>
        </w:numPr>
        <w:spacing w:after="0"/>
        <w:rPr>
          <w:rFonts w:ascii="Verdana" w:hAnsi="Verdana"/>
        </w:rPr>
      </w:pPr>
      <w:r>
        <w:rPr>
          <w:rFonts w:ascii="Verdana" w:hAnsi="Verdana"/>
        </w:rPr>
        <w:t>Presentation of findings to stakeholders.</w:t>
      </w:r>
    </w:p>
    <w:p w14:paraId="60C530AE">
      <w:pPr>
        <w:spacing w:after="0"/>
        <w:rPr>
          <w:rFonts w:ascii="Verdana" w:hAnsi="Verdana"/>
          <w:sz w:val="24"/>
          <w:szCs w:val="24"/>
        </w:rPr>
      </w:pPr>
    </w:p>
    <w:p w14:paraId="0C832D12">
      <w:pPr>
        <w:pStyle w:val="2"/>
        <w:spacing w:before="0"/>
        <w:rPr>
          <w:rFonts w:ascii="Verdana" w:hAnsi="Verdana"/>
          <w:color w:val="002060"/>
        </w:rPr>
      </w:pPr>
      <w:r>
        <w:rPr>
          <w:rFonts w:ascii="Verdana" w:hAnsi="Verdana"/>
          <w:color w:val="002060"/>
        </w:rPr>
        <w:t>7. Timeline</w:t>
      </w:r>
    </w:p>
    <w:p w14:paraId="1F64C95B">
      <w:pPr>
        <w:spacing w:after="0"/>
        <w:rPr>
          <w:rFonts w:ascii="Verdana" w:hAnsi="Verdana"/>
        </w:rPr>
      </w:pPr>
      <w:r>
        <w:rPr>
          <w:rFonts w:ascii="Verdana" w:hAnsi="Verdana"/>
        </w:rPr>
        <w:t>The evaluation is expected to be conducted over a period of 4 weeks, starting from the recruitment of a consultant. Key milestones include inception, data collection, analysis, reporting, and dissemination.</w:t>
      </w:r>
    </w:p>
    <w:p w14:paraId="216F4D32">
      <w:pPr>
        <w:spacing w:after="0"/>
        <w:rPr>
          <w:rFonts w:ascii="Verdana" w:hAnsi="Verdana"/>
          <w:sz w:val="24"/>
          <w:szCs w:val="24"/>
        </w:rPr>
      </w:pPr>
    </w:p>
    <w:p w14:paraId="788D7C46">
      <w:pPr>
        <w:pStyle w:val="2"/>
        <w:spacing w:before="0"/>
        <w:rPr>
          <w:rFonts w:ascii="Verdana" w:hAnsi="Verdana"/>
          <w:color w:val="002060"/>
        </w:rPr>
      </w:pPr>
      <w:r>
        <w:rPr>
          <w:rFonts w:ascii="Verdana" w:hAnsi="Verdana"/>
          <w:color w:val="002060"/>
        </w:rPr>
        <w:t>8. Consultant Requirements</w:t>
      </w:r>
    </w:p>
    <w:p w14:paraId="6BF857FA">
      <w:pPr>
        <w:spacing w:after="0"/>
        <w:rPr>
          <w:rFonts w:ascii="Verdana" w:hAnsi="Verdana"/>
        </w:rPr>
      </w:pPr>
      <w:r>
        <w:rPr>
          <w:rFonts w:ascii="Verdana" w:hAnsi="Verdana"/>
        </w:rPr>
        <w:t>The consultant should have:</w:t>
      </w:r>
    </w:p>
    <w:p w14:paraId="01228220">
      <w:pPr>
        <w:pStyle w:val="145"/>
        <w:numPr>
          <w:ilvl w:val="0"/>
          <w:numId w:val="9"/>
        </w:numPr>
        <w:spacing w:after="0"/>
        <w:rPr>
          <w:rFonts w:ascii="Verdana" w:hAnsi="Verdana"/>
        </w:rPr>
      </w:pPr>
      <w:r>
        <w:rPr>
          <w:rFonts w:ascii="Verdana" w:hAnsi="Verdana"/>
        </w:rPr>
        <w:t>Proven experience in evaluating development and humanitarian projects.</w:t>
      </w:r>
    </w:p>
    <w:p w14:paraId="0DA80EA5">
      <w:pPr>
        <w:pStyle w:val="145"/>
        <w:numPr>
          <w:ilvl w:val="0"/>
          <w:numId w:val="9"/>
        </w:numPr>
        <w:spacing w:after="0"/>
        <w:rPr>
          <w:rFonts w:ascii="Verdana" w:hAnsi="Verdana"/>
        </w:rPr>
      </w:pPr>
      <w:r>
        <w:rPr>
          <w:rFonts w:ascii="Verdana" w:hAnsi="Verdana"/>
        </w:rPr>
        <w:t>Expertise in disability inclusion, DRR, and climate change adaptation.</w:t>
      </w:r>
    </w:p>
    <w:p w14:paraId="221FC89C">
      <w:pPr>
        <w:pStyle w:val="145"/>
        <w:numPr>
          <w:ilvl w:val="0"/>
          <w:numId w:val="9"/>
        </w:numPr>
        <w:spacing w:after="0"/>
        <w:rPr>
          <w:rFonts w:ascii="Verdana" w:hAnsi="Verdana"/>
        </w:rPr>
      </w:pPr>
      <w:r>
        <w:rPr>
          <w:rFonts w:ascii="Verdana" w:hAnsi="Verdana"/>
        </w:rPr>
        <w:t>Strong analytical and communication skills.</w:t>
      </w:r>
    </w:p>
    <w:p w14:paraId="6BC2C3FA">
      <w:pPr>
        <w:pStyle w:val="145"/>
        <w:numPr>
          <w:ilvl w:val="0"/>
          <w:numId w:val="9"/>
        </w:numPr>
        <w:spacing w:after="0"/>
        <w:rPr>
          <w:rFonts w:ascii="Verdana" w:hAnsi="Verdana"/>
        </w:rPr>
      </w:pPr>
      <w:r>
        <w:rPr>
          <w:rFonts w:ascii="Verdana" w:hAnsi="Verdana"/>
        </w:rPr>
        <w:t>Familiarity with the Bangladesh context and local stakeholders.</w:t>
      </w:r>
    </w:p>
    <w:p w14:paraId="1202ACFC">
      <w:pPr>
        <w:spacing w:after="0"/>
        <w:rPr>
          <w:rFonts w:ascii="Verdana" w:hAnsi="Verdana"/>
          <w:b/>
          <w:bCs/>
          <w:color w:val="002060"/>
          <w:sz w:val="28"/>
          <w:szCs w:val="28"/>
        </w:rPr>
      </w:pPr>
    </w:p>
    <w:p w14:paraId="125F9ADD">
      <w:pPr>
        <w:pStyle w:val="145"/>
        <w:numPr>
          <w:ilvl w:val="0"/>
          <w:numId w:val="10"/>
        </w:numPr>
        <w:spacing w:after="0"/>
        <w:ind w:left="360"/>
        <w:rPr>
          <w:rFonts w:ascii="Verdana" w:hAnsi="Verdana"/>
          <w:sz w:val="24"/>
          <w:szCs w:val="24"/>
        </w:rPr>
      </w:pPr>
      <w:r>
        <w:rPr>
          <w:rFonts w:ascii="Verdana" w:hAnsi="Verdana"/>
          <w:b/>
          <w:bCs/>
          <w:color w:val="002060"/>
          <w:sz w:val="28"/>
          <w:szCs w:val="28"/>
        </w:rPr>
        <w:t>Proposal Submission Process</w:t>
      </w:r>
    </w:p>
    <w:p w14:paraId="78C4DA3C">
      <w:pPr>
        <w:spacing w:after="0"/>
        <w:rPr>
          <w:rFonts w:ascii="Verdana" w:hAnsi="Verdana"/>
        </w:rPr>
      </w:pPr>
      <w:r>
        <w:rPr>
          <w:rFonts w:ascii="Verdana" w:hAnsi="Verdana"/>
        </w:rPr>
        <w:t>The narrative proposal should consist of the following:</w:t>
      </w:r>
    </w:p>
    <w:p w14:paraId="32F53AB7">
      <w:pPr>
        <w:pStyle w:val="145"/>
        <w:numPr>
          <w:ilvl w:val="0"/>
          <w:numId w:val="11"/>
        </w:numPr>
        <w:spacing w:after="0" w:line="288" w:lineRule="auto"/>
        <w:ind w:left="720"/>
        <w:rPr>
          <w:rFonts w:ascii="Verdana" w:hAnsi="Verdana"/>
        </w:rPr>
      </w:pPr>
      <w:r>
        <w:rPr>
          <w:rFonts w:ascii="Verdana" w:hAnsi="Verdana"/>
        </w:rPr>
        <w:t>Technical Proposal, Action plan, and Timeline</w:t>
      </w:r>
    </w:p>
    <w:p w14:paraId="04DA4F55">
      <w:pPr>
        <w:pStyle w:val="145"/>
        <w:numPr>
          <w:ilvl w:val="0"/>
          <w:numId w:val="11"/>
        </w:numPr>
        <w:spacing w:after="0" w:line="288" w:lineRule="auto"/>
        <w:ind w:left="720"/>
        <w:rPr>
          <w:rFonts w:ascii="Verdana" w:hAnsi="Verdana"/>
        </w:rPr>
      </w:pPr>
      <w:r>
        <w:rPr>
          <w:rFonts w:ascii="Verdana" w:hAnsi="Verdana"/>
        </w:rPr>
        <w:t>Overall fees of the consultant, including TAX and VAT</w:t>
      </w:r>
    </w:p>
    <w:p w14:paraId="462222FB">
      <w:pPr>
        <w:pStyle w:val="145"/>
        <w:numPr>
          <w:ilvl w:val="0"/>
          <w:numId w:val="11"/>
        </w:numPr>
        <w:spacing w:after="0" w:line="288" w:lineRule="auto"/>
        <w:ind w:left="720"/>
        <w:rPr>
          <w:rFonts w:ascii="Verdana" w:hAnsi="Verdana"/>
        </w:rPr>
      </w:pPr>
      <w:r>
        <w:rPr>
          <w:rFonts w:ascii="Verdana" w:hAnsi="Verdana"/>
        </w:rPr>
        <w:t xml:space="preserve">CV of an individual </w:t>
      </w:r>
    </w:p>
    <w:p w14:paraId="26A4CC61">
      <w:pPr>
        <w:pStyle w:val="145"/>
        <w:numPr>
          <w:ilvl w:val="0"/>
          <w:numId w:val="11"/>
        </w:numPr>
        <w:spacing w:after="0" w:line="288" w:lineRule="auto"/>
        <w:ind w:left="720"/>
        <w:rPr>
          <w:rFonts w:ascii="Verdana" w:hAnsi="Verdana"/>
        </w:rPr>
      </w:pPr>
      <w:r>
        <w:rPr>
          <w:rFonts w:ascii="Verdana" w:hAnsi="Verdana"/>
        </w:rPr>
        <w:t>Prior experience and other forms of documentation relevant to the experience of the consultant.</w:t>
      </w:r>
    </w:p>
    <w:p w14:paraId="1B416CDF">
      <w:pPr>
        <w:pStyle w:val="145"/>
        <w:numPr>
          <w:ilvl w:val="0"/>
          <w:numId w:val="11"/>
        </w:numPr>
        <w:spacing w:after="0" w:line="288" w:lineRule="auto"/>
        <w:ind w:left="720"/>
        <w:rPr>
          <w:rFonts w:ascii="Verdana" w:hAnsi="Verdana"/>
        </w:rPr>
      </w:pPr>
      <w:r>
        <w:rPr>
          <w:rFonts w:ascii="Verdana" w:hAnsi="Verdana"/>
        </w:rPr>
        <w:t>Legal papers (Copy of TIN certificates, Copy of VAT registration (if any), Copy of trade license (if any).</w:t>
      </w:r>
    </w:p>
    <w:p w14:paraId="023B17DC">
      <w:pPr>
        <w:pStyle w:val="145"/>
        <w:numPr>
          <w:ilvl w:val="0"/>
          <w:numId w:val="11"/>
        </w:numPr>
        <w:spacing w:after="0" w:line="288" w:lineRule="auto"/>
        <w:ind w:left="720"/>
        <w:rPr>
          <w:rFonts w:ascii="Verdana" w:hAnsi="Verdana"/>
        </w:rPr>
      </w:pPr>
      <w:r>
        <w:rPr>
          <w:rFonts w:ascii="Verdana" w:hAnsi="Verdana"/>
        </w:rPr>
        <w:t>Others, as relevant</w:t>
      </w:r>
    </w:p>
    <w:p w14:paraId="4BD24F8A">
      <w:pPr>
        <w:pStyle w:val="145"/>
        <w:spacing w:after="0"/>
        <w:rPr>
          <w:rFonts w:ascii="Verdana" w:hAnsi="Verdana"/>
          <w:sz w:val="24"/>
          <w:szCs w:val="24"/>
        </w:rPr>
      </w:pPr>
    </w:p>
    <w:p w14:paraId="446968BD">
      <w:pPr>
        <w:pStyle w:val="145"/>
        <w:numPr>
          <w:ilvl w:val="0"/>
          <w:numId w:val="10"/>
        </w:numPr>
        <w:spacing w:after="0" w:line="288" w:lineRule="auto"/>
        <w:ind w:left="360"/>
        <w:rPr>
          <w:rFonts w:ascii="Verdana" w:hAnsi="Verdana"/>
          <w:b/>
          <w:bCs/>
          <w:color w:val="002060"/>
          <w:sz w:val="28"/>
          <w:szCs w:val="28"/>
        </w:rPr>
      </w:pPr>
      <w:r>
        <w:rPr>
          <w:rFonts w:ascii="Verdana" w:hAnsi="Verdana"/>
          <w:b/>
          <w:bCs/>
          <w:color w:val="002060"/>
          <w:sz w:val="28"/>
          <w:szCs w:val="28"/>
        </w:rPr>
        <w:t>Proposal evaluation criteria</w:t>
      </w:r>
    </w:p>
    <w:p w14:paraId="1AE3FAB9">
      <w:pPr>
        <w:spacing w:after="0"/>
        <w:jc w:val="both"/>
        <w:rPr>
          <w:rFonts w:ascii="Verdana" w:hAnsi="Verdana"/>
        </w:rPr>
      </w:pPr>
      <w:r>
        <w:rPr>
          <w:rFonts w:ascii="Verdana" w:hAnsi="Verdana"/>
        </w:rPr>
        <w:t>The proposal shall be awarded based on the Technical Proposal, qualifications, and related experiences.</w:t>
      </w:r>
    </w:p>
    <w:p w14:paraId="09C6A174">
      <w:pPr>
        <w:spacing w:after="0"/>
        <w:rPr>
          <w:rFonts w:ascii="Verdana" w:hAnsi="Verdana"/>
          <w:sz w:val="24"/>
          <w:szCs w:val="24"/>
        </w:rPr>
      </w:pPr>
    </w:p>
    <w:p w14:paraId="37AE931A">
      <w:pPr>
        <w:pStyle w:val="145"/>
        <w:numPr>
          <w:ilvl w:val="0"/>
          <w:numId w:val="10"/>
        </w:numPr>
        <w:spacing w:after="0" w:line="288" w:lineRule="auto"/>
        <w:ind w:left="360"/>
        <w:rPr>
          <w:rFonts w:ascii="Verdana" w:hAnsi="Verdana"/>
          <w:b/>
          <w:bCs/>
          <w:color w:val="002060"/>
          <w:sz w:val="28"/>
          <w:szCs w:val="28"/>
        </w:rPr>
      </w:pPr>
      <w:r>
        <w:rPr>
          <w:rFonts w:ascii="Verdana" w:hAnsi="Verdana"/>
          <w:b/>
          <w:bCs/>
          <w:color w:val="002060"/>
          <w:sz w:val="28"/>
          <w:szCs w:val="28"/>
        </w:rPr>
        <w:t>Mode of payment</w:t>
      </w:r>
    </w:p>
    <w:p w14:paraId="3F4E1367">
      <w:pPr>
        <w:spacing w:after="0"/>
        <w:jc w:val="both"/>
        <w:rPr>
          <w:rFonts w:ascii="Verdana" w:hAnsi="Verdana"/>
        </w:rPr>
      </w:pPr>
      <w:r>
        <w:rPr>
          <w:rFonts w:ascii="Verdana" w:hAnsi="Verdana"/>
        </w:rPr>
        <w:t>Payment to the consultant will be through a bank transfer or an account pay cheque.</w:t>
      </w:r>
    </w:p>
    <w:p w14:paraId="558C0D6F">
      <w:pPr>
        <w:spacing w:after="0"/>
        <w:jc w:val="both"/>
        <w:rPr>
          <w:rFonts w:ascii="Verdana" w:hAnsi="Verdana"/>
        </w:rPr>
      </w:pPr>
    </w:p>
    <w:p w14:paraId="669C01F3">
      <w:pPr>
        <w:pStyle w:val="2"/>
        <w:numPr>
          <w:ilvl w:val="0"/>
          <w:numId w:val="10"/>
        </w:numPr>
        <w:spacing w:before="0"/>
        <w:ind w:left="360"/>
        <w:rPr>
          <w:rFonts w:ascii="Verdana" w:hAnsi="Verdana"/>
          <w:color w:val="002060"/>
        </w:rPr>
      </w:pPr>
      <w:r>
        <w:rPr>
          <w:rFonts w:ascii="Verdana" w:hAnsi="Verdana"/>
          <w:color w:val="002060"/>
        </w:rPr>
        <w:t>Payment schedule</w:t>
      </w:r>
    </w:p>
    <w:p w14:paraId="0A03C2EA">
      <w:pPr>
        <w:pStyle w:val="145"/>
        <w:spacing w:after="0" w:line="288" w:lineRule="auto"/>
        <w:rPr>
          <w:rFonts w:ascii="Verdana" w:hAnsi="Verdana"/>
        </w:rPr>
      </w:pPr>
      <w:r>
        <w:rPr>
          <w:rFonts w:ascii="Verdana" w:hAnsi="Verdana"/>
          <w:b/>
          <w:bCs/>
        </w:rPr>
        <w:t>1</w:t>
      </w:r>
      <w:r>
        <w:rPr>
          <w:rFonts w:ascii="Verdana" w:hAnsi="Verdana"/>
          <w:b/>
          <w:bCs/>
          <w:vertAlign w:val="superscript"/>
        </w:rPr>
        <w:t>st</w:t>
      </w:r>
      <w:r>
        <w:rPr>
          <w:rFonts w:ascii="Verdana" w:hAnsi="Verdana"/>
          <w:b/>
          <w:bCs/>
        </w:rPr>
        <w:t xml:space="preserve"> installment</w:t>
      </w:r>
      <w:r>
        <w:rPr>
          <w:rFonts w:ascii="Verdana" w:hAnsi="Verdana"/>
        </w:rPr>
        <w:t>: 30%, after approval of the proposal, contract signing, and submission of the detailed work plan.</w:t>
      </w:r>
    </w:p>
    <w:p w14:paraId="209A15FA">
      <w:pPr>
        <w:pStyle w:val="145"/>
        <w:spacing w:after="0" w:line="288" w:lineRule="auto"/>
        <w:rPr>
          <w:rFonts w:ascii="Verdana" w:hAnsi="Verdana"/>
        </w:rPr>
      </w:pPr>
      <w:r>
        <w:rPr>
          <w:rFonts w:ascii="Verdana" w:hAnsi="Verdana"/>
          <w:b/>
          <w:bCs/>
        </w:rPr>
        <w:t>2</w:t>
      </w:r>
      <w:r>
        <w:rPr>
          <w:rFonts w:ascii="Verdana" w:hAnsi="Verdana"/>
          <w:b/>
          <w:bCs/>
          <w:vertAlign w:val="superscript"/>
        </w:rPr>
        <w:t>nd</w:t>
      </w:r>
      <w:r>
        <w:rPr>
          <w:rFonts w:ascii="Verdana" w:hAnsi="Verdana"/>
          <w:b/>
          <w:bCs/>
        </w:rPr>
        <w:t xml:space="preserve"> installment:</w:t>
      </w:r>
      <w:r>
        <w:rPr>
          <w:rFonts w:ascii="Verdana" w:hAnsi="Verdana"/>
        </w:rPr>
        <w:t xml:space="preserve"> 30%, upon completion of field visits, analysis of the collected data, providing key insights, and submission of the draft report.</w:t>
      </w:r>
    </w:p>
    <w:p w14:paraId="720FC01D">
      <w:pPr>
        <w:pStyle w:val="145"/>
        <w:spacing w:after="0" w:line="288" w:lineRule="auto"/>
        <w:rPr>
          <w:rFonts w:ascii="Verdana" w:hAnsi="Verdana"/>
        </w:rPr>
      </w:pPr>
      <w:r>
        <w:rPr>
          <w:rFonts w:ascii="Verdana" w:hAnsi="Verdana"/>
          <w:b/>
          <w:bCs/>
        </w:rPr>
        <w:t>3</w:t>
      </w:r>
      <w:r>
        <w:rPr>
          <w:rFonts w:ascii="Verdana" w:hAnsi="Verdana"/>
          <w:b/>
          <w:bCs/>
          <w:vertAlign w:val="superscript"/>
        </w:rPr>
        <w:t>rd</w:t>
      </w:r>
      <w:r>
        <w:rPr>
          <w:rFonts w:ascii="Verdana" w:hAnsi="Verdana"/>
          <w:b/>
          <w:bCs/>
        </w:rPr>
        <w:t xml:space="preserve"> and final installment:</w:t>
      </w:r>
      <w:r>
        <w:rPr>
          <w:rFonts w:ascii="Verdana" w:hAnsi="Verdana"/>
        </w:rPr>
        <w:t xml:space="preserve"> 40%, upon final delivery of the evaluation report and presentation.</w:t>
      </w:r>
    </w:p>
    <w:p w14:paraId="75A401C9">
      <w:pPr>
        <w:spacing w:after="0"/>
        <w:ind w:left="360"/>
        <w:rPr>
          <w:rFonts w:ascii="Verdana" w:hAnsi="Verdana"/>
          <w:b/>
          <w:bCs/>
          <w:sz w:val="24"/>
          <w:szCs w:val="24"/>
        </w:rPr>
      </w:pPr>
    </w:p>
    <w:p w14:paraId="614A1CA2">
      <w:pPr>
        <w:spacing w:after="0"/>
        <w:ind w:left="360"/>
        <w:rPr>
          <w:rFonts w:ascii="Verdana" w:hAnsi="Verdana"/>
          <w:b/>
          <w:bCs/>
          <w:sz w:val="20"/>
          <w:szCs w:val="20"/>
        </w:rPr>
      </w:pPr>
      <w:r>
        <w:rPr>
          <w:rFonts w:ascii="Verdana" w:hAnsi="Verdana"/>
          <w:b/>
          <w:bCs/>
        </w:rPr>
        <w:t>NB: Please note that the payment is subject to the deduction of appropriate taxes. Deduction of VAT and Tax shall be applicable as per government rules</w:t>
      </w:r>
      <w:r>
        <w:rPr>
          <w:rFonts w:ascii="Verdana" w:hAnsi="Verdana"/>
          <w:b/>
          <w:bCs/>
          <w:sz w:val="20"/>
          <w:szCs w:val="20"/>
        </w:rPr>
        <w:t xml:space="preserve">.  </w:t>
      </w:r>
    </w:p>
    <w:p w14:paraId="00695524">
      <w:pPr>
        <w:spacing w:after="0"/>
        <w:rPr>
          <w:rFonts w:ascii="Verdana" w:hAnsi="Verdana"/>
          <w:sz w:val="24"/>
          <w:szCs w:val="24"/>
        </w:rPr>
      </w:pPr>
    </w:p>
    <w:p w14:paraId="609C34FD">
      <w:pPr>
        <w:pStyle w:val="145"/>
        <w:numPr>
          <w:ilvl w:val="0"/>
          <w:numId w:val="10"/>
        </w:numPr>
        <w:spacing w:after="0" w:line="288" w:lineRule="auto"/>
        <w:ind w:left="360"/>
        <w:rPr>
          <w:rFonts w:ascii="Verdana" w:hAnsi="Verdana"/>
          <w:b/>
          <w:bCs/>
          <w:color w:val="002060"/>
          <w:sz w:val="28"/>
          <w:szCs w:val="28"/>
        </w:rPr>
      </w:pPr>
      <w:r>
        <w:rPr>
          <w:rFonts w:ascii="Verdana" w:hAnsi="Verdana"/>
          <w:b/>
          <w:bCs/>
          <w:color w:val="002060"/>
          <w:sz w:val="28"/>
          <w:szCs w:val="28"/>
        </w:rPr>
        <w:t>Compliance with Safeguarding and PSEAH policies</w:t>
      </w:r>
    </w:p>
    <w:p w14:paraId="63A9BD40">
      <w:pPr>
        <w:spacing w:after="0"/>
        <w:rPr>
          <w:rFonts w:ascii="Verdana" w:hAnsi="Verdana"/>
        </w:rPr>
      </w:pPr>
      <w:r>
        <w:rPr>
          <w:rFonts w:ascii="Verdana" w:hAnsi="Verdana"/>
        </w:rPr>
        <w:t>The assignment must consider safeguarding aspects of children and adults at risk as well as safe communication during the entire consultancy process where children and adults at risk are involved.</w:t>
      </w:r>
    </w:p>
    <w:p w14:paraId="01CE3D4F">
      <w:pPr>
        <w:spacing w:after="0"/>
        <w:rPr>
          <w:rFonts w:ascii="Verdana" w:hAnsi="Verdana"/>
        </w:rPr>
      </w:pPr>
    </w:p>
    <w:p w14:paraId="6012B93E">
      <w:pPr>
        <w:spacing w:after="0"/>
        <w:rPr>
          <w:rFonts w:ascii="Verdana" w:hAnsi="Verdana"/>
        </w:rPr>
      </w:pPr>
      <w:r>
        <w:rPr>
          <w:rFonts w:ascii="Verdana" w:hAnsi="Verdana"/>
        </w:rPr>
        <w:t>Still photographs and interviews were taken from the concerned persons with disabilities, project staff, OPD members, and/or relevant other stakeholders during any FGDs, or meetings must have prior consent in written using prescribed forms following CBMG's ‘Safeguarding Children and Adults-at-risk Policy’.</w:t>
      </w:r>
    </w:p>
    <w:p w14:paraId="49596C8C">
      <w:pPr>
        <w:spacing w:after="0"/>
        <w:rPr>
          <w:rFonts w:ascii="Verdana" w:hAnsi="Verdana"/>
        </w:rPr>
      </w:pPr>
    </w:p>
    <w:p w14:paraId="06A60C5B">
      <w:pPr>
        <w:spacing w:after="0"/>
        <w:rPr>
          <w:rFonts w:ascii="Verdana" w:hAnsi="Verdana"/>
        </w:rPr>
      </w:pPr>
      <w:r>
        <w:rPr>
          <w:rFonts w:ascii="Verdana" w:hAnsi="Verdana"/>
        </w:rPr>
        <w:t>As a condition of entering into a consultancy agreement, the Consultant/s must sign the ‘CBMG Safeguarding-PSEAH Declaration of Consent’ and abide by the terms and conditions thereof.</w:t>
      </w:r>
    </w:p>
    <w:p w14:paraId="2B34BC34">
      <w:pPr>
        <w:spacing w:after="0"/>
        <w:rPr>
          <w:rFonts w:ascii="Verdana" w:hAnsi="Verdana"/>
          <w:b/>
          <w:bCs/>
          <w:color w:val="C00000"/>
          <w:sz w:val="24"/>
          <w:szCs w:val="24"/>
        </w:rPr>
      </w:pPr>
    </w:p>
    <w:p w14:paraId="2124D2C3">
      <w:pPr>
        <w:pStyle w:val="145"/>
        <w:numPr>
          <w:ilvl w:val="0"/>
          <w:numId w:val="10"/>
        </w:numPr>
        <w:spacing w:after="0"/>
        <w:ind w:left="360"/>
        <w:rPr>
          <w:rFonts w:ascii="Verdana" w:hAnsi="Verdana"/>
          <w:b/>
          <w:bCs/>
          <w:color w:val="002060"/>
          <w:sz w:val="28"/>
          <w:szCs w:val="28"/>
        </w:rPr>
      </w:pPr>
      <w:r>
        <w:rPr>
          <w:rFonts w:ascii="Verdana" w:hAnsi="Verdana"/>
          <w:b/>
          <w:bCs/>
          <w:color w:val="002060"/>
          <w:sz w:val="28"/>
          <w:szCs w:val="28"/>
        </w:rPr>
        <w:t>General Terms and Conditions</w:t>
      </w:r>
    </w:p>
    <w:p w14:paraId="1CB63B57">
      <w:pPr>
        <w:spacing w:after="0"/>
        <w:rPr>
          <w:rFonts w:ascii="Verdana" w:hAnsi="Verdana"/>
          <w:b/>
          <w:bCs/>
          <w:sz w:val="24"/>
          <w:szCs w:val="24"/>
        </w:rPr>
      </w:pPr>
      <w:r>
        <w:rPr>
          <w:rFonts w:ascii="Verdana" w:hAnsi="Verdana"/>
          <w:b/>
          <w:bCs/>
          <w:sz w:val="24"/>
          <w:szCs w:val="24"/>
        </w:rPr>
        <w:t>A. Penalty clause</w:t>
      </w:r>
    </w:p>
    <w:p w14:paraId="160F2A70">
      <w:pPr>
        <w:spacing w:after="0"/>
        <w:rPr>
          <w:rFonts w:ascii="Verdana" w:hAnsi="Verdana"/>
        </w:rPr>
      </w:pPr>
      <w:r>
        <w:rPr>
          <w:rFonts w:ascii="Verdana" w:hAnsi="Verdana"/>
        </w:rPr>
        <w:t>The consultant/consulting firm is expected to provide services within an agreed timeframe and submit the final product maintaining the quality as mentioned. If the quality is not maintained, the contracting organization will deduct 5% of the total agreement amount. If, for any reason, the consultant/consulting firm fails to deliver services within the stipulated timeline, the consultant/consulting firm needs to inform the contracting organization in time with a valid and acceptable explanation. Failure to do this may evoke a penalty clause at the rate of 1% for each day of delay.</w:t>
      </w:r>
    </w:p>
    <w:p w14:paraId="5EDBB625">
      <w:pPr>
        <w:spacing w:after="0"/>
        <w:rPr>
          <w:rFonts w:ascii="Verdana" w:hAnsi="Verdana"/>
          <w:sz w:val="24"/>
          <w:szCs w:val="24"/>
        </w:rPr>
      </w:pPr>
      <w:r>
        <w:rPr>
          <w:rFonts w:ascii="Verdana" w:hAnsi="Verdana"/>
          <w:sz w:val="24"/>
          <w:szCs w:val="24"/>
        </w:rPr>
        <w:t xml:space="preserve"> </w:t>
      </w:r>
    </w:p>
    <w:p w14:paraId="2DE790C5">
      <w:pPr>
        <w:spacing w:after="0"/>
        <w:rPr>
          <w:rFonts w:ascii="Verdana" w:hAnsi="Verdana"/>
          <w:b/>
          <w:bCs/>
          <w:sz w:val="24"/>
          <w:szCs w:val="24"/>
        </w:rPr>
      </w:pPr>
      <w:r>
        <w:rPr>
          <w:rFonts w:ascii="Verdana" w:hAnsi="Verdana"/>
          <w:b/>
          <w:bCs/>
          <w:sz w:val="24"/>
          <w:szCs w:val="24"/>
        </w:rPr>
        <w:t>B. Bindings</w:t>
      </w:r>
    </w:p>
    <w:p w14:paraId="27A99B8D">
      <w:pPr>
        <w:spacing w:after="0"/>
        <w:rPr>
          <w:rFonts w:ascii="Verdana" w:hAnsi="Verdana"/>
        </w:rPr>
      </w:pPr>
      <w:r>
        <w:rPr>
          <w:rFonts w:ascii="Verdana" w:hAnsi="Verdana"/>
        </w:rPr>
        <w:t>All documents, presentations, guidance notes, and other data shared with the consultant should be restricted for public use and cannot be reproduced without prior consent from NGDO and CBMG.  The contracted consultant/ consultant firm will submit all original documents, materials, and data to the contracting organization.</w:t>
      </w:r>
    </w:p>
    <w:p w14:paraId="30C13CBA">
      <w:pPr>
        <w:spacing w:after="0"/>
        <w:rPr>
          <w:rFonts w:ascii="Verdana" w:hAnsi="Verdana"/>
          <w:sz w:val="24"/>
          <w:szCs w:val="24"/>
        </w:rPr>
      </w:pPr>
    </w:p>
    <w:p w14:paraId="00437082">
      <w:pPr>
        <w:spacing w:after="0"/>
        <w:rPr>
          <w:rFonts w:ascii="Verdana" w:hAnsi="Verdana"/>
          <w:b/>
          <w:bCs/>
          <w:sz w:val="24"/>
          <w:szCs w:val="24"/>
        </w:rPr>
      </w:pPr>
      <w:r>
        <w:rPr>
          <w:rFonts w:ascii="Verdana" w:hAnsi="Verdana"/>
          <w:b/>
          <w:bCs/>
          <w:sz w:val="24"/>
          <w:szCs w:val="24"/>
        </w:rPr>
        <w:t>C. Award of contract</w:t>
      </w:r>
    </w:p>
    <w:p w14:paraId="64019CAE">
      <w:pPr>
        <w:spacing w:after="0"/>
        <w:rPr>
          <w:rFonts w:ascii="Verdana" w:hAnsi="Verdana"/>
        </w:rPr>
      </w:pPr>
      <w:r>
        <w:rPr>
          <w:rFonts w:ascii="Verdana" w:hAnsi="Verdana"/>
        </w:rPr>
        <w:t>The consultant is expected to commence the assignment within one week of signing the contract in consultation with the NGDO and CBM.</w:t>
      </w:r>
    </w:p>
    <w:p w14:paraId="798E6DC3">
      <w:pPr>
        <w:pStyle w:val="2"/>
        <w:spacing w:before="0"/>
        <w:rPr>
          <w:rFonts w:ascii="Verdana" w:hAnsi="Verdana"/>
          <w:color w:val="002060"/>
        </w:rPr>
      </w:pPr>
    </w:p>
    <w:p w14:paraId="0FCF52BD">
      <w:pPr>
        <w:pStyle w:val="2"/>
        <w:numPr>
          <w:ilvl w:val="0"/>
          <w:numId w:val="10"/>
        </w:numPr>
        <w:spacing w:before="0"/>
        <w:ind w:left="360"/>
        <w:rPr>
          <w:rFonts w:ascii="Verdana" w:hAnsi="Verdana"/>
          <w:color w:val="002060"/>
        </w:rPr>
      </w:pPr>
      <w:r>
        <w:rPr>
          <w:rFonts w:ascii="Verdana" w:hAnsi="Verdana"/>
          <w:color w:val="002060"/>
        </w:rPr>
        <w:t>Annex References</w:t>
      </w:r>
    </w:p>
    <w:p w14:paraId="1FA5D5C2">
      <w:pPr>
        <w:pStyle w:val="145"/>
        <w:numPr>
          <w:ilvl w:val="0"/>
          <w:numId w:val="12"/>
        </w:numPr>
        <w:spacing w:after="0"/>
        <w:rPr>
          <w:rFonts w:ascii="Verdana" w:hAnsi="Verdana"/>
        </w:rPr>
      </w:pPr>
      <w:r>
        <w:rPr>
          <w:rFonts w:ascii="Verdana" w:hAnsi="Verdana"/>
        </w:rPr>
        <w:t>Annex-01: Endline Evaluation Concept Note</w:t>
      </w:r>
    </w:p>
    <w:sectPr>
      <w:headerReference r:id="rId5" w:type="default"/>
      <w:footerReference r:id="rId6"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rinda">
    <w:altName w:val="Siyam Rupali"/>
    <w:panose1 w:val="000004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802071"/>
      <w:docPartObj>
        <w:docPartGallery w:val="AutoText"/>
      </w:docPartObj>
    </w:sdtPr>
    <w:sdtContent>
      <w:p w14:paraId="72F0A7C9">
        <w:pPr>
          <w:pStyle w:val="20"/>
          <w:jc w:val="right"/>
        </w:pPr>
        <w:r>
          <w:fldChar w:fldCharType="begin"/>
        </w:r>
        <w:r>
          <w:instrText xml:space="preserve"> PAGE   \* MERGEFORMAT </w:instrText>
        </w:r>
        <w:r>
          <w:fldChar w:fldCharType="separate"/>
        </w:r>
        <w:r>
          <w:t>2</w:t>
        </w:r>
        <w:r>
          <w:fldChar w:fldCharType="end"/>
        </w:r>
      </w:p>
    </w:sdtContent>
  </w:sdt>
  <w:p w14:paraId="43511D4C">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B589">
    <w:pPr>
      <w:pStyle w:val="21"/>
    </w:pPr>
    <w:r>
      <w:rPr>
        <w:lang w:eastAsia="en-GB"/>
      </w:rPr>
      <w:drawing>
        <wp:anchor distT="0" distB="0" distL="114300" distR="114300" simplePos="0" relativeHeight="251659264" behindDoc="1" locked="0" layoutInCell="1" allowOverlap="1">
          <wp:simplePos x="0" y="0"/>
          <wp:positionH relativeFrom="column">
            <wp:posOffset>5433695</wp:posOffset>
          </wp:positionH>
          <wp:positionV relativeFrom="page">
            <wp:posOffset>152400</wp:posOffset>
          </wp:positionV>
          <wp:extent cx="939165" cy="666750"/>
          <wp:effectExtent l="0" t="0" r="0" b="0"/>
          <wp:wrapTight wrapText="bothSides">
            <wp:wrapPolygon>
              <wp:start x="0" y="0"/>
              <wp:lineTo x="0" y="20983"/>
              <wp:lineTo x="21030" y="20983"/>
              <wp:lineTo x="21030" y="0"/>
              <wp:lineTo x="0" y="0"/>
            </wp:wrapPolygon>
          </wp:wrapTight>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foo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9165" cy="666750"/>
                  </a:xfrm>
                  <a:prstGeom prst="rect">
                    <a:avLst/>
                  </a:prstGeom>
                </pic:spPr>
              </pic:pic>
            </a:graphicData>
          </a:graphic>
        </wp:anchor>
      </w:drawing>
    </w:r>
    <w:r>
      <w:rPr>
        <w:rFonts w:ascii="Verdana" w:hAnsi="Verdana" w:eastAsia="Verdana" w:cs="Vrinda"/>
        <w:lang w:val="en-GB"/>
      </w:rPr>
      <w:drawing>
        <wp:anchor distT="0" distB="0" distL="114300" distR="114300" simplePos="0" relativeHeight="251660288" behindDoc="0" locked="0" layoutInCell="1" allowOverlap="1">
          <wp:simplePos x="0" y="0"/>
          <wp:positionH relativeFrom="column">
            <wp:posOffset>0</wp:posOffset>
          </wp:positionH>
          <wp:positionV relativeFrom="paragraph">
            <wp:posOffset>-361950</wp:posOffset>
          </wp:positionV>
          <wp:extent cx="656590" cy="6388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stretch>
                    <a:fillRect/>
                  </a:stretch>
                </pic:blipFill>
                <pic:spPr>
                  <a:xfrm>
                    <a:off x="0" y="0"/>
                    <a:ext cx="656590" cy="638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3"/>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2"/>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7"/>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6"/>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1"/>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
      <w:lvlText w:val=""/>
      <w:lvlJc w:val="left"/>
      <w:pPr>
        <w:tabs>
          <w:tab w:val="left" w:pos="360"/>
        </w:tabs>
        <w:ind w:left="360" w:hanging="360"/>
      </w:pPr>
      <w:rPr>
        <w:rFonts w:hint="default" w:ascii="Symbol" w:hAnsi="Symbol"/>
      </w:rPr>
    </w:lvl>
  </w:abstractNum>
  <w:abstractNum w:abstractNumId="6">
    <w:nsid w:val="1382048E"/>
    <w:multiLevelType w:val="multilevel"/>
    <w:tmpl w:val="138204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7C3251"/>
    <w:multiLevelType w:val="multilevel"/>
    <w:tmpl w:val="1E7C3251"/>
    <w:lvl w:ilvl="0" w:tentative="0">
      <w:start w:val="9"/>
      <w:numFmt w:val="decimal"/>
      <w:lvlText w:val="%1."/>
      <w:lvlJc w:val="left"/>
      <w:pPr>
        <w:ind w:left="720" w:hanging="360"/>
      </w:pPr>
      <w:rPr>
        <w:rFonts w:hint="default"/>
        <w:b/>
        <w:color w:val="00206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17378A0"/>
    <w:multiLevelType w:val="multilevel"/>
    <w:tmpl w:val="517378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D79331A"/>
    <w:multiLevelType w:val="multilevel"/>
    <w:tmpl w:val="5D7933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E693147"/>
    <w:multiLevelType w:val="multilevel"/>
    <w:tmpl w:val="5E6931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7DE631D7"/>
    <w:multiLevelType w:val="multilevel"/>
    <w:tmpl w:val="7DE631D7"/>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9"/>
  </w:num>
  <w:num w:numId="9">
    <w:abstractNumId w:val="6"/>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A31ED"/>
    <w:rsid w:val="00266169"/>
    <w:rsid w:val="0029639D"/>
    <w:rsid w:val="00326F90"/>
    <w:rsid w:val="00424834"/>
    <w:rsid w:val="00436CA5"/>
    <w:rsid w:val="00492B06"/>
    <w:rsid w:val="00591A26"/>
    <w:rsid w:val="006C6536"/>
    <w:rsid w:val="007B2D9B"/>
    <w:rsid w:val="007E27B6"/>
    <w:rsid w:val="008844F4"/>
    <w:rsid w:val="009E7423"/>
    <w:rsid w:val="00AA1D8D"/>
    <w:rsid w:val="00AC0C3D"/>
    <w:rsid w:val="00B244AC"/>
    <w:rsid w:val="00B47730"/>
    <w:rsid w:val="00B777A6"/>
    <w:rsid w:val="00C67BE3"/>
    <w:rsid w:val="00CB0664"/>
    <w:rsid w:val="00D71E83"/>
    <w:rsid w:val="00DD7A6F"/>
    <w:rsid w:val="00DE64B7"/>
    <w:rsid w:val="00F27198"/>
    <w:rsid w:val="00F764CD"/>
    <w:rsid w:val="00FA7209"/>
    <w:rsid w:val="00FC4139"/>
    <w:rsid w:val="00FC693F"/>
    <w:rsid w:val="00FF1B5C"/>
    <w:rsid w:val="00FF338D"/>
    <w:rsid w:val="2E9B0D51"/>
    <w:rsid w:val="76767C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6"/>
    <w:unhideWhenUsed/>
    <w:qFormat/>
    <w:uiPriority w:val="99"/>
    <w:pPr>
      <w:spacing w:after="120"/>
    </w:pPr>
  </w:style>
  <w:style w:type="paragraph" w:styleId="14">
    <w:name w:val="Body Text 2"/>
    <w:basedOn w:val="1"/>
    <w:link w:val="147"/>
    <w:unhideWhenUsed/>
    <w:uiPriority w:val="99"/>
    <w:pPr>
      <w:spacing w:after="120" w:line="480" w:lineRule="auto"/>
    </w:pPr>
  </w:style>
  <w:style w:type="paragraph" w:styleId="15">
    <w:name w:val="Body Text 3"/>
    <w:basedOn w:val="1"/>
    <w:link w:val="148"/>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annotation reference"/>
    <w:basedOn w:val="11"/>
    <w:semiHidden/>
    <w:unhideWhenUsed/>
    <w:uiPriority w:val="99"/>
    <w:rPr>
      <w:sz w:val="16"/>
      <w:szCs w:val="16"/>
    </w:rPr>
  </w:style>
  <w:style w:type="paragraph" w:styleId="18">
    <w:name w:val="annotation text"/>
    <w:basedOn w:val="1"/>
    <w:link w:val="167"/>
    <w:semiHidden/>
    <w:unhideWhenUsed/>
    <w:uiPriority w:val="99"/>
    <w:pPr>
      <w:spacing w:line="240" w:lineRule="auto"/>
    </w:pPr>
    <w:rPr>
      <w:sz w:val="20"/>
      <w:szCs w:val="20"/>
    </w:rPr>
  </w:style>
  <w:style w:type="character" w:styleId="19">
    <w:name w:val="Emphasis"/>
    <w:basedOn w:val="11"/>
    <w:qFormat/>
    <w:uiPriority w:val="20"/>
    <w:rPr>
      <w:i/>
      <w:iCs/>
    </w:rPr>
  </w:style>
  <w:style w:type="paragraph" w:styleId="20">
    <w:name w:val="footer"/>
    <w:basedOn w:val="1"/>
    <w:link w:val="138"/>
    <w:unhideWhenUsed/>
    <w:uiPriority w:val="99"/>
    <w:pPr>
      <w:tabs>
        <w:tab w:val="center" w:pos="4680"/>
        <w:tab w:val="right" w:pos="9360"/>
      </w:tabs>
      <w:spacing w:after="0" w:line="240" w:lineRule="auto"/>
    </w:pPr>
  </w:style>
  <w:style w:type="paragraph" w:styleId="21">
    <w:name w:val="header"/>
    <w:basedOn w:val="1"/>
    <w:link w:val="137"/>
    <w:unhideWhenUsed/>
    <w:uiPriority w:val="99"/>
    <w:pPr>
      <w:tabs>
        <w:tab w:val="center" w:pos="4680"/>
        <w:tab w:val="right" w:pos="9360"/>
      </w:tabs>
      <w:spacing w:after="0" w:line="240" w:lineRule="auto"/>
    </w:pPr>
  </w:style>
  <w:style w:type="paragraph" w:styleId="22">
    <w:name w:val="List"/>
    <w:basedOn w:val="1"/>
    <w:unhideWhenUsed/>
    <w:qFormat/>
    <w:uiPriority w:val="99"/>
    <w:pPr>
      <w:ind w:left="360" w:hanging="360"/>
      <w:contextualSpacing/>
    </w:pPr>
  </w:style>
  <w:style w:type="paragraph" w:styleId="23">
    <w:name w:val="List 2"/>
    <w:basedOn w:val="1"/>
    <w:unhideWhenUsed/>
    <w:qFormat/>
    <w:uiPriority w:val="99"/>
    <w:pPr>
      <w:ind w:left="720" w:hanging="360"/>
      <w:contextualSpacing/>
    </w:pPr>
  </w:style>
  <w:style w:type="paragraph" w:styleId="24">
    <w:name w:val="List 3"/>
    <w:basedOn w:val="1"/>
    <w:unhideWhenUsed/>
    <w:uiPriority w:val="99"/>
    <w:pPr>
      <w:ind w:left="1080" w:hanging="360"/>
      <w:contextualSpacing/>
    </w:pPr>
  </w:style>
  <w:style w:type="paragraph" w:styleId="25">
    <w:name w:val="List Bullet"/>
    <w:basedOn w:val="1"/>
    <w:unhideWhenUsed/>
    <w:uiPriority w:val="99"/>
    <w:pPr>
      <w:numPr>
        <w:ilvl w:val="0"/>
        <w:numId w:val="1"/>
      </w:numPr>
      <w:contextualSpacing/>
    </w:pPr>
  </w:style>
  <w:style w:type="paragraph" w:styleId="26">
    <w:name w:val="List Bullet 2"/>
    <w:basedOn w:val="1"/>
    <w:unhideWhenUsed/>
    <w:uiPriority w:val="99"/>
    <w:pPr>
      <w:numPr>
        <w:ilvl w:val="0"/>
        <w:numId w:val="2"/>
      </w:numPr>
      <w:contextualSpacing/>
    </w:pPr>
  </w:style>
  <w:style w:type="paragraph" w:styleId="27">
    <w:name w:val="List Bullet 3"/>
    <w:basedOn w:val="1"/>
    <w:unhideWhenUsed/>
    <w:qFormat/>
    <w:uiPriority w:val="99"/>
    <w:pPr>
      <w:numPr>
        <w:ilvl w:val="0"/>
        <w:numId w:val="3"/>
      </w:numPr>
      <w:contextualSpacing/>
    </w:pPr>
  </w:style>
  <w:style w:type="paragraph" w:styleId="28">
    <w:name w:val="List Continue"/>
    <w:basedOn w:val="1"/>
    <w:unhideWhenUsed/>
    <w:qFormat/>
    <w:uiPriority w:val="99"/>
    <w:pPr>
      <w:spacing w:after="120"/>
      <w:ind w:left="360"/>
      <w:contextualSpacing/>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List Number"/>
    <w:basedOn w:val="1"/>
    <w:unhideWhenUsed/>
    <w:qFormat/>
    <w:uiPriority w:val="99"/>
    <w:pPr>
      <w:numPr>
        <w:ilvl w:val="0"/>
        <w:numId w:val="4"/>
      </w:numPr>
      <w:contextualSpacing/>
    </w:pPr>
  </w:style>
  <w:style w:type="paragraph" w:styleId="32">
    <w:name w:val="List Number 2"/>
    <w:basedOn w:val="1"/>
    <w:unhideWhenUsed/>
    <w:uiPriority w:val="99"/>
    <w:pPr>
      <w:numPr>
        <w:ilvl w:val="0"/>
        <w:numId w:val="5"/>
      </w:numPr>
      <w:contextualSpacing/>
    </w:pPr>
  </w:style>
  <w:style w:type="paragraph" w:styleId="33">
    <w:name w:val="List Number 3"/>
    <w:basedOn w:val="1"/>
    <w:unhideWhenUsed/>
    <w:qFormat/>
    <w:uiPriority w:val="99"/>
    <w:pPr>
      <w:numPr>
        <w:ilvl w:val="0"/>
        <w:numId w:val="6"/>
      </w:numPr>
      <w:contextualSpacing/>
    </w:pPr>
  </w:style>
  <w:style w:type="paragraph" w:styleId="34">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5">
    <w:name w:val="Strong"/>
    <w:basedOn w:val="11"/>
    <w:qFormat/>
    <w:uiPriority w:val="22"/>
    <w:rPr>
      <w:b/>
      <w:bCs/>
    </w:rPr>
  </w:style>
  <w:style w:type="paragraph" w:styleId="3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7">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8">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9">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7">
    <w:name w:val="Header Char"/>
    <w:basedOn w:val="11"/>
    <w:link w:val="21"/>
    <w:qFormat/>
    <w:uiPriority w:val="99"/>
  </w:style>
  <w:style w:type="character" w:customStyle="1" w:styleId="138">
    <w:name w:val="Footer Char"/>
    <w:basedOn w:val="11"/>
    <w:link w:val="20"/>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1"/>
    <w:link w:val="38"/>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1"/>
    <w:link w:val="3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link w:val="166"/>
    <w:qFormat/>
    <w:uiPriority w:val="99"/>
    <w:pPr>
      <w:ind w:left="720"/>
      <w:contextualSpacing/>
    </w:pPr>
  </w:style>
  <w:style w:type="character" w:customStyle="1" w:styleId="146">
    <w:name w:val="Body Text Char"/>
    <w:basedOn w:val="11"/>
    <w:link w:val="13"/>
    <w:uiPriority w:val="99"/>
  </w:style>
  <w:style w:type="character" w:customStyle="1" w:styleId="147">
    <w:name w:val="Body Text 2 Char"/>
    <w:basedOn w:val="11"/>
    <w:link w:val="14"/>
    <w:qFormat/>
    <w:uiPriority w:val="99"/>
  </w:style>
  <w:style w:type="character" w:customStyle="1" w:styleId="148">
    <w:name w:val="Body Text 3 Char"/>
    <w:basedOn w:val="11"/>
    <w:link w:val="15"/>
    <w:uiPriority w:val="99"/>
    <w:rPr>
      <w:sz w:val="16"/>
      <w:szCs w:val="16"/>
    </w:rPr>
  </w:style>
  <w:style w:type="character" w:customStyle="1" w:styleId="149">
    <w:name w:val="Macro Text Char"/>
    <w:basedOn w:val="11"/>
    <w:link w:val="34"/>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1"/>
    <w:link w:val="150"/>
    <w:uiPriority w:val="29"/>
    <w:rPr>
      <w:i/>
      <w:iCs/>
      <w:color w:val="000000" w:themeColor="text1"/>
      <w14:textFill>
        <w14:solidFill>
          <w14:schemeClr w14:val="tx1"/>
        </w14:solidFill>
      </w14:textFill>
    </w:rPr>
  </w:style>
  <w:style w:type="character" w:customStyle="1" w:styleId="152">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1"/>
    <w:link w:val="158"/>
    <w:uiPriority w:val="30"/>
    <w:rPr>
      <w:b/>
      <w:bCs/>
      <w:i/>
      <w:iCs/>
      <w:color w:val="4F81BD" w:themeColor="accent1"/>
      <w14:textFill>
        <w14:solidFill>
          <w14:schemeClr w14:val="accent1"/>
        </w14:solidFill>
      </w14:textFill>
    </w:rPr>
  </w:style>
  <w:style w:type="character" w:customStyle="1" w:styleId="1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1"/>
    <w:qFormat/>
    <w:uiPriority w:val="21"/>
    <w:rPr>
      <w:b/>
      <w:bCs/>
      <w:i/>
      <w:iCs/>
      <w:color w:val="4F81BD" w:themeColor="accent1"/>
      <w14:textFill>
        <w14:solidFill>
          <w14:schemeClr w14:val="accent1"/>
        </w14:solidFill>
      </w14:textFill>
    </w:rPr>
  </w:style>
  <w:style w:type="character" w:customStyle="1" w:styleId="162">
    <w:name w:val="Subtle Reference"/>
    <w:basedOn w:val="11"/>
    <w:qFormat/>
    <w:uiPriority w:val="31"/>
    <w:rPr>
      <w:smallCaps/>
      <w:color w:val="C0504D" w:themeColor="accent2"/>
      <w:u w:val="single"/>
      <w14:textFill>
        <w14:solidFill>
          <w14:schemeClr w14:val="accent2"/>
        </w14:solidFill>
      </w14:textFill>
    </w:rPr>
  </w:style>
  <w:style w:type="character" w:customStyle="1" w:styleId="1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1"/>
    <w:qFormat/>
    <w:uiPriority w:val="33"/>
    <w:rPr>
      <w:b/>
      <w:bCs/>
      <w:smallCaps/>
      <w:spacing w:val="5"/>
    </w:rPr>
  </w:style>
  <w:style w:type="paragraph" w:customStyle="1" w:styleId="165">
    <w:name w:val="TOC Heading"/>
    <w:basedOn w:val="2"/>
    <w:next w:val="1"/>
    <w:semiHidden/>
    <w:unhideWhenUsed/>
    <w:qFormat/>
    <w:uiPriority w:val="39"/>
    <w:pPr>
      <w:outlineLvl w:val="9"/>
    </w:pPr>
  </w:style>
  <w:style w:type="character" w:customStyle="1" w:styleId="166">
    <w:name w:val="List Paragraph Char"/>
    <w:link w:val="145"/>
    <w:uiPriority w:val="99"/>
  </w:style>
  <w:style w:type="character" w:customStyle="1" w:styleId="167">
    <w:name w:val="Comment Text Char"/>
    <w:basedOn w:val="11"/>
    <w:link w:val="18"/>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00d5c2-3d0c-4127-a7cc-ec6baa9e68be" xsi:nil="true"/>
    <i9f2da93fcc74e869d070fd34a0597c4 xmlns="4b00d5c2-3d0c-4127-a7cc-ec6baa9e68be">
      <Terms xmlns="http://schemas.microsoft.com/office/infopath/2007/PartnerControls"/>
    </i9f2da93fcc74e869d070fd34a0597c4>
    <KeyEntities xmlns="4b00d5c2-3d0c-4127-a7cc-ec6baa9e68be" xsi:nil="true"/>
    <cc92bdb0fa944447acf309642a11bf0d xmlns="4b00d5c2-3d0c-4127-a7cc-ec6baa9e68be">
      <Terms xmlns="http://schemas.microsoft.com/office/infopath/2007/PartnerControls"/>
    </cc92bdb0fa944447acf309642a11bf0d>
    <FavoriteUsers xmlns="4b00d5c2-3d0c-4127-a7cc-ec6baa9e68be">
      <UserInfo>
        <DisplayName/>
        <AccountId xsi:nil="true"/>
        <AccountType/>
      </UserInfo>
    </Favorite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CF12336B10CF2E4BA0ADD6DB556B5D26" ma:contentTypeVersion="5" ma:contentTypeDescription="NGO Project Document content type" ma:contentTypeScope="" ma:versionID="3b124ce3b7362f9aa79eb146bb582282">
  <xsd:schema xmlns:xsd="http://www.w3.org/2001/XMLSchema" xmlns:xs="http://www.w3.org/2001/XMLSchema" xmlns:p="http://schemas.microsoft.com/office/2006/metadata/properties" xmlns:ns2="4b00d5c2-3d0c-4127-a7cc-ec6baa9e68be" xmlns:ns3="eef964a8-5732-4875-a60f-ae04b3767858" targetNamespace="http://schemas.microsoft.com/office/2006/metadata/properties" ma:root="true" ma:fieldsID="890dee109eb7f69c696de0ea3c314553" ns2:_="" ns3:_="">
    <xsd:import namespace="4b00d5c2-3d0c-4127-a7cc-ec6baa9e68be"/>
    <xsd:import namespace="eef964a8-5732-4875-a60f-ae04b3767858"/>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d5c2-3d0c-4127-a7cc-ec6baa9e68be"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2ea690f9-60e4-4b3b-90eb-0bcc63f223f0" ma:termSetId="ac83793a-3d75-4002-a9bc-7fd554e1a62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e034958-b277-47dc-afc7-04c1024a7e46}" ma:internalName="TaxCatchAll" ma:showField="CatchAllData" ma:web="4b00d5c2-3d0c-4127-a7cc-ec6baa9e68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e034958-b277-47dc-afc7-04c1024a7e46}" ma:internalName="TaxCatchAllLabel" ma:readOnly="true" ma:showField="CatchAllDataLabel" ma:web="4b00d5c2-3d0c-4127-a7cc-ec6baa9e68be">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2ea690f9-60e4-4b3b-90eb-0bcc63f223f0" ma:termSetId="06ba1dcd-be5d-4a4b-8400-03fa720dcbb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f964a8-5732-4875-a60f-ae04b376785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A23FC-C0B1-4973-9122-881895CB99AB}">
  <ds:schemaRefs/>
</ds:datastoreItem>
</file>

<file path=customXml/itemProps2.xml><?xml version="1.0" encoding="utf-8"?>
<ds:datastoreItem xmlns:ds="http://schemas.openxmlformats.org/officeDocument/2006/customXml" ds:itemID="{4F9C5C17-0DF6-455E-B8EC-D423FDEA2141}">
  <ds:schemaRefs/>
</ds:datastoreItem>
</file>

<file path=customXml/itemProps3.xml><?xml version="1.0" encoding="utf-8"?>
<ds:datastoreItem xmlns:ds="http://schemas.openxmlformats.org/officeDocument/2006/customXml" ds:itemID="{EF278816-EC6F-A645-907D-7F25AECB1D4A}">
  <ds:schemaRefs/>
</ds:datastoreItem>
</file>

<file path=customXml/itemProps4.xml><?xml version="1.0" encoding="utf-8"?>
<ds:datastoreItem xmlns:ds="http://schemas.openxmlformats.org/officeDocument/2006/customXml" ds:itemID="{69FF5319-B54E-46FB-84AD-E464747B8051}">
  <ds:schemaRefs/>
</ds:datastoreItem>
</file>

<file path=docProps/app.xml><?xml version="1.0" encoding="utf-8"?>
<Properties xmlns="http://schemas.openxmlformats.org/officeDocument/2006/extended-properties" xmlns:vt="http://schemas.openxmlformats.org/officeDocument/2006/docPropsVTypes">
  <Template>Normal</Template>
  <Pages>4</Pages>
  <Words>1210</Words>
  <Characters>6899</Characters>
  <Lines>57</Lines>
  <Paragraphs>16</Paragraphs>
  <TotalTime>67</TotalTime>
  <ScaleCrop>false</ScaleCrop>
  <LinksUpToDate>false</LinksUpToDate>
  <CharactersWithSpaces>8093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Abul Kalam</cp:lastModifiedBy>
  <dcterms:modified xsi:type="dcterms:W3CDTF">2025-10-21T04:43:53Z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e2e01efb-c583-4d37-85fb-c2aada56a235</vt:lpwstr>
  </property>
  <property fmtid="{D5CDD505-2E9C-101B-9397-08002B2CF9AE}" pid="3" name="ContentTypeId">
    <vt:lpwstr>0x0101002A2DB23D81B146548380C2D46D076609009D5C735E9C5C40BA8F540C95FEB39FB600CF12336B10CF2E4BA0ADD6DB556B5D26</vt:lpwstr>
  </property>
  <property fmtid="{D5CDD505-2E9C-101B-9397-08002B2CF9AE}" pid="4" name="NGOOnlinePriorityGroup">
    <vt:lpwstr/>
  </property>
  <property fmtid="{D5CDD505-2E9C-101B-9397-08002B2CF9AE}" pid="5" name="NGOOnlineKeywords">
    <vt:lpwstr/>
  </property>
  <property fmtid="{D5CDD505-2E9C-101B-9397-08002B2CF9AE}" pid="6" name="NGOOnlineDocumentType">
    <vt:lpwstr/>
  </property>
  <property fmtid="{D5CDD505-2E9C-101B-9397-08002B2CF9AE}" pid="7" name="p75d8c1866154d169f9787e2f8ad3758">
    <vt:lpwstr/>
  </property>
  <property fmtid="{D5CDD505-2E9C-101B-9397-08002B2CF9AE}" pid="8" name="Order">
    <vt:r8>46900</vt:r8>
  </property>
  <property fmtid="{D5CDD505-2E9C-101B-9397-08002B2CF9AE}" pid="9" name="URL">
    <vt:lpwstr/>
  </property>
  <property fmtid="{D5CDD505-2E9C-101B-9397-08002B2CF9AE}" pid="10" name="xd_Signature">
    <vt:bool>false</vt:bool>
  </property>
  <property fmtid="{D5CDD505-2E9C-101B-9397-08002B2CF9AE}" pid="11" name="NGOOnlineDocumentOwner">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y fmtid="{D5CDD505-2E9C-101B-9397-08002B2CF9AE}" pid="18" name="KSOProductBuildVer">
    <vt:lpwstr>1033-12.2.0.22549</vt:lpwstr>
  </property>
  <property fmtid="{D5CDD505-2E9C-101B-9397-08002B2CF9AE}" pid="19" name="ICV">
    <vt:lpwstr>13A562ED874E4354894B44BDE02047CA_13</vt:lpwstr>
  </property>
</Properties>
</file>