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6582B" w14:textId="77777777" w:rsidR="004F3E9D" w:rsidRPr="008B3CCC" w:rsidRDefault="004F3E9D" w:rsidP="00C54B6B">
      <w:pPr>
        <w:pStyle w:val="BodyTextIndent2"/>
        <w:tabs>
          <w:tab w:val="left" w:pos="720"/>
        </w:tabs>
        <w:spacing w:line="276" w:lineRule="auto"/>
        <w:ind w:firstLine="0"/>
        <w:jc w:val="center"/>
        <w:rPr>
          <w:rFonts w:eastAsia="ＭＳ Ｐゴシック"/>
          <w:b/>
          <w:color w:val="000000"/>
          <w:sz w:val="28"/>
          <w:szCs w:val="28"/>
          <w:u w:val="single"/>
          <w:lang w:val="en-GB"/>
        </w:rPr>
      </w:pPr>
      <w:r w:rsidRPr="008B3CCC">
        <w:rPr>
          <w:rFonts w:eastAsia="ＭＳ Ｐゴシック"/>
          <w:b/>
          <w:color w:val="000000"/>
          <w:sz w:val="28"/>
          <w:szCs w:val="28"/>
          <w:u w:val="single"/>
          <w:lang w:val="en-GB"/>
        </w:rPr>
        <w:t>Terms of References (</w:t>
      </w:r>
      <w:proofErr w:type="spellStart"/>
      <w:r w:rsidRPr="008B3CCC">
        <w:rPr>
          <w:rFonts w:eastAsia="ＭＳ Ｐゴシック"/>
          <w:b/>
          <w:color w:val="000000"/>
          <w:sz w:val="28"/>
          <w:szCs w:val="28"/>
          <w:u w:val="single"/>
          <w:lang w:val="en-GB"/>
        </w:rPr>
        <w:t>ToR</w:t>
      </w:r>
      <w:proofErr w:type="spellEnd"/>
      <w:r w:rsidRPr="008B3CCC">
        <w:rPr>
          <w:rFonts w:eastAsia="ＭＳ Ｐゴシック"/>
          <w:b/>
          <w:color w:val="000000"/>
          <w:sz w:val="28"/>
          <w:szCs w:val="28"/>
          <w:u w:val="single"/>
          <w:lang w:val="en-GB"/>
        </w:rPr>
        <w:t>)</w:t>
      </w:r>
    </w:p>
    <w:p w14:paraId="07A16628" w14:textId="77777777" w:rsidR="004F3E9D" w:rsidRPr="008B3CCC" w:rsidRDefault="004F3E9D" w:rsidP="00C54B6B">
      <w:pPr>
        <w:pStyle w:val="BodyTextIndent2"/>
        <w:tabs>
          <w:tab w:val="left" w:pos="720"/>
        </w:tabs>
        <w:spacing w:line="276" w:lineRule="auto"/>
        <w:jc w:val="center"/>
        <w:rPr>
          <w:rFonts w:eastAsia="ＭＳ Ｐゴシック"/>
          <w:b/>
          <w:color w:val="000000"/>
          <w:sz w:val="22"/>
          <w:szCs w:val="22"/>
          <w:u w:val="single"/>
          <w:lang w:val="en-GB"/>
        </w:rPr>
      </w:pPr>
    </w:p>
    <w:p w14:paraId="55D8BBCF" w14:textId="664DA4FA" w:rsidR="004F3E9D" w:rsidRPr="008B3CCC" w:rsidRDefault="004F3E9D" w:rsidP="00C54B6B">
      <w:pPr>
        <w:pStyle w:val="BodyTextIndent2"/>
        <w:tabs>
          <w:tab w:val="left" w:pos="720"/>
        </w:tabs>
        <w:spacing w:line="276" w:lineRule="auto"/>
        <w:ind w:firstLine="0"/>
        <w:jc w:val="left"/>
        <w:rPr>
          <w:rFonts w:eastAsia="ＭＳ Ｐゴシック"/>
          <w:color w:val="000000"/>
          <w:sz w:val="22"/>
          <w:szCs w:val="22"/>
          <w:lang w:val="en-GB"/>
        </w:rPr>
      </w:pPr>
      <w:r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>1. T</w:t>
      </w:r>
      <w:r w:rsidR="007143B9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>itle</w:t>
      </w:r>
      <w:r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>:</w:t>
      </w:r>
      <w:r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ab/>
      </w:r>
      <w:r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ab/>
      </w:r>
      <w:r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ab/>
      </w:r>
      <w:r w:rsidR="00EB3870" w:rsidRPr="008B3CCC">
        <w:rPr>
          <w:rFonts w:eastAsia="ＭＳ Ｐゴシック"/>
          <w:color w:val="000000"/>
          <w:sz w:val="22"/>
          <w:szCs w:val="22"/>
          <w:lang w:val="en-GB"/>
        </w:rPr>
        <w:t>Knowledge</w:t>
      </w:r>
      <w:r w:rsidRPr="008B3CCC">
        <w:rPr>
          <w:rFonts w:eastAsia="ＭＳ Ｐゴシック"/>
          <w:color w:val="000000"/>
          <w:sz w:val="22"/>
          <w:szCs w:val="22"/>
          <w:lang w:val="en-GB"/>
        </w:rPr>
        <w:t xml:space="preserve"> Management Officer</w:t>
      </w:r>
      <w:r w:rsidR="00DE1295" w:rsidRPr="008B3CCC">
        <w:rPr>
          <w:rFonts w:eastAsia="ＭＳ Ｐゴシック"/>
          <w:color w:val="000000"/>
          <w:sz w:val="22"/>
          <w:szCs w:val="22"/>
          <w:lang w:val="en-GB"/>
        </w:rPr>
        <w:t xml:space="preserve"> (KMO)</w:t>
      </w:r>
      <w:r w:rsidR="00B345B9">
        <w:rPr>
          <w:rFonts w:eastAsia="ＭＳ Ｐゴシック"/>
          <w:color w:val="000000"/>
          <w:sz w:val="22"/>
          <w:szCs w:val="22"/>
          <w:lang w:val="en-GB"/>
        </w:rPr>
        <w:t xml:space="preserve"> for ELCG</w:t>
      </w:r>
      <w:r w:rsidRPr="008B3CCC">
        <w:rPr>
          <w:rFonts w:eastAsia="ＭＳ Ｐゴシック"/>
          <w:color w:val="000000"/>
          <w:sz w:val="22"/>
          <w:szCs w:val="22"/>
          <w:lang w:val="en-GB"/>
        </w:rPr>
        <w:br/>
      </w:r>
    </w:p>
    <w:p w14:paraId="76A9E5A3" w14:textId="2969225C" w:rsidR="00EA3AD0" w:rsidRPr="008B3CCC" w:rsidRDefault="004F3E9D" w:rsidP="00C54B6B">
      <w:pPr>
        <w:pStyle w:val="BodyTextIndent2"/>
        <w:tabs>
          <w:tab w:val="left" w:pos="720"/>
        </w:tabs>
        <w:spacing w:line="276" w:lineRule="auto"/>
        <w:ind w:left="2880" w:hanging="2880"/>
        <w:jc w:val="left"/>
        <w:rPr>
          <w:rFonts w:eastAsia="ＭＳ Ｐゴシック"/>
          <w:color w:val="000000"/>
          <w:sz w:val="22"/>
          <w:szCs w:val="22"/>
          <w:lang w:val="en-GB"/>
        </w:rPr>
      </w:pPr>
      <w:r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>2.</w:t>
      </w:r>
      <w:r w:rsidR="00EA3AD0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 xml:space="preserve"> </w:t>
      </w:r>
      <w:r w:rsidR="007143B9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>Organisation</w:t>
      </w:r>
      <w:r w:rsidR="00EA3AD0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>:</w:t>
      </w:r>
      <w:r w:rsidR="00EA3AD0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ab/>
      </w:r>
      <w:r w:rsidR="00EA3AD0" w:rsidRPr="008B3CCC">
        <w:rPr>
          <w:rFonts w:eastAsia="ＭＳ Ｐゴシック"/>
          <w:color w:val="000000"/>
          <w:sz w:val="22"/>
          <w:szCs w:val="22"/>
          <w:lang w:val="en-GB"/>
        </w:rPr>
        <w:t xml:space="preserve">This post is </w:t>
      </w:r>
      <w:r w:rsidR="00E623FB" w:rsidRPr="008B3CCC">
        <w:rPr>
          <w:rFonts w:eastAsia="ＭＳ Ｐゴシック"/>
          <w:color w:val="000000"/>
          <w:sz w:val="22"/>
          <w:szCs w:val="22"/>
          <w:lang w:val="en-GB"/>
        </w:rPr>
        <w:t xml:space="preserve">created </w:t>
      </w:r>
      <w:r w:rsidR="00EA3AD0" w:rsidRPr="008B3CCC">
        <w:rPr>
          <w:rFonts w:eastAsia="ＭＳ Ｐゴシック"/>
          <w:color w:val="000000"/>
          <w:sz w:val="22"/>
          <w:szCs w:val="22"/>
          <w:lang w:val="en-GB"/>
        </w:rPr>
        <w:t xml:space="preserve">to support the </w:t>
      </w:r>
      <w:r w:rsidR="00704D8A" w:rsidRPr="008B3CCC">
        <w:rPr>
          <w:rFonts w:eastAsia="ＭＳ Ｐゴシック"/>
          <w:color w:val="000000"/>
          <w:sz w:val="22"/>
          <w:szCs w:val="22"/>
          <w:lang w:val="en-GB"/>
        </w:rPr>
        <w:t xml:space="preserve">task of </w:t>
      </w:r>
      <w:r w:rsidR="00EA3AD0" w:rsidRPr="008B3CCC">
        <w:rPr>
          <w:rFonts w:eastAsia="ＭＳ Ｐゴシック"/>
          <w:color w:val="000000"/>
          <w:sz w:val="22"/>
          <w:szCs w:val="22"/>
          <w:lang w:val="en-GB"/>
        </w:rPr>
        <w:t xml:space="preserve">Education Local Consultative Group (ELCG). </w:t>
      </w:r>
      <w:r w:rsidR="00C55F23" w:rsidRPr="008B3CCC">
        <w:rPr>
          <w:rFonts w:eastAsia="ＭＳ Ｐゴシック"/>
          <w:color w:val="000000"/>
          <w:sz w:val="22"/>
          <w:szCs w:val="22"/>
          <w:lang w:val="en-GB"/>
        </w:rPr>
        <w:t>This post</w:t>
      </w:r>
      <w:r w:rsidR="00EA3AD0" w:rsidRPr="008B3CCC">
        <w:rPr>
          <w:rFonts w:eastAsia="ＭＳ Ｐゴシック"/>
          <w:color w:val="000000"/>
          <w:sz w:val="22"/>
          <w:szCs w:val="22"/>
          <w:lang w:val="en-GB"/>
        </w:rPr>
        <w:t xml:space="preserve"> is funded by </w:t>
      </w:r>
      <w:r w:rsidR="00B345B9">
        <w:rPr>
          <w:rFonts w:eastAsia="ＭＳ Ｐゴシック"/>
          <w:color w:val="000000"/>
          <w:sz w:val="22"/>
          <w:szCs w:val="22"/>
          <w:lang w:val="en-GB"/>
        </w:rPr>
        <w:t>JICA Bangladesh Office for the contracted</w:t>
      </w:r>
      <w:r w:rsidR="008241BB" w:rsidRPr="008B3CCC">
        <w:rPr>
          <w:rFonts w:eastAsia="ＭＳ Ｐゴシック"/>
          <w:color w:val="000000"/>
          <w:sz w:val="22"/>
          <w:szCs w:val="22"/>
          <w:lang w:val="en-GB"/>
        </w:rPr>
        <w:t xml:space="preserve"> period</w:t>
      </w:r>
      <w:r w:rsidR="00EA3AD0" w:rsidRPr="008B3CCC">
        <w:rPr>
          <w:rFonts w:eastAsia="ＭＳ Ｐゴシック"/>
          <w:color w:val="000000"/>
          <w:sz w:val="22"/>
          <w:szCs w:val="22"/>
          <w:lang w:val="en-GB"/>
        </w:rPr>
        <w:t>.</w:t>
      </w:r>
    </w:p>
    <w:p w14:paraId="6EDB9E91" w14:textId="77777777" w:rsidR="00EA3AD0" w:rsidRPr="008B3CCC" w:rsidRDefault="00EA3AD0" w:rsidP="00C54B6B">
      <w:pPr>
        <w:pStyle w:val="BodyTextIndent2"/>
        <w:tabs>
          <w:tab w:val="left" w:pos="720"/>
        </w:tabs>
        <w:spacing w:line="276" w:lineRule="auto"/>
        <w:ind w:firstLine="0"/>
        <w:jc w:val="left"/>
        <w:rPr>
          <w:rFonts w:eastAsia="ＭＳ Ｐゴシック"/>
          <w:b/>
          <w:bCs/>
          <w:color w:val="000000"/>
          <w:sz w:val="22"/>
          <w:szCs w:val="22"/>
          <w:lang w:val="en-GB"/>
        </w:rPr>
      </w:pPr>
    </w:p>
    <w:p w14:paraId="7A5F005B" w14:textId="39601C13" w:rsidR="004F3E9D" w:rsidRPr="008B3CCC" w:rsidRDefault="00EA3AD0" w:rsidP="00C54B6B">
      <w:pPr>
        <w:pStyle w:val="BodyTextIndent2"/>
        <w:tabs>
          <w:tab w:val="left" w:pos="720"/>
        </w:tabs>
        <w:spacing w:line="276" w:lineRule="auto"/>
        <w:ind w:firstLine="0"/>
        <w:jc w:val="left"/>
        <w:rPr>
          <w:rFonts w:eastAsia="ＭＳ Ｐゴシック"/>
          <w:b/>
          <w:bCs/>
          <w:color w:val="000000"/>
          <w:sz w:val="22"/>
          <w:szCs w:val="22"/>
          <w:lang w:val="en-GB"/>
        </w:rPr>
      </w:pPr>
      <w:r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 xml:space="preserve">3. </w:t>
      </w:r>
      <w:r w:rsidR="004F3E9D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>C</w:t>
      </w:r>
      <w:r w:rsidR="007143B9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>ontract period</w:t>
      </w:r>
      <w:r w:rsidR="004F3E9D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>:</w:t>
      </w:r>
      <w:r w:rsidR="007143B9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ab/>
      </w:r>
      <w:r w:rsidR="004F3E9D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ab/>
      </w:r>
      <w:r w:rsidR="00C549D0">
        <w:rPr>
          <w:rFonts w:eastAsia="ＭＳ Ｐゴシック"/>
          <w:color w:val="000000"/>
          <w:sz w:val="22"/>
          <w:szCs w:val="22"/>
          <w:lang w:val="en-GB"/>
        </w:rPr>
        <w:t>01 February 2021 to 31 March 2022</w:t>
      </w:r>
      <w:r w:rsidR="004F3E9D" w:rsidRPr="008B3CCC">
        <w:rPr>
          <w:rFonts w:eastAsia="ＭＳ Ｐゴシック"/>
          <w:color w:val="000000"/>
          <w:sz w:val="22"/>
          <w:szCs w:val="22"/>
          <w:lang w:val="en-GB"/>
        </w:rPr>
        <w:br/>
      </w:r>
    </w:p>
    <w:p w14:paraId="299DA19D" w14:textId="77777777" w:rsidR="004F3E9D" w:rsidRPr="008B3CCC" w:rsidRDefault="00EA3AD0" w:rsidP="00C54B6B">
      <w:pPr>
        <w:pStyle w:val="BodyTextIndent2"/>
        <w:tabs>
          <w:tab w:val="left" w:pos="720"/>
        </w:tabs>
        <w:spacing w:line="276" w:lineRule="auto"/>
        <w:ind w:firstLine="0"/>
        <w:jc w:val="left"/>
        <w:rPr>
          <w:rFonts w:eastAsia="ＭＳ Ｐゴシック"/>
          <w:color w:val="000000"/>
          <w:sz w:val="22"/>
          <w:szCs w:val="22"/>
          <w:lang w:val="en-GB"/>
        </w:rPr>
      </w:pPr>
      <w:r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>4</w:t>
      </w:r>
      <w:r w:rsidR="004F3E9D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>. Post Location:</w:t>
      </w:r>
      <w:r w:rsidR="004F3E9D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ab/>
      </w:r>
      <w:r w:rsidR="004F3E9D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ab/>
      </w:r>
      <w:r w:rsidR="004F3E9D" w:rsidRPr="008B3CCC">
        <w:rPr>
          <w:rFonts w:eastAsia="ＭＳ Ｐゴシック"/>
          <w:color w:val="000000"/>
          <w:sz w:val="22"/>
          <w:szCs w:val="22"/>
          <w:lang w:val="en-GB"/>
        </w:rPr>
        <w:t>Dhaka, Bangladesh</w:t>
      </w:r>
    </w:p>
    <w:p w14:paraId="1F4DD5EF" w14:textId="77777777" w:rsidR="004F3E9D" w:rsidRPr="008B3CCC" w:rsidRDefault="004F3E9D" w:rsidP="00C54B6B">
      <w:pPr>
        <w:pStyle w:val="BodyTextIndent2"/>
        <w:tabs>
          <w:tab w:val="left" w:pos="720"/>
        </w:tabs>
        <w:spacing w:line="276" w:lineRule="auto"/>
        <w:ind w:firstLine="0"/>
        <w:jc w:val="left"/>
        <w:rPr>
          <w:rFonts w:eastAsia="ＭＳ Ｐゴシック"/>
          <w:color w:val="000000"/>
          <w:sz w:val="22"/>
          <w:szCs w:val="22"/>
          <w:lang w:val="en-GB"/>
        </w:rPr>
      </w:pPr>
    </w:p>
    <w:p w14:paraId="0814F9C2" w14:textId="40AA274B" w:rsidR="004F3E9D" w:rsidRPr="008B3CCC" w:rsidRDefault="00EA3AD0" w:rsidP="00C54B6B">
      <w:pPr>
        <w:pStyle w:val="BodyTextIndent2"/>
        <w:tabs>
          <w:tab w:val="left" w:pos="720"/>
        </w:tabs>
        <w:spacing w:line="276" w:lineRule="auto"/>
        <w:ind w:firstLine="0"/>
        <w:jc w:val="left"/>
        <w:rPr>
          <w:rFonts w:eastAsia="ＭＳ Ｐゴシック"/>
          <w:color w:val="000000"/>
          <w:sz w:val="22"/>
          <w:szCs w:val="22"/>
          <w:lang w:val="en-GB"/>
        </w:rPr>
      </w:pPr>
      <w:r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>5</w:t>
      </w:r>
      <w:r w:rsidR="004F3E9D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>. Supervisor:</w:t>
      </w:r>
      <w:r w:rsidR="004F3E9D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ab/>
      </w:r>
      <w:r w:rsidR="004F3E9D" w:rsidRPr="008B3CCC">
        <w:rPr>
          <w:rFonts w:eastAsia="ＭＳ Ｐゴシック"/>
          <w:b/>
          <w:bCs/>
          <w:color w:val="000000"/>
          <w:sz w:val="22"/>
          <w:szCs w:val="22"/>
          <w:lang w:val="en-GB"/>
        </w:rPr>
        <w:tab/>
      </w:r>
      <w:r w:rsidR="004F3E9D" w:rsidRPr="008B3CCC">
        <w:rPr>
          <w:rFonts w:eastAsia="ＭＳ Ｐゴシック"/>
          <w:color w:val="000000"/>
          <w:sz w:val="22"/>
          <w:szCs w:val="22"/>
          <w:lang w:val="en-GB"/>
        </w:rPr>
        <w:t>ELCG Co-Chair</w:t>
      </w:r>
      <w:r w:rsidRPr="008B3CCC">
        <w:rPr>
          <w:rFonts w:eastAsia="ＭＳ Ｐゴシック"/>
          <w:color w:val="000000"/>
          <w:sz w:val="22"/>
          <w:szCs w:val="22"/>
          <w:lang w:val="en-GB"/>
        </w:rPr>
        <w:t xml:space="preserve"> to supervise </w:t>
      </w:r>
      <w:r w:rsidR="00D43C30" w:rsidRPr="008B3CCC">
        <w:rPr>
          <w:rFonts w:eastAsia="ＭＳ Ｐゴシック"/>
          <w:color w:val="000000"/>
          <w:sz w:val="22"/>
          <w:szCs w:val="22"/>
          <w:lang w:val="en-GB"/>
        </w:rPr>
        <w:t xml:space="preserve">the </w:t>
      </w:r>
      <w:r w:rsidRPr="008B3CCC">
        <w:rPr>
          <w:rFonts w:eastAsia="ＭＳ Ｐゴシック"/>
          <w:color w:val="000000"/>
          <w:sz w:val="22"/>
          <w:szCs w:val="22"/>
          <w:lang w:val="en-GB"/>
        </w:rPr>
        <w:t>ELCG-related</w:t>
      </w:r>
      <w:r w:rsidR="00B541DA" w:rsidRPr="008B3CCC">
        <w:rPr>
          <w:rFonts w:eastAsia="ＭＳ Ｐゴシック"/>
          <w:color w:val="000000"/>
          <w:sz w:val="22"/>
          <w:szCs w:val="22"/>
          <w:lang w:val="en-GB"/>
        </w:rPr>
        <w:t xml:space="preserve"> </w:t>
      </w:r>
      <w:r w:rsidRPr="008B3CCC">
        <w:rPr>
          <w:rFonts w:eastAsia="ＭＳ Ｐゴシック"/>
          <w:color w:val="000000"/>
          <w:sz w:val="22"/>
          <w:szCs w:val="22"/>
          <w:lang w:val="en-GB"/>
        </w:rPr>
        <w:t>tasks</w:t>
      </w:r>
      <w:r w:rsidR="00704D8A" w:rsidRPr="008B3CCC">
        <w:rPr>
          <w:rFonts w:eastAsia="ＭＳ Ｐゴシック"/>
          <w:color w:val="000000"/>
          <w:sz w:val="22"/>
          <w:szCs w:val="22"/>
          <w:lang w:val="en-GB"/>
        </w:rPr>
        <w:t>;</w:t>
      </w:r>
    </w:p>
    <w:p w14:paraId="27BE4957" w14:textId="4228FAE7" w:rsidR="004F3E9D" w:rsidRPr="008B3CCC" w:rsidRDefault="004F3E9D" w:rsidP="00C54B6B">
      <w:pPr>
        <w:pStyle w:val="BodyTextIndent2"/>
        <w:tabs>
          <w:tab w:val="left" w:pos="720"/>
        </w:tabs>
        <w:spacing w:line="276" w:lineRule="auto"/>
        <w:ind w:firstLine="0"/>
        <w:jc w:val="left"/>
        <w:rPr>
          <w:rFonts w:eastAsia="ＭＳ Ｐゴシック"/>
          <w:color w:val="000000"/>
          <w:sz w:val="22"/>
          <w:szCs w:val="22"/>
          <w:lang w:val="en-GB"/>
        </w:rPr>
      </w:pPr>
      <w:r w:rsidRPr="008B3CCC">
        <w:rPr>
          <w:rFonts w:eastAsia="ＭＳ Ｐゴシック"/>
          <w:color w:val="000000"/>
          <w:sz w:val="22"/>
          <w:szCs w:val="22"/>
          <w:lang w:val="en-GB"/>
        </w:rPr>
        <w:tab/>
      </w:r>
      <w:r w:rsidRPr="008B3CCC">
        <w:rPr>
          <w:rFonts w:eastAsia="ＭＳ Ｐゴシック"/>
          <w:color w:val="000000"/>
          <w:sz w:val="22"/>
          <w:szCs w:val="22"/>
          <w:lang w:val="en-GB"/>
        </w:rPr>
        <w:tab/>
      </w:r>
      <w:r w:rsidRPr="008B3CCC">
        <w:rPr>
          <w:rFonts w:eastAsia="ＭＳ Ｐゴシック"/>
          <w:color w:val="000000"/>
          <w:sz w:val="22"/>
          <w:szCs w:val="22"/>
          <w:lang w:val="en-GB"/>
        </w:rPr>
        <w:tab/>
      </w:r>
      <w:r w:rsidRPr="008B3CCC">
        <w:rPr>
          <w:rFonts w:eastAsia="ＭＳ Ｐゴシック"/>
          <w:color w:val="000000"/>
          <w:sz w:val="22"/>
          <w:szCs w:val="22"/>
          <w:lang w:val="en-GB"/>
        </w:rPr>
        <w:tab/>
      </w:r>
      <w:r w:rsidR="00DF0F89">
        <w:rPr>
          <w:rFonts w:eastAsia="ＭＳ Ｐゴシック"/>
          <w:color w:val="000000"/>
          <w:sz w:val="22"/>
          <w:szCs w:val="22"/>
          <w:lang w:val="en-GB"/>
        </w:rPr>
        <w:t>JICA Bangladesh Office</w:t>
      </w:r>
      <w:r w:rsidR="00D43C30" w:rsidRPr="008B3CCC">
        <w:rPr>
          <w:rFonts w:eastAsia="ＭＳ Ｐゴシック"/>
          <w:color w:val="000000"/>
          <w:sz w:val="22"/>
          <w:szCs w:val="22"/>
          <w:lang w:val="en-GB"/>
        </w:rPr>
        <w:t xml:space="preserve"> for a</w:t>
      </w:r>
      <w:r w:rsidRPr="008B3CCC">
        <w:rPr>
          <w:rFonts w:eastAsia="ＭＳ Ｐゴシック"/>
          <w:color w:val="000000"/>
          <w:sz w:val="22"/>
          <w:szCs w:val="22"/>
          <w:lang w:val="en-GB"/>
        </w:rPr>
        <w:t>dministrative supervision</w:t>
      </w:r>
    </w:p>
    <w:p w14:paraId="4A105B7B" w14:textId="77777777" w:rsidR="004F3E9D" w:rsidRPr="008B3CCC" w:rsidRDefault="004F3E9D" w:rsidP="00C54B6B">
      <w:pPr>
        <w:pStyle w:val="BodyTextIndent2"/>
        <w:tabs>
          <w:tab w:val="left" w:pos="720"/>
        </w:tabs>
        <w:spacing w:line="276" w:lineRule="auto"/>
        <w:ind w:firstLine="0"/>
        <w:rPr>
          <w:rFonts w:eastAsia="ＭＳ Ｐゴシック"/>
          <w:b/>
          <w:color w:val="000000"/>
          <w:sz w:val="22"/>
          <w:szCs w:val="22"/>
          <w:lang w:val="en-GB"/>
        </w:rPr>
      </w:pPr>
    </w:p>
    <w:p w14:paraId="70926575" w14:textId="77777777" w:rsidR="004F3E9D" w:rsidRPr="008B3CCC" w:rsidRDefault="00704D8A" w:rsidP="00C54B6B">
      <w:pPr>
        <w:pStyle w:val="BodyTextIndent2"/>
        <w:tabs>
          <w:tab w:val="left" w:pos="720"/>
        </w:tabs>
        <w:spacing w:line="276" w:lineRule="auto"/>
        <w:ind w:firstLine="0"/>
        <w:rPr>
          <w:rFonts w:eastAsia="ＭＳ Ｐゴシック"/>
          <w:color w:val="000000"/>
          <w:sz w:val="22"/>
          <w:szCs w:val="22"/>
          <w:lang w:val="en-GB"/>
        </w:rPr>
      </w:pPr>
      <w:r w:rsidRPr="008B3CCC">
        <w:rPr>
          <w:rFonts w:eastAsia="ＭＳ Ｐゴシック"/>
          <w:b/>
          <w:color w:val="000000"/>
          <w:sz w:val="22"/>
          <w:szCs w:val="22"/>
          <w:lang w:val="en-GB"/>
        </w:rPr>
        <w:t>6</w:t>
      </w:r>
      <w:r w:rsidR="004F3E9D" w:rsidRPr="008B3CCC">
        <w:rPr>
          <w:rFonts w:eastAsia="ＭＳ Ｐゴシック"/>
          <w:b/>
          <w:color w:val="000000"/>
          <w:sz w:val="22"/>
          <w:szCs w:val="22"/>
          <w:lang w:val="en-GB"/>
        </w:rPr>
        <w:t xml:space="preserve">. </w:t>
      </w:r>
      <w:r w:rsidR="0004575A" w:rsidRPr="008B3CCC">
        <w:rPr>
          <w:rFonts w:eastAsia="ＭＳ Ｐゴシック"/>
          <w:b/>
          <w:color w:val="000000"/>
          <w:sz w:val="22"/>
          <w:szCs w:val="22"/>
          <w:lang w:val="en-GB"/>
        </w:rPr>
        <w:t>General statement of</w:t>
      </w:r>
      <w:r w:rsidR="007143B9" w:rsidRPr="008B3CCC">
        <w:rPr>
          <w:rFonts w:eastAsia="ＭＳ Ｐゴシック"/>
          <w:b/>
          <w:color w:val="000000"/>
          <w:sz w:val="22"/>
          <w:szCs w:val="22"/>
          <w:lang w:val="en-GB"/>
        </w:rPr>
        <w:t xml:space="preserve"> purpose </w:t>
      </w:r>
      <w:r w:rsidR="0004575A" w:rsidRPr="008B3CCC">
        <w:rPr>
          <w:rFonts w:eastAsia="ＭＳ Ｐゴシック"/>
          <w:b/>
          <w:color w:val="000000"/>
          <w:sz w:val="22"/>
          <w:szCs w:val="22"/>
          <w:lang w:val="en-GB"/>
        </w:rPr>
        <w:t>of</w:t>
      </w:r>
      <w:r w:rsidR="007143B9" w:rsidRPr="008B3CCC">
        <w:rPr>
          <w:rFonts w:eastAsia="ＭＳ Ｐゴシック"/>
          <w:b/>
          <w:color w:val="000000"/>
          <w:sz w:val="22"/>
          <w:szCs w:val="22"/>
          <w:lang w:val="en-GB"/>
        </w:rPr>
        <w:t xml:space="preserve"> the job</w:t>
      </w:r>
      <w:r w:rsidR="004F3E9D" w:rsidRPr="008B3CCC">
        <w:rPr>
          <w:rFonts w:eastAsia="ＭＳ Ｐゴシック"/>
          <w:color w:val="000000"/>
          <w:sz w:val="22"/>
          <w:szCs w:val="22"/>
          <w:lang w:val="en-GB"/>
        </w:rPr>
        <w:t>:</w:t>
      </w:r>
    </w:p>
    <w:p w14:paraId="3B4B294C" w14:textId="77777777" w:rsidR="00E623FB" w:rsidRPr="008B3CCC" w:rsidRDefault="00E623FB" w:rsidP="006D2EE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en-GB"/>
        </w:rPr>
      </w:pPr>
    </w:p>
    <w:p w14:paraId="4D7C22BF" w14:textId="10C531ED" w:rsidR="00050B11" w:rsidRPr="008B3CCC" w:rsidRDefault="00C55F23" w:rsidP="00050B11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  <w:szCs w:val="22"/>
          <w:lang w:val="en-GB"/>
        </w:rPr>
      </w:pPr>
      <w:r w:rsidRPr="008B3CCC">
        <w:rPr>
          <w:rFonts w:cs="Arial"/>
          <w:color w:val="000000"/>
          <w:sz w:val="22"/>
          <w:szCs w:val="22"/>
          <w:lang w:val="en-GB"/>
        </w:rPr>
        <w:t>ELCG</w:t>
      </w:r>
      <w:r w:rsidR="00E623FB" w:rsidRPr="008B3CCC">
        <w:rPr>
          <w:rFonts w:cs="Arial"/>
          <w:color w:val="000000"/>
          <w:sz w:val="22"/>
          <w:szCs w:val="22"/>
          <w:lang w:val="en-GB"/>
        </w:rPr>
        <w:t xml:space="preserve"> provides a </w:t>
      </w:r>
      <w:r w:rsidRPr="008B3CCC">
        <w:rPr>
          <w:rFonts w:cs="Arial"/>
          <w:color w:val="000000"/>
          <w:sz w:val="22"/>
          <w:szCs w:val="22"/>
          <w:lang w:val="en-GB"/>
        </w:rPr>
        <w:t xml:space="preserve">forum for information exchange, </w:t>
      </w:r>
      <w:r w:rsidR="00200D29" w:rsidRPr="008B3CCC">
        <w:rPr>
          <w:rFonts w:cs="Arial"/>
          <w:color w:val="000000"/>
          <w:sz w:val="22"/>
          <w:szCs w:val="22"/>
          <w:lang w:val="en-GB" w:eastAsia="ja-JP"/>
        </w:rPr>
        <w:t xml:space="preserve">policy dialogue, </w:t>
      </w:r>
      <w:r w:rsidRPr="008B3CCC">
        <w:rPr>
          <w:rFonts w:cs="Arial"/>
          <w:color w:val="000000"/>
          <w:sz w:val="22"/>
          <w:szCs w:val="22"/>
          <w:lang w:val="en-GB" w:eastAsia="ja-JP"/>
        </w:rPr>
        <w:t>c</w:t>
      </w:r>
      <w:r w:rsidRPr="008B3CCC">
        <w:rPr>
          <w:rFonts w:cs="Arial"/>
          <w:color w:val="000000"/>
          <w:sz w:val="22"/>
          <w:szCs w:val="22"/>
          <w:lang w:val="en-GB"/>
        </w:rPr>
        <w:t>oordination and collaboration</w:t>
      </w:r>
      <w:r w:rsidR="00200D29" w:rsidRPr="008B3CCC">
        <w:rPr>
          <w:rFonts w:cs="Arial"/>
          <w:color w:val="000000"/>
          <w:sz w:val="22"/>
          <w:szCs w:val="22"/>
          <w:lang w:val="en-GB"/>
        </w:rPr>
        <w:t xml:space="preserve"> in education sector in Bangladesh. Its members include the Government of Bangladesh (</w:t>
      </w:r>
      <w:proofErr w:type="spellStart"/>
      <w:r w:rsidR="00200D29" w:rsidRPr="008B3CCC">
        <w:rPr>
          <w:rFonts w:cs="Arial"/>
          <w:color w:val="000000"/>
          <w:sz w:val="22"/>
          <w:szCs w:val="22"/>
          <w:lang w:val="en-GB"/>
        </w:rPr>
        <w:t>G</w:t>
      </w:r>
      <w:r w:rsidR="00EB3870" w:rsidRPr="008B3CCC">
        <w:rPr>
          <w:rFonts w:cs="Arial"/>
          <w:color w:val="000000"/>
          <w:sz w:val="22"/>
          <w:szCs w:val="22"/>
          <w:lang w:val="en-GB"/>
        </w:rPr>
        <w:t>o</w:t>
      </w:r>
      <w:r w:rsidR="00200D29" w:rsidRPr="008B3CCC">
        <w:rPr>
          <w:rFonts w:cs="Arial"/>
          <w:color w:val="000000"/>
          <w:sz w:val="22"/>
          <w:szCs w:val="22"/>
          <w:lang w:val="en-GB"/>
        </w:rPr>
        <w:t>B</w:t>
      </w:r>
      <w:proofErr w:type="spellEnd"/>
      <w:r w:rsidR="00200D29" w:rsidRPr="008B3CCC">
        <w:rPr>
          <w:rFonts w:cs="Arial"/>
          <w:color w:val="000000"/>
          <w:sz w:val="22"/>
          <w:szCs w:val="22"/>
          <w:lang w:val="en-GB"/>
        </w:rPr>
        <w:t xml:space="preserve">), development partners (DPs) and civil society organisations (CSOs). </w:t>
      </w:r>
      <w:r w:rsidR="00AA5E4E" w:rsidRPr="008B3CCC">
        <w:rPr>
          <w:rFonts w:cs="Arial"/>
          <w:color w:val="000000"/>
          <w:sz w:val="22"/>
          <w:szCs w:val="22"/>
          <w:lang w:val="en-GB"/>
        </w:rPr>
        <w:t xml:space="preserve">The ELCG is led by Chair from </w:t>
      </w:r>
      <w:proofErr w:type="spellStart"/>
      <w:r w:rsidR="00AA5E4E" w:rsidRPr="008B3CCC">
        <w:rPr>
          <w:rFonts w:cs="Arial"/>
          <w:color w:val="000000"/>
          <w:sz w:val="22"/>
          <w:szCs w:val="22"/>
          <w:lang w:val="en-GB"/>
        </w:rPr>
        <w:t>GoB</w:t>
      </w:r>
      <w:proofErr w:type="spellEnd"/>
      <w:r w:rsidR="00AA5E4E" w:rsidRPr="008B3CCC">
        <w:rPr>
          <w:rFonts w:cs="Arial"/>
          <w:color w:val="000000"/>
          <w:sz w:val="22"/>
          <w:szCs w:val="22"/>
          <w:lang w:val="en-GB"/>
        </w:rPr>
        <w:t xml:space="preserve"> and Co-chair from DPs. </w:t>
      </w:r>
      <w:r w:rsidR="00AA5E4E" w:rsidRPr="008B3CCC">
        <w:rPr>
          <w:rFonts w:cs="Arial"/>
          <w:bCs/>
          <w:color w:val="000000"/>
          <w:sz w:val="22"/>
          <w:szCs w:val="22"/>
          <w:lang w:val="en-GB"/>
        </w:rPr>
        <w:t>As of 2020, the Ministry of Primary and Mass Education (</w:t>
      </w:r>
      <w:proofErr w:type="spellStart"/>
      <w:r w:rsidR="00AA5E4E" w:rsidRPr="008B3CCC">
        <w:rPr>
          <w:rFonts w:cs="Arial"/>
          <w:bCs/>
          <w:color w:val="000000"/>
          <w:sz w:val="22"/>
          <w:szCs w:val="22"/>
          <w:lang w:val="en-GB"/>
        </w:rPr>
        <w:t>MoPME</w:t>
      </w:r>
      <w:proofErr w:type="spellEnd"/>
      <w:r w:rsidR="00AA5E4E" w:rsidRPr="008B3CCC">
        <w:rPr>
          <w:rFonts w:cs="Arial"/>
          <w:bCs/>
          <w:color w:val="000000"/>
          <w:sz w:val="22"/>
          <w:szCs w:val="22"/>
          <w:lang w:val="en-GB"/>
        </w:rPr>
        <w:t xml:space="preserve">) is the Chair and the UNICEF is Co-chair of the ELCG. </w:t>
      </w:r>
    </w:p>
    <w:p w14:paraId="2E4DE6EF" w14:textId="7319A766" w:rsidR="000E13E6" w:rsidRPr="008B3CCC" w:rsidRDefault="00050B11" w:rsidP="006D2EED">
      <w:pPr>
        <w:spacing w:before="100" w:beforeAutospacing="1" w:after="100" w:afterAutospacing="1" w:line="276" w:lineRule="auto"/>
        <w:jc w:val="both"/>
        <w:rPr>
          <w:rFonts w:eastAsia="Times New Roman" w:cs="Arial"/>
          <w:color w:val="1E1E1C"/>
          <w:sz w:val="22"/>
          <w:szCs w:val="22"/>
          <w:lang w:eastAsia="ja-JP"/>
        </w:rPr>
      </w:pPr>
      <w:r w:rsidRPr="008B3CCC">
        <w:rPr>
          <w:rFonts w:eastAsia="Times New Roman" w:cs="Arial"/>
          <w:color w:val="1E1E1C"/>
          <w:sz w:val="22"/>
          <w:szCs w:val="22"/>
          <w:lang w:eastAsia="ja-JP"/>
        </w:rPr>
        <w:t xml:space="preserve">Education sector in Bangladesh is rapidly expanding in the context of an economic </w:t>
      </w:r>
      <w:proofErr w:type="spellStart"/>
      <w:r w:rsidRPr="008B3CCC">
        <w:rPr>
          <w:rFonts w:eastAsia="Times New Roman" w:cs="Arial"/>
          <w:color w:val="1E1E1C"/>
          <w:sz w:val="22"/>
          <w:szCs w:val="22"/>
          <w:lang w:eastAsia="ja-JP"/>
        </w:rPr>
        <w:t>upliftment</w:t>
      </w:r>
      <w:proofErr w:type="spellEnd"/>
      <w:r w:rsidRPr="008B3CCC">
        <w:rPr>
          <w:rFonts w:eastAsia="Times New Roman" w:cs="Arial"/>
          <w:color w:val="1E1E1C"/>
          <w:sz w:val="22"/>
          <w:szCs w:val="22"/>
          <w:lang w:eastAsia="ja-JP"/>
        </w:rPr>
        <w:t xml:space="preserve"> towards a middle-income country, the 21</w:t>
      </w:r>
      <w:r w:rsidRPr="008B3CCC">
        <w:rPr>
          <w:rFonts w:eastAsia="Times New Roman" w:cs="Arial"/>
          <w:color w:val="1E1E1C"/>
          <w:sz w:val="22"/>
          <w:szCs w:val="22"/>
          <w:vertAlign w:val="superscript"/>
          <w:lang w:eastAsia="ja-JP"/>
        </w:rPr>
        <w:t>st</w:t>
      </w:r>
      <w:r w:rsidRPr="008B3CCC">
        <w:rPr>
          <w:rFonts w:eastAsia="Times New Roman" w:cs="Arial"/>
          <w:color w:val="1E1E1C"/>
          <w:sz w:val="22"/>
          <w:szCs w:val="22"/>
          <w:lang w:eastAsia="ja-JP"/>
        </w:rPr>
        <w:t xml:space="preserve"> century skills, and the Sustainable Development Goals (SDGs). </w:t>
      </w:r>
      <w:r w:rsidR="00101766" w:rsidRPr="008B3CCC">
        <w:rPr>
          <w:rFonts w:eastAsia="Times New Roman" w:cs="Arial"/>
          <w:color w:val="1E1E1C"/>
          <w:sz w:val="22"/>
          <w:szCs w:val="22"/>
          <w:lang w:eastAsia="ja-JP"/>
        </w:rPr>
        <w:t xml:space="preserve">The </w:t>
      </w:r>
      <w:r w:rsidRPr="008B3CCC">
        <w:rPr>
          <w:rFonts w:eastAsia="Times New Roman" w:cs="Arial"/>
          <w:color w:val="1E1E1C"/>
          <w:sz w:val="22"/>
          <w:szCs w:val="22"/>
          <w:lang w:eastAsia="ja-JP"/>
        </w:rPr>
        <w:t xml:space="preserve">ELCG </w:t>
      </w:r>
      <w:r w:rsidRPr="008B3CCC">
        <w:rPr>
          <w:rFonts w:eastAsia="Times New Roman" w:cs="Arial"/>
          <w:color w:val="000000"/>
          <w:sz w:val="22"/>
          <w:szCs w:val="22"/>
          <w:lang w:eastAsia="ja-JP"/>
        </w:rPr>
        <w:t xml:space="preserve">provides a platform to feed strategic </w:t>
      </w:r>
      <w:r w:rsidR="00DE1295" w:rsidRPr="008B3CCC">
        <w:rPr>
          <w:rFonts w:eastAsia="Times New Roman" w:cs="Arial"/>
          <w:color w:val="000000"/>
          <w:sz w:val="22"/>
          <w:szCs w:val="22"/>
          <w:lang w:eastAsia="ja-JP"/>
        </w:rPr>
        <w:t>support</w:t>
      </w:r>
      <w:r w:rsidRPr="008B3CCC">
        <w:rPr>
          <w:rFonts w:eastAsia="Times New Roman" w:cs="Arial"/>
          <w:color w:val="000000"/>
          <w:sz w:val="22"/>
          <w:szCs w:val="22"/>
          <w:lang w:eastAsia="ja-JP"/>
        </w:rPr>
        <w:t xml:space="preserve"> </w:t>
      </w:r>
      <w:r w:rsidR="00DE1295" w:rsidRPr="008B3CCC">
        <w:rPr>
          <w:rFonts w:eastAsia="Times New Roman" w:cs="Arial"/>
          <w:color w:val="000000"/>
          <w:sz w:val="22"/>
          <w:szCs w:val="22"/>
          <w:lang w:eastAsia="ja-JP"/>
        </w:rPr>
        <w:t xml:space="preserve">on education related issues </w:t>
      </w:r>
      <w:r w:rsidRPr="008B3CCC">
        <w:rPr>
          <w:rFonts w:eastAsia="Times New Roman" w:cs="Arial"/>
          <w:color w:val="000000"/>
          <w:sz w:val="22"/>
          <w:szCs w:val="22"/>
          <w:lang w:eastAsia="ja-JP"/>
        </w:rPr>
        <w:t xml:space="preserve">to the </w:t>
      </w:r>
      <w:proofErr w:type="spellStart"/>
      <w:r w:rsidRPr="008B3CCC">
        <w:rPr>
          <w:rFonts w:eastAsia="Times New Roman" w:cs="Arial"/>
          <w:color w:val="000000"/>
          <w:sz w:val="22"/>
          <w:szCs w:val="22"/>
          <w:lang w:eastAsia="ja-JP"/>
        </w:rPr>
        <w:t>GoB</w:t>
      </w:r>
      <w:proofErr w:type="spellEnd"/>
      <w:r w:rsidRPr="008B3CCC">
        <w:rPr>
          <w:rFonts w:eastAsia="Times New Roman" w:cs="Arial"/>
          <w:color w:val="000000"/>
          <w:sz w:val="22"/>
          <w:szCs w:val="22"/>
          <w:lang w:eastAsia="ja-JP"/>
        </w:rPr>
        <w:t xml:space="preserve"> including the BDF (Bangladesh Development Forum) and the </w:t>
      </w:r>
      <w:r w:rsidRPr="008B3CCC">
        <w:rPr>
          <w:rFonts w:cs="Arial"/>
          <w:color w:val="000000"/>
          <w:sz w:val="22"/>
          <w:szCs w:val="22"/>
          <w:lang w:val="en-GB"/>
        </w:rPr>
        <w:t>Local Consultative Group (</w:t>
      </w:r>
      <w:r w:rsidRPr="008B3CCC">
        <w:rPr>
          <w:rFonts w:eastAsia="Times New Roman" w:cs="Arial"/>
          <w:color w:val="000000"/>
          <w:sz w:val="22"/>
          <w:szCs w:val="22"/>
          <w:lang w:eastAsia="ja-JP"/>
        </w:rPr>
        <w:t>LCG), and serves as Local Education Group (LEG) for international funds.</w:t>
      </w:r>
      <w:r w:rsidR="000C6636" w:rsidRPr="008B3CCC">
        <w:rPr>
          <w:rFonts w:eastAsia="Times New Roman" w:cs="Arial"/>
          <w:color w:val="1E1E1C"/>
          <w:sz w:val="22"/>
          <w:szCs w:val="22"/>
          <w:lang w:eastAsia="ja-JP"/>
        </w:rPr>
        <w:t xml:space="preserve"> </w:t>
      </w:r>
      <w:r w:rsidR="000E13E6" w:rsidRPr="008B3CCC">
        <w:rPr>
          <w:rFonts w:eastAsia="Times New Roman" w:cs="Arial"/>
          <w:color w:val="1E1E1C"/>
          <w:sz w:val="22"/>
          <w:szCs w:val="22"/>
          <w:lang w:val="en-GB" w:eastAsia="ja-JP"/>
        </w:rPr>
        <w:t xml:space="preserve">In this context, </w:t>
      </w:r>
      <w:r w:rsidR="0098024A" w:rsidRPr="008B3CCC">
        <w:rPr>
          <w:rFonts w:eastAsia="Times New Roman" w:cs="Arial"/>
          <w:color w:val="1E1E1C"/>
          <w:sz w:val="22"/>
          <w:szCs w:val="22"/>
          <w:lang w:val="en-GB" w:eastAsia="ja-JP"/>
        </w:rPr>
        <w:t xml:space="preserve">secretarial tasks </w:t>
      </w:r>
      <w:r w:rsidR="000E13E6" w:rsidRPr="008B3CCC">
        <w:rPr>
          <w:rFonts w:eastAsia="Times New Roman" w:cs="Arial"/>
          <w:color w:val="1E1E1C"/>
          <w:sz w:val="22"/>
          <w:szCs w:val="22"/>
          <w:lang w:val="en-GB" w:eastAsia="ja-JP"/>
        </w:rPr>
        <w:t xml:space="preserve">for the ELCG </w:t>
      </w:r>
      <w:r w:rsidR="0098024A" w:rsidRPr="008B3CCC">
        <w:rPr>
          <w:rFonts w:eastAsia="Times New Roman" w:cs="Arial"/>
          <w:color w:val="1E1E1C"/>
          <w:sz w:val="22"/>
          <w:szCs w:val="22"/>
          <w:lang w:val="en-GB" w:eastAsia="ja-JP"/>
        </w:rPr>
        <w:t>have enormously increased which demand dedicated support f</w:t>
      </w:r>
      <w:r w:rsidR="00DE1295" w:rsidRPr="008B3CCC">
        <w:rPr>
          <w:rFonts w:eastAsia="Times New Roman" w:cs="Arial"/>
          <w:color w:val="1E1E1C"/>
          <w:sz w:val="22"/>
          <w:szCs w:val="22"/>
          <w:lang w:val="en-GB" w:eastAsia="ja-JP"/>
        </w:rPr>
        <w:t xml:space="preserve">rom </w:t>
      </w:r>
      <w:r w:rsidR="0098024A" w:rsidRPr="008B3CCC">
        <w:rPr>
          <w:rFonts w:eastAsia="Times New Roman" w:cs="Arial"/>
          <w:color w:val="1E1E1C"/>
          <w:sz w:val="22"/>
          <w:szCs w:val="22"/>
          <w:lang w:val="en-GB" w:eastAsia="ja-JP"/>
        </w:rPr>
        <w:t>particularly deployed humane resource</w:t>
      </w:r>
      <w:r w:rsidR="000E13E6" w:rsidRPr="008B3CCC">
        <w:rPr>
          <w:rFonts w:eastAsia="Times New Roman" w:cs="Arial"/>
          <w:color w:val="1E1E1C"/>
          <w:sz w:val="22"/>
          <w:szCs w:val="22"/>
          <w:lang w:val="en-GB" w:eastAsia="ja-JP"/>
        </w:rPr>
        <w:t xml:space="preserve">. This post is created to support </w:t>
      </w:r>
      <w:r w:rsidR="00255D70" w:rsidRPr="008B3CCC">
        <w:rPr>
          <w:rFonts w:eastAsia="Times New Roman" w:cs="Arial"/>
          <w:color w:val="1E1E1C"/>
          <w:sz w:val="22"/>
          <w:szCs w:val="22"/>
          <w:lang w:val="en-GB" w:eastAsia="ja-JP"/>
        </w:rPr>
        <w:t>the secretariat for</w:t>
      </w:r>
      <w:r w:rsidR="000E13E6" w:rsidRPr="008B3CCC">
        <w:rPr>
          <w:rFonts w:eastAsia="Times New Roman" w:cs="Arial"/>
          <w:color w:val="1E1E1C"/>
          <w:sz w:val="22"/>
          <w:szCs w:val="22"/>
          <w:lang w:val="en-GB" w:eastAsia="ja-JP"/>
        </w:rPr>
        <w:t xml:space="preserve"> such tasks of the ELCG.</w:t>
      </w:r>
    </w:p>
    <w:p w14:paraId="7DA127BA" w14:textId="697128AE" w:rsidR="00EB3870" w:rsidRPr="008B3CCC" w:rsidRDefault="00C55F23" w:rsidP="00EB3870">
      <w:pPr>
        <w:spacing w:line="276" w:lineRule="auto"/>
        <w:jc w:val="both"/>
        <w:rPr>
          <w:rFonts w:cs="Arial"/>
          <w:color w:val="000000"/>
          <w:sz w:val="22"/>
          <w:szCs w:val="22"/>
          <w:lang w:val="en-GB"/>
        </w:rPr>
      </w:pPr>
      <w:r w:rsidRPr="008B3CCC">
        <w:rPr>
          <w:rFonts w:cs="Arial"/>
          <w:color w:val="000000"/>
          <w:sz w:val="22"/>
          <w:szCs w:val="22"/>
          <w:lang w:val="en-GB"/>
        </w:rPr>
        <w:t>Under the direct supervision of the ELCG Co-chair</w:t>
      </w:r>
      <w:r w:rsidR="00101766" w:rsidRPr="008B3CCC">
        <w:rPr>
          <w:rFonts w:cs="Arial"/>
          <w:color w:val="000000"/>
          <w:sz w:val="22"/>
          <w:szCs w:val="22"/>
          <w:lang w:val="en-GB"/>
        </w:rPr>
        <w:t>,</w:t>
      </w:r>
      <w:r w:rsidR="00EB3870" w:rsidRPr="008B3CCC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8B3CCC">
        <w:rPr>
          <w:rFonts w:cs="Arial"/>
          <w:color w:val="000000"/>
          <w:sz w:val="22"/>
          <w:szCs w:val="22"/>
          <w:lang w:val="en-GB"/>
        </w:rPr>
        <w:t xml:space="preserve">the </w:t>
      </w:r>
      <w:r w:rsidR="00EB3870" w:rsidRPr="008B3CCC">
        <w:rPr>
          <w:rFonts w:cs="Arial"/>
          <w:color w:val="000000"/>
          <w:sz w:val="22"/>
          <w:szCs w:val="22"/>
          <w:lang w:val="en-GB"/>
        </w:rPr>
        <w:t>Knowledge Management Officer</w:t>
      </w:r>
      <w:r w:rsidRPr="008B3CCC">
        <w:rPr>
          <w:rFonts w:cs="Arial"/>
          <w:color w:val="000000"/>
          <w:sz w:val="22"/>
          <w:szCs w:val="22"/>
          <w:lang w:val="en-GB"/>
        </w:rPr>
        <w:t xml:space="preserve"> </w:t>
      </w:r>
      <w:r w:rsidR="00EB3870" w:rsidRPr="008B3CCC">
        <w:rPr>
          <w:rFonts w:cs="Arial"/>
          <w:color w:val="000000"/>
          <w:sz w:val="22"/>
          <w:szCs w:val="22"/>
          <w:lang w:val="en-GB"/>
        </w:rPr>
        <w:t xml:space="preserve">will assist </w:t>
      </w:r>
      <w:r w:rsidR="00EB3870" w:rsidRPr="008B3CCC">
        <w:rPr>
          <w:rFonts w:cs="Arial"/>
          <w:sz w:val="22"/>
          <w:szCs w:val="22"/>
          <w:lang w:val="en-GB"/>
        </w:rPr>
        <w:t xml:space="preserve">the ELCG in documentation and </w:t>
      </w:r>
      <w:r w:rsidR="00221501" w:rsidRPr="008B3CCC">
        <w:rPr>
          <w:rFonts w:cs="Arial"/>
          <w:sz w:val="22"/>
          <w:szCs w:val="22"/>
          <w:lang w:val="en-GB"/>
        </w:rPr>
        <w:t>K</w:t>
      </w:r>
      <w:r w:rsidR="00EB3870" w:rsidRPr="008B3CCC">
        <w:rPr>
          <w:rFonts w:cs="Arial"/>
          <w:sz w:val="22"/>
          <w:szCs w:val="22"/>
          <w:lang w:val="en-GB"/>
        </w:rPr>
        <w:t xml:space="preserve">nowledge </w:t>
      </w:r>
      <w:r w:rsidR="00221501" w:rsidRPr="008B3CCC">
        <w:rPr>
          <w:rFonts w:cs="Arial"/>
          <w:sz w:val="22"/>
          <w:szCs w:val="22"/>
          <w:lang w:val="en-GB"/>
        </w:rPr>
        <w:t>M</w:t>
      </w:r>
      <w:r w:rsidR="00EB3870" w:rsidRPr="008B3CCC">
        <w:rPr>
          <w:rFonts w:cs="Arial"/>
          <w:sz w:val="22"/>
          <w:szCs w:val="22"/>
          <w:lang w:val="en-GB"/>
        </w:rPr>
        <w:t xml:space="preserve">anagement. S/he will support a coordinated approach to Knowledge </w:t>
      </w:r>
      <w:r w:rsidR="0087290D" w:rsidRPr="008B3CCC">
        <w:rPr>
          <w:rFonts w:cs="Arial"/>
          <w:sz w:val="22"/>
          <w:szCs w:val="22"/>
          <w:lang w:val="en-GB"/>
        </w:rPr>
        <w:t>M</w:t>
      </w:r>
      <w:r w:rsidR="00EB3870" w:rsidRPr="008B3CCC">
        <w:rPr>
          <w:rFonts w:cs="Arial"/>
          <w:sz w:val="22"/>
          <w:szCs w:val="22"/>
          <w:lang w:val="en-GB"/>
        </w:rPr>
        <w:t xml:space="preserve">anagement and assessment activities for an accountable, needs-driven and effective education response. The selected candidate will be responsible for Knowledge </w:t>
      </w:r>
      <w:r w:rsidR="0087290D" w:rsidRPr="008B3CCC">
        <w:rPr>
          <w:rFonts w:cs="Arial"/>
          <w:sz w:val="22"/>
          <w:szCs w:val="22"/>
          <w:lang w:val="en-GB"/>
        </w:rPr>
        <w:t>M</w:t>
      </w:r>
      <w:r w:rsidR="00EB3870" w:rsidRPr="008B3CCC">
        <w:rPr>
          <w:rFonts w:cs="Arial"/>
          <w:sz w:val="22"/>
          <w:szCs w:val="22"/>
          <w:lang w:val="en-GB"/>
        </w:rPr>
        <w:t>anagement coordination activities and needs assessment efforts</w:t>
      </w:r>
      <w:r w:rsidR="00D841A4" w:rsidRPr="008B3CCC">
        <w:rPr>
          <w:rFonts w:cs="Arial"/>
          <w:sz w:val="22"/>
          <w:szCs w:val="22"/>
          <w:lang w:val="en-GB"/>
        </w:rPr>
        <w:t xml:space="preserve"> with proper documentation</w:t>
      </w:r>
      <w:r w:rsidR="00EB3870" w:rsidRPr="008B3CCC">
        <w:rPr>
          <w:rFonts w:cs="Arial"/>
          <w:sz w:val="22"/>
          <w:szCs w:val="22"/>
          <w:lang w:val="en-GB"/>
        </w:rPr>
        <w:t xml:space="preserve">, </w:t>
      </w:r>
      <w:r w:rsidR="0052139D" w:rsidRPr="008B3CCC">
        <w:rPr>
          <w:rFonts w:cs="Arial"/>
          <w:sz w:val="22"/>
          <w:szCs w:val="22"/>
          <w:lang w:val="en-GB"/>
        </w:rPr>
        <w:t>on</w:t>
      </w:r>
      <w:r w:rsidR="00EB3870" w:rsidRPr="008B3CCC">
        <w:rPr>
          <w:rFonts w:cs="Arial"/>
          <w:sz w:val="22"/>
          <w:szCs w:val="22"/>
          <w:lang w:val="en-GB"/>
        </w:rPr>
        <w:t xml:space="preserve"> request </w:t>
      </w:r>
      <w:r w:rsidR="0052139D" w:rsidRPr="008B3CCC">
        <w:rPr>
          <w:rFonts w:cs="Arial"/>
          <w:sz w:val="22"/>
          <w:szCs w:val="22"/>
          <w:lang w:val="en-GB"/>
        </w:rPr>
        <w:t>from</w:t>
      </w:r>
      <w:r w:rsidR="00EB3870" w:rsidRPr="008B3CCC">
        <w:rPr>
          <w:rFonts w:cs="Arial"/>
          <w:sz w:val="22"/>
          <w:szCs w:val="22"/>
          <w:lang w:val="en-GB"/>
        </w:rPr>
        <w:t xml:space="preserve"> the </w:t>
      </w:r>
      <w:r w:rsidR="0087290D" w:rsidRPr="008B3CCC">
        <w:rPr>
          <w:rFonts w:cs="Arial"/>
          <w:sz w:val="22"/>
          <w:szCs w:val="22"/>
          <w:lang w:val="en-GB"/>
        </w:rPr>
        <w:t xml:space="preserve">ELCG </w:t>
      </w:r>
      <w:r w:rsidR="00101766" w:rsidRPr="008B3CCC">
        <w:rPr>
          <w:rFonts w:cs="Arial"/>
          <w:sz w:val="22"/>
          <w:szCs w:val="22"/>
          <w:lang w:val="en-GB"/>
        </w:rPr>
        <w:t xml:space="preserve">Chair and </w:t>
      </w:r>
      <w:r w:rsidR="0087290D" w:rsidRPr="008B3CCC">
        <w:rPr>
          <w:rFonts w:cs="Arial"/>
          <w:sz w:val="22"/>
          <w:szCs w:val="22"/>
          <w:lang w:val="en-GB"/>
        </w:rPr>
        <w:t>Co-chair.</w:t>
      </w:r>
    </w:p>
    <w:p w14:paraId="2A7E00A9" w14:textId="77777777" w:rsidR="00D22330" w:rsidRPr="008B3CCC" w:rsidRDefault="00D22330" w:rsidP="00EB3870">
      <w:pPr>
        <w:jc w:val="both"/>
        <w:rPr>
          <w:rFonts w:ascii="Calibri" w:hAnsi="Calibri" w:cs="Calibri"/>
          <w:b/>
          <w:szCs w:val="20"/>
          <w:u w:val="single"/>
          <w:lang w:val="en-GB"/>
        </w:rPr>
      </w:pPr>
    </w:p>
    <w:p w14:paraId="3EEC1110" w14:textId="7F789720" w:rsidR="00D22330" w:rsidRPr="008B3CCC" w:rsidRDefault="00D22330" w:rsidP="002215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3CCC">
        <w:rPr>
          <w:rFonts w:ascii="Arial" w:hAnsi="Arial" w:cs="Arial"/>
          <w:sz w:val="22"/>
          <w:szCs w:val="22"/>
          <w:lang w:val="en-GB"/>
        </w:rPr>
        <w:t xml:space="preserve">The ELCG aims to strengthen system-wide preparedness and technical capacity to respond to development and humanitarian emergencies, through strong </w:t>
      </w:r>
      <w:r w:rsidR="00A0446B" w:rsidRPr="008B3CCC">
        <w:rPr>
          <w:rFonts w:ascii="Arial" w:hAnsi="Arial" w:cs="Arial"/>
          <w:sz w:val="22"/>
          <w:szCs w:val="22"/>
          <w:lang w:val="en-GB"/>
        </w:rPr>
        <w:t>k</w:t>
      </w:r>
      <w:r w:rsidRPr="008B3CCC">
        <w:rPr>
          <w:rFonts w:ascii="Arial" w:hAnsi="Arial" w:cs="Arial"/>
          <w:sz w:val="22"/>
          <w:szCs w:val="22"/>
          <w:lang w:val="en-GB"/>
        </w:rPr>
        <w:t xml:space="preserve">nowledge </w:t>
      </w:r>
      <w:r w:rsidR="00A0446B" w:rsidRPr="008B3CCC">
        <w:rPr>
          <w:rFonts w:ascii="Arial" w:hAnsi="Arial" w:cs="Arial"/>
          <w:sz w:val="22"/>
          <w:szCs w:val="22"/>
          <w:lang w:val="en-GB"/>
        </w:rPr>
        <w:t>m</w:t>
      </w:r>
      <w:r w:rsidRPr="008B3CCC">
        <w:rPr>
          <w:rFonts w:ascii="Arial" w:hAnsi="Arial" w:cs="Arial"/>
          <w:sz w:val="22"/>
          <w:szCs w:val="22"/>
          <w:lang w:val="en-GB"/>
        </w:rPr>
        <w:t xml:space="preserve">anagement system within the sector. The Knowledge Management Officer </w:t>
      </w:r>
      <w:proofErr w:type="gramStart"/>
      <w:r w:rsidRPr="008B3CCC">
        <w:rPr>
          <w:rFonts w:ascii="Arial" w:hAnsi="Arial" w:cs="Arial"/>
          <w:sz w:val="22"/>
          <w:szCs w:val="22"/>
          <w:lang w:val="en-GB"/>
        </w:rPr>
        <w:t>supports</w:t>
      </w:r>
      <w:proofErr w:type="gramEnd"/>
      <w:r w:rsidRPr="008B3CCC">
        <w:rPr>
          <w:rFonts w:ascii="Arial" w:hAnsi="Arial" w:cs="Arial"/>
          <w:sz w:val="22"/>
          <w:szCs w:val="22"/>
          <w:lang w:val="en-GB"/>
        </w:rPr>
        <w:t xml:space="preserve"> generation of knowledge, including lessons learned, best practices and innovations</w:t>
      </w:r>
      <w:r w:rsidR="00877EC2" w:rsidRPr="008B3CCC">
        <w:rPr>
          <w:rFonts w:ascii="Arial" w:hAnsi="Arial" w:cs="Arial"/>
          <w:sz w:val="22"/>
          <w:szCs w:val="22"/>
          <w:lang w:val="en-GB"/>
        </w:rPr>
        <w:t xml:space="preserve"> of the education sector</w:t>
      </w:r>
      <w:r w:rsidRPr="008B3CCC">
        <w:rPr>
          <w:rFonts w:ascii="Arial" w:hAnsi="Arial" w:cs="Arial"/>
          <w:sz w:val="22"/>
          <w:szCs w:val="22"/>
          <w:lang w:val="en-GB"/>
        </w:rPr>
        <w:t>, to be documented and shared with</w:t>
      </w:r>
      <w:r w:rsidR="00221501" w:rsidRPr="008B3CCC">
        <w:rPr>
          <w:rFonts w:ascii="Arial" w:hAnsi="Arial" w:cs="Arial"/>
          <w:sz w:val="22"/>
          <w:szCs w:val="22"/>
          <w:lang w:val="en-GB"/>
        </w:rPr>
        <w:t>in stakeholders</w:t>
      </w:r>
      <w:r w:rsidRPr="008B3CCC">
        <w:rPr>
          <w:rFonts w:ascii="Arial" w:hAnsi="Arial" w:cs="Arial"/>
          <w:sz w:val="22"/>
          <w:szCs w:val="22"/>
          <w:lang w:val="en-GB"/>
        </w:rPr>
        <w:t>.</w:t>
      </w:r>
    </w:p>
    <w:p w14:paraId="01575919" w14:textId="77777777" w:rsidR="00D22330" w:rsidRPr="008B3CCC" w:rsidRDefault="00D22330" w:rsidP="00EB3870">
      <w:pPr>
        <w:jc w:val="both"/>
        <w:rPr>
          <w:rFonts w:ascii="Calibri" w:hAnsi="Calibri" w:cs="Calibri"/>
          <w:b/>
          <w:szCs w:val="20"/>
          <w:u w:val="single"/>
          <w:lang w:val="en-GB"/>
        </w:rPr>
      </w:pPr>
    </w:p>
    <w:p w14:paraId="0F01D619" w14:textId="3F475465" w:rsidR="00D22330" w:rsidRDefault="00D22330" w:rsidP="00C54B6B">
      <w:pPr>
        <w:pStyle w:val="Title"/>
        <w:spacing w:line="276" w:lineRule="auto"/>
        <w:jc w:val="left"/>
        <w:rPr>
          <w:rFonts w:cs="Arial"/>
          <w:color w:val="000000"/>
          <w:sz w:val="22"/>
          <w:szCs w:val="22"/>
          <w:lang w:val="en-GB"/>
        </w:rPr>
      </w:pPr>
    </w:p>
    <w:p w14:paraId="2E7D8C85" w14:textId="44CC9DC8" w:rsidR="002F5BA3" w:rsidRDefault="002F5BA3" w:rsidP="00C54B6B">
      <w:pPr>
        <w:pStyle w:val="Title"/>
        <w:spacing w:line="276" w:lineRule="auto"/>
        <w:jc w:val="left"/>
        <w:rPr>
          <w:rFonts w:cs="Arial"/>
          <w:color w:val="000000"/>
          <w:sz w:val="22"/>
          <w:szCs w:val="22"/>
          <w:lang w:val="en-GB"/>
        </w:rPr>
      </w:pPr>
    </w:p>
    <w:p w14:paraId="78CDCFA7" w14:textId="77777777" w:rsidR="006C227C" w:rsidRPr="008B3CCC" w:rsidRDefault="006C227C" w:rsidP="00C54B6B">
      <w:pPr>
        <w:pStyle w:val="Title"/>
        <w:spacing w:line="276" w:lineRule="auto"/>
        <w:jc w:val="left"/>
        <w:rPr>
          <w:rFonts w:cs="Arial"/>
          <w:color w:val="000000"/>
          <w:sz w:val="22"/>
          <w:szCs w:val="22"/>
          <w:lang w:val="en-GB"/>
        </w:rPr>
      </w:pPr>
    </w:p>
    <w:p w14:paraId="547F3188" w14:textId="77777777" w:rsidR="00D22330" w:rsidRPr="008B3CCC" w:rsidRDefault="00C55F23" w:rsidP="00221501">
      <w:pPr>
        <w:pStyle w:val="BodyTextIndent2"/>
        <w:tabs>
          <w:tab w:val="left" w:pos="720"/>
        </w:tabs>
        <w:spacing w:line="276" w:lineRule="auto"/>
        <w:ind w:firstLine="0"/>
        <w:rPr>
          <w:rFonts w:eastAsia="ＭＳ Ｐゴシック"/>
          <w:b/>
          <w:color w:val="000000"/>
          <w:sz w:val="22"/>
          <w:szCs w:val="22"/>
          <w:lang w:val="en-GB"/>
        </w:rPr>
      </w:pPr>
      <w:r w:rsidRPr="008B3CCC">
        <w:rPr>
          <w:rFonts w:eastAsia="ＭＳ Ｐゴシック"/>
          <w:b/>
          <w:color w:val="000000"/>
          <w:sz w:val="22"/>
          <w:szCs w:val="22"/>
          <w:lang w:val="en-GB"/>
        </w:rPr>
        <w:lastRenderedPageBreak/>
        <w:t>7. Key function</w:t>
      </w:r>
      <w:r w:rsidR="0004575A" w:rsidRPr="008B3CCC">
        <w:rPr>
          <w:rFonts w:eastAsia="ＭＳ Ｐゴシック"/>
          <w:b/>
          <w:color w:val="000000"/>
          <w:sz w:val="22"/>
          <w:szCs w:val="22"/>
          <w:lang w:val="en-GB"/>
        </w:rPr>
        <w:t>s and</w:t>
      </w:r>
      <w:r w:rsidRPr="008B3CCC">
        <w:rPr>
          <w:rFonts w:eastAsia="ＭＳ Ｐゴシック"/>
          <w:b/>
          <w:color w:val="000000"/>
          <w:sz w:val="22"/>
          <w:szCs w:val="22"/>
          <w:lang w:val="en-GB"/>
        </w:rPr>
        <w:t xml:space="preserve"> accountabilities</w:t>
      </w:r>
    </w:p>
    <w:p w14:paraId="2E9C1971" w14:textId="77777777" w:rsidR="00A8643E" w:rsidRPr="008B3CCC" w:rsidRDefault="00A8643E" w:rsidP="00A8643E">
      <w:pPr>
        <w:pStyle w:val="ListParagraph"/>
        <w:spacing w:line="264" w:lineRule="auto"/>
        <w:ind w:left="0"/>
        <w:jc w:val="both"/>
        <w:rPr>
          <w:rFonts w:ascii="Arial" w:hAnsi="Arial" w:cs="Arial"/>
          <w:color w:val="auto"/>
          <w:szCs w:val="22"/>
          <w:lang w:val="en-GB"/>
        </w:rPr>
      </w:pPr>
    </w:p>
    <w:p w14:paraId="5E8FE72E" w14:textId="7DBCC2A6" w:rsidR="00BF114E" w:rsidRPr="00013610" w:rsidRDefault="00433441" w:rsidP="002F5BA3">
      <w:pPr>
        <w:pStyle w:val="ListParagraph"/>
        <w:numPr>
          <w:ilvl w:val="0"/>
          <w:numId w:val="38"/>
        </w:numPr>
        <w:snapToGrid w:val="0"/>
        <w:spacing w:line="276" w:lineRule="auto"/>
        <w:ind w:left="357" w:hanging="357"/>
        <w:jc w:val="both"/>
        <w:rPr>
          <w:rFonts w:ascii="Arial" w:hAnsi="Arial" w:cs="Arial"/>
          <w:bCs/>
          <w:szCs w:val="22"/>
          <w:lang w:val="en-GB"/>
        </w:rPr>
      </w:pPr>
      <w:bookmarkStart w:id="0" w:name="_Hlk52473750"/>
      <w:r w:rsidRPr="00013610">
        <w:rPr>
          <w:rFonts w:ascii="Arial" w:eastAsia="ＭＳ Ｐゴシック" w:hAnsi="Arial" w:cs="Arial"/>
          <w:bCs/>
          <w:szCs w:val="22"/>
          <w:lang w:eastAsia="ja-JP"/>
        </w:rPr>
        <w:t xml:space="preserve">Under the </w:t>
      </w:r>
      <w:r w:rsidRPr="00013610">
        <w:rPr>
          <w:rFonts w:ascii="Arial" w:hAnsi="Arial" w:cs="Arial"/>
          <w:bCs/>
          <w:szCs w:val="22"/>
          <w:lang w:val="en-GB"/>
        </w:rPr>
        <w:t xml:space="preserve">direct supervision of the </w:t>
      </w:r>
      <w:r w:rsidR="00E54BFF" w:rsidRPr="00013610">
        <w:rPr>
          <w:rFonts w:ascii="Arial" w:hAnsi="Arial" w:cs="Arial"/>
          <w:bCs/>
          <w:szCs w:val="22"/>
          <w:lang w:val="en-GB"/>
        </w:rPr>
        <w:t xml:space="preserve">ELCG Chair and </w:t>
      </w:r>
      <w:r w:rsidRPr="00013610">
        <w:rPr>
          <w:rFonts w:ascii="Arial" w:hAnsi="Arial" w:cs="Arial"/>
          <w:bCs/>
          <w:szCs w:val="22"/>
          <w:lang w:val="en-GB"/>
        </w:rPr>
        <w:t>Co-chair, provide support to the ELCG Secretariat in managing, organizing the ELCG meetings, ELCG Development Partners’ meeting, other ELCG ad</w:t>
      </w:r>
      <w:r w:rsidR="00013610">
        <w:rPr>
          <w:rFonts w:ascii="Arial" w:hAnsi="Arial" w:cs="Arial" w:hint="eastAsia"/>
          <w:bCs/>
          <w:szCs w:val="22"/>
          <w:lang w:val="en-GB" w:eastAsia="ja-JP"/>
        </w:rPr>
        <w:t xml:space="preserve"> </w:t>
      </w:r>
      <w:r w:rsidRPr="00013610">
        <w:rPr>
          <w:rFonts w:ascii="Arial" w:hAnsi="Arial" w:cs="Arial"/>
          <w:bCs/>
          <w:szCs w:val="22"/>
          <w:lang w:val="en-GB"/>
        </w:rPr>
        <w:t xml:space="preserve">hoc meetings related to GPE or sub-Working Group meetings. </w:t>
      </w:r>
    </w:p>
    <w:bookmarkEnd w:id="0"/>
    <w:p w14:paraId="373F9E6B" w14:textId="4D8CF49E" w:rsidR="00433441" w:rsidRPr="00013610" w:rsidRDefault="00433441" w:rsidP="008B3CCC">
      <w:pPr>
        <w:pStyle w:val="ListParagraph"/>
        <w:snapToGrid w:val="0"/>
        <w:spacing w:line="276" w:lineRule="auto"/>
        <w:ind w:left="357"/>
        <w:jc w:val="both"/>
        <w:rPr>
          <w:rFonts w:ascii="Arial" w:hAnsi="Arial" w:cs="Arial"/>
          <w:bCs/>
          <w:szCs w:val="22"/>
          <w:lang w:val="en-GB"/>
        </w:rPr>
      </w:pPr>
    </w:p>
    <w:p w14:paraId="17E30572" w14:textId="77777777" w:rsidR="00D22330" w:rsidRPr="00013610" w:rsidRDefault="00D22330" w:rsidP="00D22330">
      <w:pPr>
        <w:pStyle w:val="ListParagraph"/>
        <w:numPr>
          <w:ilvl w:val="0"/>
          <w:numId w:val="38"/>
        </w:numPr>
        <w:spacing w:line="264" w:lineRule="auto"/>
        <w:jc w:val="both"/>
        <w:rPr>
          <w:rFonts w:ascii="Arial" w:hAnsi="Arial" w:cs="Arial"/>
          <w:bCs/>
          <w:color w:val="auto"/>
          <w:szCs w:val="22"/>
          <w:lang w:val="en-GB"/>
        </w:rPr>
      </w:pPr>
      <w:r w:rsidRPr="00013610">
        <w:rPr>
          <w:rFonts w:ascii="Arial" w:hAnsi="Arial" w:cs="Arial"/>
          <w:bCs/>
          <w:color w:val="auto"/>
          <w:szCs w:val="22"/>
          <w:lang w:val="en-GB"/>
        </w:rPr>
        <w:t>Identify and document lessons learned, best practices and innovations (‘knowledge’) from across the sector response using written documentation, as well as photo and video as appropriate.</w:t>
      </w:r>
    </w:p>
    <w:p w14:paraId="7B54AAD2" w14:textId="77777777" w:rsidR="00A8643E" w:rsidRPr="00013610" w:rsidRDefault="00A8643E" w:rsidP="00A8643E">
      <w:pPr>
        <w:pStyle w:val="ListParagraph"/>
        <w:spacing w:line="264" w:lineRule="auto"/>
        <w:ind w:left="360"/>
        <w:jc w:val="both"/>
        <w:rPr>
          <w:rFonts w:ascii="Arial" w:hAnsi="Arial" w:cs="Arial"/>
          <w:bCs/>
          <w:color w:val="auto"/>
          <w:szCs w:val="22"/>
          <w:lang w:val="en-GB"/>
        </w:rPr>
      </w:pPr>
    </w:p>
    <w:p w14:paraId="7A2A3445" w14:textId="61D8C543" w:rsidR="001D68E1" w:rsidRPr="00013610" w:rsidRDefault="001D68E1" w:rsidP="001D68E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color w:val="auto"/>
          <w:szCs w:val="22"/>
          <w:lang w:val="en-GB"/>
        </w:rPr>
      </w:pPr>
      <w:r w:rsidRPr="00013610">
        <w:rPr>
          <w:rFonts w:ascii="Arial" w:hAnsi="Arial" w:cs="Arial"/>
          <w:bCs/>
          <w:color w:val="auto"/>
          <w:szCs w:val="22"/>
          <w:lang w:val="en-GB"/>
        </w:rPr>
        <w:t xml:space="preserve">Develop </w:t>
      </w:r>
      <w:r w:rsidR="00877EC2" w:rsidRPr="00013610">
        <w:rPr>
          <w:rFonts w:ascii="Arial" w:hAnsi="Arial" w:cs="Arial"/>
          <w:bCs/>
          <w:color w:val="auto"/>
          <w:szCs w:val="22"/>
          <w:lang w:val="en-GB"/>
        </w:rPr>
        <w:t xml:space="preserve">periodical </w:t>
      </w:r>
      <w:r w:rsidRPr="00013610">
        <w:rPr>
          <w:rFonts w:ascii="Arial" w:hAnsi="Arial" w:cs="Arial"/>
          <w:bCs/>
          <w:color w:val="auto"/>
          <w:szCs w:val="22"/>
          <w:lang w:val="en-GB"/>
        </w:rPr>
        <w:t>situation reports and other knowledge products to support the work of the sector</w:t>
      </w:r>
      <w:r w:rsidR="00877EC2" w:rsidRPr="00013610">
        <w:rPr>
          <w:rFonts w:ascii="Arial" w:hAnsi="Arial" w:cs="Arial"/>
          <w:bCs/>
          <w:color w:val="auto"/>
          <w:szCs w:val="22"/>
          <w:lang w:val="en-GB"/>
        </w:rPr>
        <w:t xml:space="preserve"> and to present in ELCG</w:t>
      </w:r>
      <w:r w:rsidR="00AD3A89" w:rsidRPr="00013610">
        <w:rPr>
          <w:rFonts w:ascii="Arial" w:hAnsi="Arial" w:cs="Arial"/>
          <w:bCs/>
          <w:color w:val="auto"/>
          <w:szCs w:val="22"/>
          <w:lang w:val="en-GB"/>
        </w:rPr>
        <w:t xml:space="preserve"> </w:t>
      </w:r>
      <w:r w:rsidR="00877EC2" w:rsidRPr="00013610">
        <w:rPr>
          <w:rFonts w:ascii="Arial" w:hAnsi="Arial" w:cs="Arial"/>
          <w:bCs/>
          <w:color w:val="auto"/>
          <w:szCs w:val="22"/>
          <w:lang w:val="en-GB"/>
        </w:rPr>
        <w:t>platform.</w:t>
      </w:r>
    </w:p>
    <w:p w14:paraId="4024302E" w14:textId="77777777" w:rsidR="001D68E1" w:rsidRPr="00013610" w:rsidRDefault="001D68E1" w:rsidP="001D68E1">
      <w:pPr>
        <w:pStyle w:val="ListParagraph"/>
        <w:rPr>
          <w:rFonts w:ascii="Arial" w:hAnsi="Arial" w:cs="Arial"/>
          <w:bCs/>
          <w:color w:val="auto"/>
          <w:szCs w:val="22"/>
          <w:lang w:val="en-GB"/>
        </w:rPr>
      </w:pPr>
    </w:p>
    <w:p w14:paraId="47592AF4" w14:textId="77777777" w:rsidR="001D68E1" w:rsidRPr="00013610" w:rsidRDefault="001D68E1" w:rsidP="001D68E1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color w:val="auto"/>
          <w:szCs w:val="22"/>
          <w:lang w:val="en-GB"/>
        </w:rPr>
      </w:pPr>
      <w:r w:rsidRPr="00013610">
        <w:rPr>
          <w:rFonts w:ascii="Arial" w:hAnsi="Arial" w:cs="Arial"/>
          <w:bCs/>
          <w:color w:val="auto"/>
          <w:szCs w:val="22"/>
          <w:lang w:val="en-GB"/>
        </w:rPr>
        <w:t xml:space="preserve">Develop products to support advocacy, resource mobilisation efforts, referral pathways, </w:t>
      </w:r>
      <w:r w:rsidR="00E3445D" w:rsidRPr="00013610">
        <w:rPr>
          <w:rFonts w:ascii="Arial" w:hAnsi="Arial" w:cs="Arial" w:hint="eastAsia"/>
          <w:bCs/>
          <w:color w:val="auto"/>
          <w:szCs w:val="22"/>
          <w:lang w:val="en-GB" w:eastAsia="ja-JP"/>
        </w:rPr>
        <w:t xml:space="preserve">information education communication </w:t>
      </w:r>
      <w:r w:rsidRPr="00013610">
        <w:rPr>
          <w:rFonts w:ascii="Arial" w:hAnsi="Arial" w:cs="Arial"/>
          <w:bCs/>
          <w:color w:val="auto"/>
          <w:szCs w:val="22"/>
          <w:lang w:val="en-GB"/>
        </w:rPr>
        <w:t>material, etc.</w:t>
      </w:r>
    </w:p>
    <w:p w14:paraId="42D1AF1A" w14:textId="77777777" w:rsidR="001D68E1" w:rsidRPr="00013610" w:rsidRDefault="001D68E1" w:rsidP="001D68E1">
      <w:pPr>
        <w:pStyle w:val="ListParagraph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Arial" w:hAnsi="Arial" w:cs="Arial"/>
          <w:bCs/>
          <w:color w:val="auto"/>
          <w:szCs w:val="22"/>
          <w:lang w:val="en-GB"/>
        </w:rPr>
      </w:pPr>
    </w:p>
    <w:p w14:paraId="013757D5" w14:textId="77777777" w:rsidR="004A2C5D" w:rsidRPr="00013610" w:rsidRDefault="004A2C5D" w:rsidP="004A2C5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color w:val="auto"/>
          <w:szCs w:val="22"/>
          <w:lang w:val="en-GB"/>
        </w:rPr>
      </w:pPr>
      <w:r w:rsidRPr="00013610">
        <w:rPr>
          <w:rFonts w:ascii="Arial" w:hAnsi="Arial" w:cs="Arial"/>
          <w:bCs/>
          <w:color w:val="auto"/>
          <w:szCs w:val="22"/>
          <w:lang w:val="en-GB"/>
        </w:rPr>
        <w:t>Develop new and innovative ways to share knowledge amongst sector partners.</w:t>
      </w:r>
    </w:p>
    <w:p w14:paraId="4331429F" w14:textId="77777777" w:rsidR="004A2C5D" w:rsidRPr="00013610" w:rsidRDefault="004A2C5D" w:rsidP="004A2C5D">
      <w:pPr>
        <w:pStyle w:val="ListParagraph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Arial" w:hAnsi="Arial" w:cs="Arial"/>
          <w:bCs/>
          <w:color w:val="auto"/>
          <w:szCs w:val="22"/>
          <w:lang w:val="en-GB"/>
        </w:rPr>
      </w:pPr>
    </w:p>
    <w:p w14:paraId="53D5A919" w14:textId="77777777" w:rsidR="004A2C5D" w:rsidRPr="00013610" w:rsidRDefault="00D22330" w:rsidP="004A2C5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color w:val="auto"/>
          <w:szCs w:val="22"/>
          <w:lang w:val="en-GB"/>
        </w:rPr>
      </w:pPr>
      <w:r w:rsidRPr="00013610">
        <w:rPr>
          <w:rFonts w:ascii="Arial" w:hAnsi="Arial" w:cs="Arial"/>
          <w:bCs/>
          <w:color w:val="auto"/>
          <w:szCs w:val="22"/>
          <w:lang w:val="en-GB"/>
        </w:rPr>
        <w:t>Identify and develop mechanisms to share knowledge generated from the country, regional and global levels.</w:t>
      </w:r>
      <w:r w:rsidR="004A2C5D" w:rsidRPr="00013610">
        <w:rPr>
          <w:rFonts w:ascii="Arial" w:hAnsi="Arial" w:cs="Arial"/>
          <w:bCs/>
          <w:color w:val="auto"/>
          <w:szCs w:val="22"/>
          <w:lang w:val="en-GB"/>
        </w:rPr>
        <w:t xml:space="preserve"> </w:t>
      </w:r>
    </w:p>
    <w:p w14:paraId="46C5197F" w14:textId="77777777" w:rsidR="004A2C5D" w:rsidRPr="00013610" w:rsidRDefault="004A2C5D" w:rsidP="004A2C5D">
      <w:pPr>
        <w:pStyle w:val="ListParagraph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Arial" w:hAnsi="Arial" w:cs="Arial"/>
          <w:bCs/>
          <w:color w:val="auto"/>
          <w:szCs w:val="22"/>
          <w:lang w:val="en-GB"/>
        </w:rPr>
      </w:pPr>
    </w:p>
    <w:p w14:paraId="126FE8D1" w14:textId="02D6A3F5" w:rsidR="00A8643E" w:rsidRPr="00013610" w:rsidRDefault="004A2C5D" w:rsidP="004A2C5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color w:val="auto"/>
          <w:szCs w:val="22"/>
          <w:lang w:val="en-GB"/>
        </w:rPr>
      </w:pPr>
      <w:r w:rsidRPr="00013610">
        <w:rPr>
          <w:rFonts w:ascii="Arial" w:hAnsi="Arial" w:cs="Arial"/>
          <w:bCs/>
          <w:color w:val="auto"/>
          <w:szCs w:val="22"/>
          <w:lang w:val="en-GB"/>
        </w:rPr>
        <w:t xml:space="preserve">If required by the ELCG </w:t>
      </w:r>
      <w:r w:rsidR="000C6636" w:rsidRPr="00013610">
        <w:rPr>
          <w:rFonts w:ascii="Arial" w:hAnsi="Arial" w:cs="Arial"/>
          <w:bCs/>
          <w:color w:val="auto"/>
          <w:szCs w:val="22"/>
          <w:lang w:val="en-GB"/>
        </w:rPr>
        <w:t xml:space="preserve">Chair and </w:t>
      </w:r>
      <w:r w:rsidRPr="00013610">
        <w:rPr>
          <w:rFonts w:ascii="Arial" w:hAnsi="Arial" w:cs="Arial"/>
          <w:bCs/>
          <w:color w:val="auto"/>
          <w:szCs w:val="22"/>
          <w:lang w:val="en-GB"/>
        </w:rPr>
        <w:t>Co-chair, c</w:t>
      </w:r>
      <w:r w:rsidR="00D22330" w:rsidRPr="00013610">
        <w:rPr>
          <w:rFonts w:ascii="Arial" w:hAnsi="Arial" w:cs="Arial"/>
          <w:bCs/>
          <w:color w:val="auto"/>
          <w:szCs w:val="22"/>
          <w:lang w:val="en-GB"/>
        </w:rPr>
        <w:t xml:space="preserve">onnect with the </w:t>
      </w:r>
      <w:r w:rsidRPr="00013610">
        <w:rPr>
          <w:rFonts w:ascii="Arial" w:hAnsi="Arial" w:cs="Arial"/>
          <w:bCs/>
          <w:color w:val="auto"/>
          <w:szCs w:val="22"/>
          <w:lang w:val="en-GB"/>
        </w:rPr>
        <w:t xml:space="preserve">relevant </w:t>
      </w:r>
      <w:proofErr w:type="spellStart"/>
      <w:r w:rsidR="00D22330" w:rsidRPr="00013610">
        <w:rPr>
          <w:rFonts w:ascii="Arial" w:hAnsi="Arial" w:cs="Arial"/>
          <w:bCs/>
          <w:color w:val="auto"/>
          <w:szCs w:val="22"/>
          <w:lang w:val="en-GB"/>
        </w:rPr>
        <w:t>GoB</w:t>
      </w:r>
      <w:proofErr w:type="spellEnd"/>
      <w:r w:rsidR="00D22330" w:rsidRPr="00013610">
        <w:rPr>
          <w:rFonts w:ascii="Arial" w:hAnsi="Arial" w:cs="Arial"/>
          <w:bCs/>
          <w:color w:val="auto"/>
          <w:szCs w:val="22"/>
          <w:lang w:val="en-GB"/>
        </w:rPr>
        <w:t xml:space="preserve"> knowledge management platforms to identify opportunities to disseminate knowledge generated </w:t>
      </w:r>
      <w:r w:rsidRPr="00013610">
        <w:rPr>
          <w:rFonts w:ascii="Arial" w:hAnsi="Arial" w:cs="Arial"/>
          <w:bCs/>
          <w:color w:val="auto"/>
          <w:szCs w:val="22"/>
          <w:lang w:val="en-GB"/>
        </w:rPr>
        <w:t>within the ELCG</w:t>
      </w:r>
      <w:r w:rsidR="00D22330" w:rsidRPr="00013610">
        <w:rPr>
          <w:rFonts w:ascii="Arial" w:hAnsi="Arial" w:cs="Arial"/>
          <w:bCs/>
          <w:color w:val="auto"/>
          <w:szCs w:val="22"/>
          <w:lang w:val="en-GB"/>
        </w:rPr>
        <w:t xml:space="preserve">. </w:t>
      </w:r>
    </w:p>
    <w:p w14:paraId="6A435EEF" w14:textId="77777777" w:rsidR="004A2C5D" w:rsidRPr="00013610" w:rsidRDefault="004A2C5D" w:rsidP="004A2C5D">
      <w:pPr>
        <w:pStyle w:val="ListParagraph"/>
        <w:rPr>
          <w:rFonts w:ascii="Arial" w:hAnsi="Arial" w:cs="Arial"/>
          <w:bCs/>
          <w:color w:val="auto"/>
          <w:szCs w:val="22"/>
          <w:lang w:val="en-GB"/>
        </w:rPr>
      </w:pPr>
    </w:p>
    <w:p w14:paraId="359DDBD4" w14:textId="77777777" w:rsidR="004A2C5D" w:rsidRPr="00013610" w:rsidRDefault="004A2C5D" w:rsidP="004A2C5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color w:val="auto"/>
          <w:szCs w:val="22"/>
          <w:lang w:val="en-GB"/>
        </w:rPr>
      </w:pPr>
      <w:r w:rsidRPr="00013610">
        <w:rPr>
          <w:rFonts w:ascii="Arial" w:hAnsi="Arial" w:cs="Arial"/>
          <w:bCs/>
          <w:color w:val="auto"/>
          <w:szCs w:val="22"/>
          <w:lang w:val="en-GB"/>
        </w:rPr>
        <w:t>Ensure knowledge generated by the sector are stored in a safe and effective, and, where required confidential, manner.</w:t>
      </w:r>
    </w:p>
    <w:p w14:paraId="0407282A" w14:textId="77777777" w:rsidR="001D68E1" w:rsidRPr="00013610" w:rsidRDefault="001D68E1" w:rsidP="001D68E1">
      <w:pPr>
        <w:pStyle w:val="ListParagraph"/>
        <w:spacing w:line="276" w:lineRule="auto"/>
        <w:ind w:left="0"/>
        <w:jc w:val="both"/>
        <w:rPr>
          <w:rFonts w:ascii="Arial" w:hAnsi="Arial" w:cs="Arial"/>
          <w:bCs/>
          <w:color w:val="auto"/>
          <w:szCs w:val="22"/>
          <w:lang w:val="en-GB"/>
        </w:rPr>
      </w:pPr>
    </w:p>
    <w:p w14:paraId="03602655" w14:textId="18DA59C6" w:rsidR="00AD3A89" w:rsidRPr="00013610" w:rsidRDefault="00AD3A89" w:rsidP="00AD3A89">
      <w:pPr>
        <w:pStyle w:val="ListParagraph"/>
        <w:numPr>
          <w:ilvl w:val="0"/>
          <w:numId w:val="38"/>
        </w:numPr>
        <w:snapToGrid w:val="0"/>
        <w:spacing w:line="276" w:lineRule="auto"/>
        <w:ind w:left="357" w:hanging="357"/>
        <w:jc w:val="both"/>
        <w:rPr>
          <w:rFonts w:ascii="Arial" w:hAnsi="Arial" w:cs="Arial"/>
          <w:bCs/>
          <w:szCs w:val="22"/>
          <w:lang w:val="en-GB"/>
        </w:rPr>
      </w:pPr>
      <w:r w:rsidRPr="00013610">
        <w:rPr>
          <w:rFonts w:ascii="Arial" w:hAnsi="Arial" w:cs="Arial"/>
          <w:bCs/>
          <w:szCs w:val="22"/>
          <w:lang w:val="en-GB"/>
        </w:rPr>
        <w:t xml:space="preserve">Back up to the IMO in his/her absence. </w:t>
      </w:r>
    </w:p>
    <w:p w14:paraId="0BB2C1F9" w14:textId="77777777" w:rsidR="008B3CCC" w:rsidRPr="00013610" w:rsidRDefault="008B3CCC" w:rsidP="008B3CCC">
      <w:pPr>
        <w:snapToGrid w:val="0"/>
        <w:spacing w:line="276" w:lineRule="auto"/>
        <w:jc w:val="both"/>
        <w:rPr>
          <w:rFonts w:cs="Arial"/>
          <w:bCs/>
          <w:szCs w:val="22"/>
          <w:lang w:val="en-GB"/>
        </w:rPr>
      </w:pPr>
    </w:p>
    <w:p w14:paraId="219C8610" w14:textId="0DF1A0F5" w:rsidR="00D22330" w:rsidRPr="00013610" w:rsidRDefault="00704BEA" w:rsidP="003B2CF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color w:val="auto"/>
          <w:szCs w:val="22"/>
          <w:lang w:val="en-GB"/>
        </w:rPr>
      </w:pPr>
      <w:r w:rsidRPr="00D31F88">
        <w:rPr>
          <w:rFonts w:ascii="Arial" w:hAnsi="Arial" w:cs="Arial"/>
          <w:szCs w:val="22"/>
          <w:lang w:val="en-GB"/>
        </w:rPr>
        <w:t>Perform other related duties as required by the ELCG Co-chair.</w:t>
      </w:r>
    </w:p>
    <w:p w14:paraId="398C1377" w14:textId="33A5D74F" w:rsidR="00585EBC" w:rsidRDefault="00585EBC" w:rsidP="00585EBC">
      <w:pPr>
        <w:spacing w:line="276" w:lineRule="auto"/>
        <w:rPr>
          <w:rFonts w:cs="Arial"/>
          <w:color w:val="000000"/>
          <w:sz w:val="22"/>
          <w:szCs w:val="22"/>
          <w:lang w:val="en-GB"/>
        </w:rPr>
      </w:pPr>
    </w:p>
    <w:p w14:paraId="7C41B5F5" w14:textId="77777777" w:rsidR="00585EBC" w:rsidRPr="00D31F88" w:rsidRDefault="00585EBC" w:rsidP="00585EBC">
      <w:pPr>
        <w:spacing w:line="276" w:lineRule="auto"/>
        <w:rPr>
          <w:rFonts w:cs="Arial"/>
          <w:color w:val="000000"/>
          <w:sz w:val="22"/>
          <w:szCs w:val="22"/>
          <w:lang w:val="en-GB"/>
        </w:rPr>
      </w:pPr>
    </w:p>
    <w:p w14:paraId="4DD3825D" w14:textId="77777777" w:rsidR="00585EBC" w:rsidRDefault="00585EBC" w:rsidP="00585EBC">
      <w:pPr>
        <w:pStyle w:val="BodyTextIndent2"/>
        <w:tabs>
          <w:tab w:val="left" w:pos="720"/>
        </w:tabs>
        <w:spacing w:after="240" w:line="276" w:lineRule="auto"/>
        <w:ind w:firstLine="0"/>
        <w:rPr>
          <w:rFonts w:eastAsia="ＭＳ Ｐゴシック"/>
          <w:b/>
          <w:color w:val="000000"/>
          <w:sz w:val="22"/>
          <w:szCs w:val="22"/>
          <w:lang w:val="en-GB"/>
        </w:rPr>
      </w:pPr>
      <w:r w:rsidRPr="00D31F88">
        <w:rPr>
          <w:rFonts w:eastAsia="ＭＳ Ｐゴシック"/>
          <w:b/>
          <w:color w:val="000000"/>
          <w:sz w:val="22"/>
          <w:szCs w:val="22"/>
          <w:lang w:val="en-GB"/>
        </w:rPr>
        <w:t xml:space="preserve">8. </w:t>
      </w:r>
      <w:r>
        <w:rPr>
          <w:rFonts w:eastAsia="ＭＳ Ｐゴシック"/>
          <w:b/>
          <w:color w:val="000000"/>
          <w:sz w:val="22"/>
          <w:szCs w:val="22"/>
          <w:lang w:val="en-GB"/>
        </w:rPr>
        <w:t>Reporting</w:t>
      </w:r>
    </w:p>
    <w:p w14:paraId="463D0439" w14:textId="77777777" w:rsidR="00585EBC" w:rsidRPr="006A350D" w:rsidRDefault="00585EBC" w:rsidP="00585EBC">
      <w:pPr>
        <w:pStyle w:val="BodyTextIndent2"/>
        <w:numPr>
          <w:ilvl w:val="0"/>
          <w:numId w:val="42"/>
        </w:numPr>
        <w:tabs>
          <w:tab w:val="left" w:pos="720"/>
        </w:tabs>
        <w:spacing w:after="240" w:line="276" w:lineRule="auto"/>
        <w:rPr>
          <w:rFonts w:eastAsia="ＭＳ Ｐゴシック"/>
          <w:color w:val="000000"/>
          <w:sz w:val="22"/>
          <w:szCs w:val="22"/>
          <w:lang w:val="en-GB"/>
        </w:rPr>
      </w:pPr>
      <w:r w:rsidRPr="006A350D">
        <w:rPr>
          <w:rFonts w:eastAsia="ＭＳ Ｐゴシック"/>
          <w:color w:val="000000"/>
          <w:sz w:val="22"/>
          <w:szCs w:val="22"/>
          <w:lang w:val="en-GB"/>
        </w:rPr>
        <w:t>Develop</w:t>
      </w:r>
      <w:r>
        <w:rPr>
          <w:rFonts w:eastAsia="ＭＳ Ｐゴシック"/>
          <w:color w:val="000000"/>
          <w:sz w:val="22"/>
          <w:szCs w:val="22"/>
          <w:lang w:val="en-GB"/>
        </w:rPr>
        <w:t xml:space="preserve"> ELCG </w:t>
      </w:r>
      <w:r w:rsidRPr="006A350D">
        <w:rPr>
          <w:rFonts w:eastAsia="ＭＳ Ｐゴシック"/>
          <w:color w:val="000000"/>
          <w:sz w:val="22"/>
          <w:szCs w:val="22"/>
          <w:lang w:val="en-GB"/>
        </w:rPr>
        <w:t>progress report for JICA</w:t>
      </w:r>
      <w:r>
        <w:rPr>
          <w:rFonts w:eastAsia="ＭＳ Ｐゴシック"/>
          <w:color w:val="000000"/>
          <w:sz w:val="22"/>
          <w:szCs w:val="22"/>
          <w:lang w:val="en-GB"/>
        </w:rPr>
        <w:t xml:space="preserve"> by the end of every month and submit it to JICA within 5 working days of the following month. </w:t>
      </w:r>
    </w:p>
    <w:p w14:paraId="2DD7E1C3" w14:textId="6C92F486" w:rsidR="00585EBC" w:rsidRDefault="00585EBC" w:rsidP="00585EBC">
      <w:pPr>
        <w:pStyle w:val="BodyTextIndent2"/>
        <w:numPr>
          <w:ilvl w:val="0"/>
          <w:numId w:val="42"/>
        </w:numPr>
        <w:tabs>
          <w:tab w:val="left" w:pos="720"/>
        </w:tabs>
        <w:spacing w:after="240" w:line="276" w:lineRule="auto"/>
        <w:rPr>
          <w:rFonts w:eastAsia="ＭＳ Ｐゴシック"/>
          <w:color w:val="000000"/>
          <w:sz w:val="22"/>
          <w:szCs w:val="22"/>
          <w:lang w:val="en-GB"/>
        </w:rPr>
      </w:pPr>
      <w:r>
        <w:rPr>
          <w:rFonts w:eastAsia="ＭＳ Ｐゴシック"/>
          <w:color w:val="000000"/>
          <w:sz w:val="22"/>
          <w:szCs w:val="22"/>
          <w:lang w:val="en-GB"/>
        </w:rPr>
        <w:t>Develop technical analysis, briefing papers, talking points, memos for JICA as requested.</w:t>
      </w:r>
    </w:p>
    <w:p w14:paraId="5CBBA52D" w14:textId="6F0BD2E0" w:rsidR="00585EBC" w:rsidRDefault="00585EBC" w:rsidP="00585EBC">
      <w:pPr>
        <w:pStyle w:val="BodyTextIndent2"/>
        <w:numPr>
          <w:ilvl w:val="0"/>
          <w:numId w:val="42"/>
        </w:numPr>
        <w:tabs>
          <w:tab w:val="left" w:pos="720"/>
        </w:tabs>
        <w:spacing w:after="240" w:line="276" w:lineRule="auto"/>
        <w:rPr>
          <w:rFonts w:eastAsia="ＭＳ Ｐゴシック"/>
          <w:color w:val="000000"/>
          <w:sz w:val="22"/>
          <w:szCs w:val="22"/>
          <w:lang w:val="en-GB"/>
        </w:rPr>
      </w:pPr>
      <w:r>
        <w:rPr>
          <w:rFonts w:eastAsia="ＭＳ Ｐゴシック"/>
          <w:color w:val="000000"/>
          <w:sz w:val="22"/>
          <w:szCs w:val="22"/>
          <w:lang w:val="en-GB"/>
        </w:rPr>
        <w:t>Make recommendations to JICA on technical and policy issues in education issues based on review of evidence-based information/reports, ELCG experiences, observations, professional networking, and judgement.</w:t>
      </w:r>
    </w:p>
    <w:p w14:paraId="4DFCD4A0" w14:textId="77777777" w:rsidR="00585EBC" w:rsidRPr="006A350D" w:rsidRDefault="00585EBC" w:rsidP="00585EBC">
      <w:pPr>
        <w:pStyle w:val="BodyTextIndent2"/>
        <w:numPr>
          <w:ilvl w:val="0"/>
          <w:numId w:val="42"/>
        </w:numPr>
        <w:tabs>
          <w:tab w:val="left" w:pos="720"/>
        </w:tabs>
        <w:spacing w:after="240" w:line="276" w:lineRule="auto"/>
        <w:rPr>
          <w:rFonts w:eastAsia="ＭＳ Ｐゴシック"/>
          <w:color w:val="000000"/>
          <w:sz w:val="22"/>
          <w:szCs w:val="22"/>
          <w:lang w:val="en-GB"/>
        </w:rPr>
      </w:pPr>
      <w:r>
        <w:rPr>
          <w:rFonts w:eastAsia="ＭＳ Ｐゴシック"/>
          <w:color w:val="000000"/>
          <w:sz w:val="22"/>
          <w:szCs w:val="22"/>
          <w:lang w:val="en-GB"/>
        </w:rPr>
        <w:t>Regularly report to the JICA Bangladesh Office, Education Advisor and JICA technical cooperation project.</w:t>
      </w:r>
    </w:p>
    <w:p w14:paraId="1AFD6978" w14:textId="77777777" w:rsidR="00B466A4" w:rsidRPr="008B3CCC" w:rsidRDefault="00B466A4" w:rsidP="00C54B6B">
      <w:pPr>
        <w:spacing w:line="276" w:lineRule="auto"/>
        <w:rPr>
          <w:rFonts w:cs="Arial"/>
          <w:color w:val="000000"/>
          <w:sz w:val="22"/>
          <w:szCs w:val="22"/>
          <w:lang w:val="en-GB"/>
        </w:rPr>
      </w:pPr>
    </w:p>
    <w:p w14:paraId="06C3EB73" w14:textId="6743C65D" w:rsidR="008F00F2" w:rsidRPr="008B3CCC" w:rsidRDefault="00585EBC" w:rsidP="00C54B6B">
      <w:pPr>
        <w:pStyle w:val="BodyTextIndent2"/>
        <w:tabs>
          <w:tab w:val="left" w:pos="720"/>
        </w:tabs>
        <w:spacing w:line="276" w:lineRule="auto"/>
        <w:ind w:firstLine="0"/>
        <w:rPr>
          <w:rFonts w:eastAsia="ＭＳ Ｐゴシック"/>
          <w:color w:val="000000"/>
          <w:sz w:val="22"/>
          <w:szCs w:val="22"/>
          <w:lang w:val="en-GB"/>
        </w:rPr>
      </w:pPr>
      <w:r>
        <w:rPr>
          <w:rFonts w:eastAsia="ＭＳ Ｐゴシック"/>
          <w:b/>
          <w:color w:val="000000"/>
          <w:sz w:val="22"/>
          <w:szCs w:val="22"/>
          <w:lang w:val="en-GB"/>
        </w:rPr>
        <w:t>9</w:t>
      </w:r>
      <w:r w:rsidR="008F00F2" w:rsidRPr="008B3CCC">
        <w:rPr>
          <w:rFonts w:eastAsia="ＭＳ Ｐゴシック"/>
          <w:b/>
          <w:color w:val="000000"/>
          <w:sz w:val="22"/>
          <w:szCs w:val="22"/>
          <w:lang w:val="en-GB"/>
        </w:rPr>
        <w:t>. Recruitment qualifications</w:t>
      </w:r>
    </w:p>
    <w:p w14:paraId="252C5FDD" w14:textId="77777777" w:rsidR="00B466A4" w:rsidRPr="008B3CCC" w:rsidRDefault="00B466A4" w:rsidP="00C54B6B">
      <w:pPr>
        <w:spacing w:line="276" w:lineRule="auto"/>
        <w:rPr>
          <w:rFonts w:cs="Arial"/>
          <w:color w:val="000000"/>
          <w:sz w:val="22"/>
          <w:szCs w:val="22"/>
          <w:lang w:val="en-GB"/>
        </w:rPr>
      </w:pPr>
    </w:p>
    <w:p w14:paraId="326666E5" w14:textId="54C2299B" w:rsidR="003B2CF8" w:rsidRPr="008B3CCC" w:rsidRDefault="00935CC8" w:rsidP="00D536F8">
      <w:pPr>
        <w:spacing w:line="276" w:lineRule="auto"/>
        <w:ind w:left="2160" w:hanging="2160"/>
        <w:jc w:val="both"/>
        <w:rPr>
          <w:rFonts w:cs="Arial"/>
          <w:sz w:val="22"/>
          <w:szCs w:val="22"/>
          <w:lang w:val="en-GB"/>
        </w:rPr>
      </w:pPr>
      <w:r w:rsidRPr="008B3CCC">
        <w:rPr>
          <w:rFonts w:cs="Arial"/>
          <w:color w:val="000000"/>
          <w:sz w:val="22"/>
          <w:szCs w:val="22"/>
          <w:lang w:val="en-GB"/>
        </w:rPr>
        <w:lastRenderedPageBreak/>
        <w:t>Education:</w:t>
      </w:r>
      <w:r w:rsidRPr="008B3CCC">
        <w:rPr>
          <w:rFonts w:cs="Arial"/>
          <w:color w:val="000000"/>
          <w:sz w:val="22"/>
          <w:szCs w:val="22"/>
          <w:lang w:val="en-GB"/>
        </w:rPr>
        <w:tab/>
        <w:t xml:space="preserve">A university degree in social science; </w:t>
      </w:r>
      <w:r w:rsidR="003B2CF8" w:rsidRPr="008B3CCC">
        <w:rPr>
          <w:rFonts w:cs="Arial"/>
          <w:color w:val="000000"/>
          <w:sz w:val="22"/>
          <w:szCs w:val="22"/>
          <w:lang w:val="en-GB"/>
        </w:rPr>
        <w:t>education,</w:t>
      </w:r>
      <w:r w:rsidR="003B2CF8" w:rsidRPr="008B3CCC">
        <w:rPr>
          <w:rFonts w:cs="Arial"/>
          <w:sz w:val="22"/>
          <w:szCs w:val="22"/>
          <w:lang w:val="en-GB"/>
        </w:rPr>
        <w:t xml:space="preserve"> communication, knowledge management, economics, law, computer science, international development, or another relevant field.</w:t>
      </w:r>
    </w:p>
    <w:p w14:paraId="1D862F38" w14:textId="77777777" w:rsidR="00A372D6" w:rsidRPr="008B3CCC" w:rsidRDefault="00A372D6" w:rsidP="00D536F8">
      <w:pPr>
        <w:spacing w:line="276" w:lineRule="auto"/>
        <w:jc w:val="both"/>
        <w:rPr>
          <w:rFonts w:cs="Arial"/>
          <w:color w:val="000000"/>
          <w:sz w:val="22"/>
          <w:szCs w:val="22"/>
          <w:lang w:val="en-GB"/>
        </w:rPr>
      </w:pPr>
    </w:p>
    <w:p w14:paraId="3FCE2A85" w14:textId="77777777" w:rsidR="000D29F9" w:rsidRPr="008B3CCC" w:rsidRDefault="00A372D6" w:rsidP="00D536F8">
      <w:pPr>
        <w:spacing w:line="276" w:lineRule="auto"/>
        <w:ind w:left="1440" w:hanging="1440"/>
        <w:jc w:val="both"/>
        <w:rPr>
          <w:rFonts w:cs="Arial"/>
          <w:color w:val="000000"/>
          <w:sz w:val="22"/>
          <w:szCs w:val="22"/>
          <w:lang w:val="en-GB"/>
        </w:rPr>
      </w:pPr>
      <w:r w:rsidRPr="008B3CCC">
        <w:rPr>
          <w:rFonts w:cs="Arial"/>
          <w:color w:val="000000"/>
          <w:sz w:val="22"/>
          <w:szCs w:val="22"/>
          <w:lang w:val="en-GB"/>
        </w:rPr>
        <w:t>Experience:</w:t>
      </w:r>
      <w:r w:rsidRPr="008B3CCC">
        <w:rPr>
          <w:rFonts w:cs="Arial"/>
          <w:color w:val="000000"/>
          <w:sz w:val="22"/>
          <w:szCs w:val="22"/>
          <w:lang w:val="en-GB"/>
        </w:rPr>
        <w:tab/>
      </w:r>
      <w:r w:rsidRPr="008B3CCC">
        <w:rPr>
          <w:rFonts w:cs="Arial"/>
          <w:b/>
          <w:bCs/>
          <w:i/>
          <w:iCs/>
          <w:color w:val="000000"/>
          <w:sz w:val="22"/>
          <w:szCs w:val="22"/>
          <w:lang w:val="en-GB"/>
        </w:rPr>
        <w:t>Essential</w:t>
      </w:r>
    </w:p>
    <w:p w14:paraId="63420C7A" w14:textId="77777777" w:rsidR="00785848" w:rsidRPr="008B3CCC" w:rsidRDefault="000D29F9" w:rsidP="00D536F8">
      <w:pPr>
        <w:pStyle w:val="NoSpacing"/>
        <w:spacing w:line="276" w:lineRule="auto"/>
        <w:ind w:left="216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8B3CCC">
        <w:rPr>
          <w:rFonts w:ascii="Arial" w:hAnsi="Arial" w:cs="Arial"/>
          <w:color w:val="000000"/>
          <w:sz w:val="22"/>
          <w:szCs w:val="22"/>
          <w:lang w:val="en-GB"/>
        </w:rPr>
        <w:t>Five years’ experience in the education programme knowledge management, innovation in programme communication especially related to education sector programme in international/national context or humanitarian or development situation.</w:t>
      </w:r>
    </w:p>
    <w:p w14:paraId="77E58E31" w14:textId="4020C107" w:rsidR="00200B4A" w:rsidRPr="008B3CCC" w:rsidRDefault="00200B4A" w:rsidP="00D536F8">
      <w:pPr>
        <w:pStyle w:val="NoSpacing"/>
        <w:spacing w:line="276" w:lineRule="auto"/>
        <w:ind w:left="216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8B3CCC">
        <w:rPr>
          <w:rFonts w:ascii="Arial" w:hAnsi="Arial" w:cs="Arial"/>
          <w:color w:val="000000"/>
          <w:sz w:val="22"/>
          <w:szCs w:val="22"/>
          <w:lang w:val="en-GB"/>
        </w:rPr>
        <w:t xml:space="preserve">Solid experience of </w:t>
      </w:r>
      <w:r w:rsidR="0052139D" w:rsidRPr="008B3CCC">
        <w:rPr>
          <w:rFonts w:ascii="Arial" w:hAnsi="Arial" w:cs="Arial"/>
          <w:color w:val="000000"/>
          <w:sz w:val="22"/>
          <w:szCs w:val="22"/>
          <w:lang w:val="en-GB"/>
        </w:rPr>
        <w:t xml:space="preserve">documentation and </w:t>
      </w:r>
      <w:r w:rsidRPr="008B3CCC">
        <w:rPr>
          <w:rFonts w:ascii="Arial" w:hAnsi="Arial" w:cs="Arial"/>
          <w:color w:val="000000"/>
          <w:sz w:val="22"/>
          <w:szCs w:val="22"/>
          <w:lang w:val="en-GB"/>
        </w:rPr>
        <w:t xml:space="preserve">report writing. </w:t>
      </w:r>
    </w:p>
    <w:p w14:paraId="3C8CE0E4" w14:textId="77777777" w:rsidR="00785848" w:rsidRPr="008B3CCC" w:rsidRDefault="000D29F9" w:rsidP="00D536F8">
      <w:pPr>
        <w:pStyle w:val="NoSpacing"/>
        <w:spacing w:line="276" w:lineRule="auto"/>
        <w:ind w:left="216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8B3CCC">
        <w:rPr>
          <w:rFonts w:ascii="Arial" w:hAnsi="Arial" w:cs="Arial"/>
          <w:color w:val="000000"/>
          <w:sz w:val="22"/>
          <w:szCs w:val="22"/>
          <w:lang w:val="en-GB"/>
        </w:rPr>
        <w:t xml:space="preserve">Experience with data sharing, data management and data analysis to support policy formulation and implementation. </w:t>
      </w:r>
    </w:p>
    <w:p w14:paraId="039C64AC" w14:textId="77777777" w:rsidR="000D29F9" w:rsidRPr="008B3CCC" w:rsidRDefault="000D29F9" w:rsidP="00D536F8">
      <w:pPr>
        <w:pStyle w:val="NoSpacing"/>
        <w:spacing w:line="276" w:lineRule="auto"/>
        <w:ind w:left="21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8B3CCC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Experience in managing communication through the Web, including in the context of emergencies is desirable.</w:t>
      </w:r>
    </w:p>
    <w:p w14:paraId="21CEC5CC" w14:textId="77777777" w:rsidR="00A372D6" w:rsidRPr="008B3CCC" w:rsidRDefault="00A372D6" w:rsidP="00D536F8">
      <w:pPr>
        <w:pStyle w:val="NoSpacing"/>
        <w:spacing w:line="276" w:lineRule="auto"/>
        <w:ind w:left="144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486D623" w14:textId="77777777" w:rsidR="00A372D6" w:rsidRPr="008B3CCC" w:rsidRDefault="00A372D6" w:rsidP="00D536F8">
      <w:pPr>
        <w:pStyle w:val="NoSpacing"/>
        <w:spacing w:line="276" w:lineRule="auto"/>
        <w:ind w:left="144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</w:pPr>
      <w:r w:rsidRPr="008B3CCC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  <w:t>Desirable</w:t>
      </w:r>
    </w:p>
    <w:p w14:paraId="13D1CAF1" w14:textId="77777777" w:rsidR="002A60B8" w:rsidRPr="008B3CCC" w:rsidRDefault="002A60B8" w:rsidP="00D536F8">
      <w:pPr>
        <w:pStyle w:val="NoSpacing"/>
        <w:spacing w:line="276" w:lineRule="auto"/>
        <w:ind w:left="216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8B3CCC">
        <w:rPr>
          <w:rFonts w:ascii="Arial" w:hAnsi="Arial" w:cs="Arial"/>
          <w:color w:val="000000"/>
          <w:sz w:val="22"/>
          <w:szCs w:val="22"/>
          <w:lang w:val="en-GB"/>
        </w:rPr>
        <w:t xml:space="preserve">Relevant </w:t>
      </w:r>
      <w:r w:rsidR="00877EC2" w:rsidRPr="008B3CCC">
        <w:rPr>
          <w:rFonts w:ascii="Arial" w:hAnsi="Arial" w:cs="Arial"/>
          <w:color w:val="000000"/>
          <w:sz w:val="22"/>
          <w:szCs w:val="22"/>
          <w:lang w:val="en-GB"/>
        </w:rPr>
        <w:t xml:space="preserve">working </w:t>
      </w:r>
      <w:r w:rsidRPr="008B3CCC">
        <w:rPr>
          <w:rFonts w:ascii="Arial" w:hAnsi="Arial" w:cs="Arial"/>
          <w:color w:val="000000"/>
          <w:sz w:val="22"/>
          <w:szCs w:val="22"/>
          <w:lang w:val="en-GB"/>
        </w:rPr>
        <w:t xml:space="preserve">experience with </w:t>
      </w:r>
      <w:proofErr w:type="spellStart"/>
      <w:r w:rsidRPr="008B3CCC">
        <w:rPr>
          <w:rFonts w:ascii="Arial" w:hAnsi="Arial" w:cs="Arial"/>
          <w:color w:val="000000"/>
          <w:sz w:val="22"/>
          <w:szCs w:val="22"/>
          <w:lang w:val="en-GB"/>
        </w:rPr>
        <w:t>GoB</w:t>
      </w:r>
      <w:proofErr w:type="spellEnd"/>
      <w:r w:rsidRPr="008B3CCC">
        <w:rPr>
          <w:rFonts w:ascii="Arial" w:hAnsi="Arial" w:cs="Arial"/>
          <w:color w:val="000000"/>
          <w:sz w:val="22"/>
          <w:szCs w:val="22"/>
          <w:lang w:val="en-GB"/>
        </w:rPr>
        <w:t xml:space="preserve">, DPs, and CSOs is considered as an asset. </w:t>
      </w:r>
    </w:p>
    <w:p w14:paraId="72634B4D" w14:textId="77777777" w:rsidR="000D29F9" w:rsidRPr="008B3CCC" w:rsidRDefault="000D29F9" w:rsidP="00D536F8">
      <w:pPr>
        <w:spacing w:line="276" w:lineRule="auto"/>
        <w:jc w:val="both"/>
        <w:rPr>
          <w:rFonts w:cs="Arial"/>
          <w:color w:val="000000"/>
          <w:sz w:val="22"/>
          <w:szCs w:val="22"/>
          <w:lang w:val="en-GB"/>
        </w:rPr>
      </w:pPr>
    </w:p>
    <w:p w14:paraId="664CBB50" w14:textId="06C8750B" w:rsidR="00935CC8" w:rsidRPr="008B3CCC" w:rsidRDefault="002A60B8" w:rsidP="00D536F8">
      <w:pPr>
        <w:spacing w:line="276" w:lineRule="auto"/>
        <w:ind w:left="1440" w:hanging="1440"/>
        <w:jc w:val="both"/>
        <w:rPr>
          <w:rFonts w:cs="Arial"/>
          <w:color w:val="000000"/>
          <w:sz w:val="22"/>
          <w:szCs w:val="22"/>
          <w:lang w:val="en-GB"/>
        </w:rPr>
      </w:pPr>
      <w:r w:rsidRPr="008B3CCC">
        <w:rPr>
          <w:rFonts w:cs="Arial"/>
          <w:color w:val="000000"/>
          <w:sz w:val="22"/>
          <w:szCs w:val="22"/>
          <w:lang w:val="en-GB"/>
        </w:rPr>
        <w:t>Language:</w:t>
      </w:r>
      <w:r w:rsidRPr="008B3CCC">
        <w:rPr>
          <w:rFonts w:cs="Arial"/>
          <w:color w:val="000000"/>
          <w:sz w:val="22"/>
          <w:szCs w:val="22"/>
          <w:lang w:val="en-GB"/>
        </w:rPr>
        <w:tab/>
      </w:r>
      <w:r w:rsidRPr="008B3CCC">
        <w:rPr>
          <w:rFonts w:cs="Arial"/>
          <w:color w:val="000000"/>
          <w:sz w:val="22"/>
          <w:szCs w:val="22"/>
          <w:lang w:val="en-GB"/>
        </w:rPr>
        <w:tab/>
        <w:t xml:space="preserve">Fluency in English and Bengali is required </w:t>
      </w:r>
      <w:r w:rsidRPr="008B3CCC">
        <w:rPr>
          <w:rFonts w:cs="Arial"/>
          <w:color w:val="000000"/>
          <w:sz w:val="22"/>
          <w:szCs w:val="22"/>
          <w:lang w:val="en-GB"/>
        </w:rPr>
        <w:tab/>
      </w:r>
    </w:p>
    <w:p w14:paraId="28BACD19" w14:textId="77777777" w:rsidR="002A60B8" w:rsidRPr="008B3CCC" w:rsidRDefault="002A60B8" w:rsidP="00D536F8">
      <w:pPr>
        <w:spacing w:line="276" w:lineRule="auto"/>
        <w:ind w:left="1440" w:hanging="1440"/>
        <w:jc w:val="both"/>
        <w:rPr>
          <w:rFonts w:cs="Arial"/>
          <w:color w:val="000000"/>
          <w:sz w:val="22"/>
          <w:szCs w:val="22"/>
          <w:lang w:val="en-GB"/>
        </w:rPr>
      </w:pPr>
    </w:p>
    <w:p w14:paraId="215AF42D" w14:textId="77777777" w:rsidR="00100935" w:rsidRPr="008B3CCC" w:rsidRDefault="002A60B8" w:rsidP="00D536F8">
      <w:pPr>
        <w:spacing w:line="276" w:lineRule="auto"/>
        <w:ind w:left="2160" w:hanging="2160"/>
        <w:rPr>
          <w:rFonts w:cs="Arial"/>
          <w:color w:val="000000"/>
          <w:sz w:val="22"/>
          <w:szCs w:val="22"/>
          <w:lang w:val="en-GB"/>
        </w:rPr>
      </w:pPr>
      <w:r w:rsidRPr="008B3CCC">
        <w:rPr>
          <w:rFonts w:cs="Arial"/>
          <w:color w:val="000000"/>
          <w:sz w:val="22"/>
          <w:szCs w:val="22"/>
          <w:lang w:val="en-GB"/>
        </w:rPr>
        <w:t>Functional Skills:</w:t>
      </w:r>
      <w:r w:rsidRPr="008B3CCC">
        <w:rPr>
          <w:rFonts w:cs="Arial"/>
          <w:color w:val="000000"/>
          <w:sz w:val="22"/>
          <w:szCs w:val="22"/>
          <w:lang w:val="en-GB"/>
        </w:rPr>
        <w:tab/>
      </w:r>
      <w:r w:rsidR="00100935" w:rsidRPr="008B3CCC">
        <w:rPr>
          <w:rFonts w:cs="Arial"/>
          <w:bCs/>
          <w:sz w:val="22"/>
          <w:szCs w:val="22"/>
          <w:lang w:val="en-GB" w:eastAsia="fr-FR"/>
        </w:rPr>
        <w:t>Excellent oral and written skills; excellent drafting, formulation, reporting skills.</w:t>
      </w:r>
    </w:p>
    <w:p w14:paraId="39562FC0" w14:textId="77777777" w:rsidR="00100935" w:rsidRPr="008B3CCC" w:rsidRDefault="00100935" w:rsidP="00D536F8">
      <w:pPr>
        <w:spacing w:line="276" w:lineRule="auto"/>
        <w:ind w:left="2160"/>
        <w:rPr>
          <w:rFonts w:cs="Arial"/>
          <w:bCs/>
          <w:sz w:val="22"/>
          <w:szCs w:val="22"/>
          <w:lang w:val="en-GB"/>
        </w:rPr>
      </w:pPr>
      <w:r w:rsidRPr="008B3CCC">
        <w:rPr>
          <w:rFonts w:cs="Arial"/>
          <w:bCs/>
          <w:sz w:val="22"/>
          <w:szCs w:val="22"/>
          <w:lang w:val="en-GB"/>
        </w:rPr>
        <w:t xml:space="preserve">Excellent interpersonal </w:t>
      </w:r>
      <w:r w:rsidR="00D536F8" w:rsidRPr="008B3CCC">
        <w:rPr>
          <w:rFonts w:cs="Arial"/>
          <w:bCs/>
          <w:sz w:val="22"/>
          <w:szCs w:val="22"/>
          <w:lang w:val="en-GB"/>
        </w:rPr>
        <w:t xml:space="preserve">and coordination </w:t>
      </w:r>
      <w:r w:rsidRPr="008B3CCC">
        <w:rPr>
          <w:rFonts w:cs="Arial"/>
          <w:bCs/>
          <w:sz w:val="22"/>
          <w:szCs w:val="22"/>
          <w:lang w:val="en-GB"/>
        </w:rPr>
        <w:t>skills; culturally and socially sensitive; ability to work inclusively and collaboratively with a range of partners and authorities at different levels</w:t>
      </w:r>
      <w:r w:rsidR="00D536F8" w:rsidRPr="008B3CCC">
        <w:rPr>
          <w:rFonts w:cs="Arial"/>
          <w:bCs/>
          <w:sz w:val="22"/>
          <w:szCs w:val="22"/>
          <w:lang w:val="en-GB"/>
        </w:rPr>
        <w:t>.</w:t>
      </w:r>
      <w:r w:rsidRPr="008B3CCC">
        <w:rPr>
          <w:rFonts w:cs="Arial"/>
          <w:sz w:val="22"/>
          <w:szCs w:val="22"/>
          <w:lang w:val="en-GB"/>
        </w:rPr>
        <w:t xml:space="preserve"> </w:t>
      </w:r>
    </w:p>
    <w:p w14:paraId="3A72A494" w14:textId="77777777" w:rsidR="00100935" w:rsidRPr="008B3CCC" w:rsidRDefault="00100935" w:rsidP="00D536F8">
      <w:pPr>
        <w:spacing w:line="276" w:lineRule="auto"/>
        <w:ind w:left="2160"/>
        <w:rPr>
          <w:rFonts w:cs="Arial"/>
          <w:bCs/>
          <w:sz w:val="22"/>
          <w:szCs w:val="22"/>
          <w:lang w:val="en-GB"/>
        </w:rPr>
      </w:pPr>
      <w:r w:rsidRPr="008B3CCC">
        <w:rPr>
          <w:rFonts w:cs="Arial"/>
          <w:bCs/>
          <w:sz w:val="22"/>
          <w:szCs w:val="22"/>
          <w:lang w:val="en-GB"/>
        </w:rPr>
        <w:t>Familiarity with tools and approaches of communications for development.</w:t>
      </w:r>
    </w:p>
    <w:p w14:paraId="5B2094B6" w14:textId="77777777" w:rsidR="00100935" w:rsidRPr="008B3CCC" w:rsidRDefault="00100935" w:rsidP="00D536F8">
      <w:pPr>
        <w:spacing w:line="276" w:lineRule="auto"/>
        <w:ind w:left="2160"/>
        <w:rPr>
          <w:rFonts w:cs="Arial"/>
          <w:bCs/>
          <w:sz w:val="22"/>
          <w:szCs w:val="22"/>
          <w:lang w:val="en-GB"/>
        </w:rPr>
      </w:pPr>
      <w:r w:rsidRPr="008B3CCC">
        <w:rPr>
          <w:rFonts w:cs="Arial"/>
          <w:sz w:val="22"/>
          <w:szCs w:val="22"/>
          <w:lang w:val="en-GB" w:eastAsia="ja-JP"/>
        </w:rPr>
        <w:t>Solid overall computer literacy, including proficiency in various MS Office applications (Excel, Word, etc.) and email/internet; familiarity with database management; and office technology equipment.</w:t>
      </w:r>
    </w:p>
    <w:p w14:paraId="0BF5E6E2" w14:textId="77777777" w:rsidR="00100935" w:rsidRPr="008B3CCC" w:rsidRDefault="00100935" w:rsidP="00D536F8">
      <w:pPr>
        <w:spacing w:line="276" w:lineRule="auto"/>
        <w:ind w:left="1778" w:firstLine="382"/>
        <w:rPr>
          <w:rFonts w:cs="Arial"/>
          <w:bCs/>
          <w:sz w:val="22"/>
          <w:szCs w:val="22"/>
          <w:lang w:val="en-GB"/>
        </w:rPr>
      </w:pPr>
      <w:r w:rsidRPr="008B3CCC">
        <w:rPr>
          <w:rFonts w:cs="Arial"/>
          <w:sz w:val="22"/>
          <w:szCs w:val="22"/>
          <w:lang w:val="en-GB" w:eastAsia="ja-JP"/>
        </w:rPr>
        <w:t>Data collection methodologies.</w:t>
      </w:r>
    </w:p>
    <w:p w14:paraId="73A71AA1" w14:textId="77777777" w:rsidR="00100935" w:rsidRPr="008B3CCC" w:rsidRDefault="00100935" w:rsidP="00D536F8">
      <w:pPr>
        <w:spacing w:line="276" w:lineRule="auto"/>
        <w:rPr>
          <w:rFonts w:cs="Arial"/>
          <w:color w:val="000000"/>
          <w:sz w:val="22"/>
          <w:szCs w:val="22"/>
          <w:lang w:val="en-GB"/>
        </w:rPr>
      </w:pPr>
    </w:p>
    <w:p w14:paraId="6CB58AF8" w14:textId="2E1DBD9F" w:rsidR="008F00F2" w:rsidRPr="008B3CCC" w:rsidRDefault="00585EBC" w:rsidP="00D536F8">
      <w:pPr>
        <w:pStyle w:val="BodyTextIndent2"/>
        <w:tabs>
          <w:tab w:val="left" w:pos="720"/>
        </w:tabs>
        <w:spacing w:line="276" w:lineRule="auto"/>
        <w:ind w:firstLine="0"/>
        <w:rPr>
          <w:rFonts w:eastAsia="ＭＳ Ｐゴシック"/>
          <w:b/>
          <w:color w:val="000000"/>
          <w:sz w:val="22"/>
          <w:szCs w:val="22"/>
          <w:lang w:val="en-GB"/>
        </w:rPr>
      </w:pPr>
      <w:r>
        <w:rPr>
          <w:rFonts w:eastAsia="ＭＳ Ｐゴシック"/>
          <w:b/>
          <w:color w:val="000000"/>
          <w:sz w:val="22"/>
          <w:szCs w:val="22"/>
          <w:lang w:val="en-GB"/>
        </w:rPr>
        <w:t>10</w:t>
      </w:r>
      <w:r w:rsidR="008F00F2" w:rsidRPr="008B3CCC">
        <w:rPr>
          <w:rFonts w:eastAsia="ＭＳ Ｐゴシック"/>
          <w:b/>
          <w:color w:val="000000"/>
          <w:sz w:val="22"/>
          <w:szCs w:val="22"/>
          <w:lang w:val="en-GB"/>
        </w:rPr>
        <w:t>. Evaluation</w:t>
      </w:r>
    </w:p>
    <w:p w14:paraId="0BA14F4C" w14:textId="77777777" w:rsidR="008F00F2" w:rsidRPr="008B3CCC" w:rsidRDefault="008F00F2" w:rsidP="00D536F8">
      <w:pPr>
        <w:pStyle w:val="BodyTextIndent2"/>
        <w:tabs>
          <w:tab w:val="left" w:pos="720"/>
        </w:tabs>
        <w:spacing w:line="276" w:lineRule="auto"/>
        <w:ind w:firstLine="0"/>
        <w:rPr>
          <w:rFonts w:eastAsia="ＭＳ Ｐゴシック"/>
          <w:b/>
          <w:color w:val="000000"/>
          <w:sz w:val="22"/>
          <w:szCs w:val="22"/>
          <w:lang w:val="en-GB"/>
        </w:rPr>
      </w:pPr>
    </w:p>
    <w:p w14:paraId="3F0D569A" w14:textId="1E9121A3" w:rsidR="00520AE8" w:rsidRDefault="00520AE8" w:rsidP="00520AE8">
      <w:pPr>
        <w:pStyle w:val="BodyTextIndent2"/>
        <w:tabs>
          <w:tab w:val="left" w:pos="720"/>
        </w:tabs>
        <w:spacing w:line="276" w:lineRule="auto"/>
        <w:ind w:firstLine="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The efficiency and effectiveness of the support provided by the </w:t>
      </w:r>
      <w:r>
        <w:rPr>
          <w:color w:val="000000"/>
          <w:sz w:val="22"/>
          <w:szCs w:val="22"/>
          <w:lang w:val="en-GB"/>
        </w:rPr>
        <w:t>Knowledge</w:t>
      </w:r>
      <w:r>
        <w:rPr>
          <w:color w:val="000000"/>
          <w:sz w:val="22"/>
          <w:szCs w:val="22"/>
          <w:lang w:val="en-GB"/>
        </w:rPr>
        <w:t xml:space="preserve"> management officer will be evaluated by JICA Bangladesh Office, considering the feedback from the ELCG Chair, Co-chair, members and the </w:t>
      </w:r>
      <w:proofErr w:type="spellStart"/>
      <w:r>
        <w:rPr>
          <w:color w:val="000000"/>
          <w:sz w:val="22"/>
          <w:szCs w:val="22"/>
          <w:lang w:val="en-GB"/>
        </w:rPr>
        <w:t>MoPME</w:t>
      </w:r>
      <w:proofErr w:type="spellEnd"/>
      <w:r>
        <w:rPr>
          <w:color w:val="000000"/>
          <w:sz w:val="22"/>
          <w:szCs w:val="22"/>
          <w:lang w:val="en-GB"/>
        </w:rPr>
        <w:t xml:space="preserve">/ </w:t>
      </w:r>
      <w:proofErr w:type="spellStart"/>
      <w:r>
        <w:rPr>
          <w:color w:val="000000"/>
          <w:sz w:val="22"/>
          <w:szCs w:val="22"/>
          <w:lang w:val="en-GB"/>
        </w:rPr>
        <w:t>MoE</w:t>
      </w:r>
      <w:proofErr w:type="spellEnd"/>
      <w:r>
        <w:rPr>
          <w:color w:val="000000"/>
          <w:sz w:val="22"/>
          <w:szCs w:val="22"/>
          <w:lang w:val="en-GB"/>
        </w:rPr>
        <w:t>.</w:t>
      </w:r>
    </w:p>
    <w:p w14:paraId="60A423B5" w14:textId="51DD83B9" w:rsidR="00877EC2" w:rsidRPr="00100935" w:rsidRDefault="00877EC2" w:rsidP="00877EC2">
      <w:pPr>
        <w:tabs>
          <w:tab w:val="left" w:pos="3015"/>
        </w:tabs>
        <w:spacing w:line="276" w:lineRule="auto"/>
        <w:rPr>
          <w:rFonts w:cs="Arial"/>
          <w:sz w:val="22"/>
          <w:szCs w:val="22"/>
          <w:lang w:val="en-GB"/>
        </w:rPr>
      </w:pPr>
      <w:bookmarkStart w:id="1" w:name="_GoBack"/>
      <w:bookmarkEnd w:id="1"/>
    </w:p>
    <w:sectPr w:rsidR="00877EC2" w:rsidRPr="00100935" w:rsidSect="0086756D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89C50" w14:textId="77777777" w:rsidR="004E6D59" w:rsidRDefault="004E6D59" w:rsidP="00C34033">
      <w:r>
        <w:separator/>
      </w:r>
    </w:p>
  </w:endnote>
  <w:endnote w:type="continuationSeparator" w:id="0">
    <w:p w14:paraId="369FE387" w14:textId="77777777" w:rsidR="004E6D59" w:rsidRDefault="004E6D59" w:rsidP="00C34033">
      <w:r>
        <w:continuationSeparator/>
      </w:r>
    </w:p>
  </w:endnote>
  <w:endnote w:type="continuationNotice" w:id="1">
    <w:p w14:paraId="2AF1E746" w14:textId="77777777" w:rsidR="004E6D59" w:rsidRDefault="004E6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5D6FA" w14:textId="77777777" w:rsidR="004E6D59" w:rsidRDefault="004E6D59" w:rsidP="00C34033">
      <w:r>
        <w:separator/>
      </w:r>
    </w:p>
  </w:footnote>
  <w:footnote w:type="continuationSeparator" w:id="0">
    <w:p w14:paraId="7115D572" w14:textId="77777777" w:rsidR="004E6D59" w:rsidRDefault="004E6D59" w:rsidP="00C34033">
      <w:r>
        <w:continuationSeparator/>
      </w:r>
    </w:p>
  </w:footnote>
  <w:footnote w:type="continuationNotice" w:id="1">
    <w:p w14:paraId="3F05A39D" w14:textId="77777777" w:rsidR="004E6D59" w:rsidRDefault="004E6D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00A5" w14:textId="77777777" w:rsidR="00B541DA" w:rsidRPr="00C34033" w:rsidRDefault="00B541DA" w:rsidP="00C34033">
    <w:pPr>
      <w:pStyle w:val="Header"/>
      <w:jc w:val="right"/>
      <w:rPr>
        <w:sz w:val="16"/>
        <w:szCs w:val="16"/>
      </w:rPr>
    </w:pPr>
    <w:proofErr w:type="gramStart"/>
    <w:r w:rsidRPr="00C34033">
      <w:rPr>
        <w:sz w:val="16"/>
        <w:szCs w:val="16"/>
      </w:rPr>
      <w:t>v</w:t>
    </w:r>
    <w:proofErr w:type="gramEnd"/>
    <w:r w:rsidRPr="00C34033">
      <w:rPr>
        <w:sz w:val="16"/>
        <w:szCs w:val="16"/>
      </w:rPr>
      <w:t>. 28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A48"/>
    <w:multiLevelType w:val="hybridMultilevel"/>
    <w:tmpl w:val="E8B85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C4E62"/>
    <w:multiLevelType w:val="hybridMultilevel"/>
    <w:tmpl w:val="96A482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B67F2"/>
    <w:multiLevelType w:val="hybridMultilevel"/>
    <w:tmpl w:val="F9249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7C72"/>
    <w:multiLevelType w:val="hybridMultilevel"/>
    <w:tmpl w:val="FFC4A2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91306"/>
    <w:multiLevelType w:val="hybridMultilevel"/>
    <w:tmpl w:val="F8322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3456F"/>
    <w:multiLevelType w:val="hybridMultilevel"/>
    <w:tmpl w:val="06E60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4296"/>
    <w:multiLevelType w:val="hybridMultilevel"/>
    <w:tmpl w:val="1A9E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72E81"/>
    <w:multiLevelType w:val="hybridMultilevel"/>
    <w:tmpl w:val="6B0E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7600A"/>
    <w:multiLevelType w:val="hybridMultilevel"/>
    <w:tmpl w:val="3014FB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14141"/>
    <w:multiLevelType w:val="hybridMultilevel"/>
    <w:tmpl w:val="4CDC1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26FE0"/>
    <w:multiLevelType w:val="hybridMultilevel"/>
    <w:tmpl w:val="625CD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82D66"/>
    <w:multiLevelType w:val="hybridMultilevel"/>
    <w:tmpl w:val="5F523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7BC3"/>
    <w:multiLevelType w:val="hybridMultilevel"/>
    <w:tmpl w:val="3474A7EC"/>
    <w:lvl w:ilvl="0" w:tplc="FFD0936E">
      <w:start w:val="1"/>
      <w:numFmt w:val="decimal"/>
      <w:lvlText w:val="%1."/>
      <w:lvlJc w:val="left"/>
      <w:pPr>
        <w:ind w:left="360" w:hanging="360"/>
      </w:pPr>
      <w:rPr>
        <w:rFonts w:ascii="Calibri" w:hAnsi="Calibri" w:cs="Courier New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2E7514"/>
    <w:multiLevelType w:val="hybridMultilevel"/>
    <w:tmpl w:val="BD74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20223"/>
    <w:multiLevelType w:val="hybridMultilevel"/>
    <w:tmpl w:val="5D4A4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21B18"/>
    <w:multiLevelType w:val="multilevel"/>
    <w:tmpl w:val="28BA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322FF"/>
    <w:multiLevelType w:val="hybridMultilevel"/>
    <w:tmpl w:val="A7FE6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C25AC"/>
    <w:multiLevelType w:val="hybridMultilevel"/>
    <w:tmpl w:val="4D7AA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4EF5"/>
    <w:multiLevelType w:val="hybridMultilevel"/>
    <w:tmpl w:val="CD943DC2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4E3147A"/>
    <w:multiLevelType w:val="hybridMultilevel"/>
    <w:tmpl w:val="62968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122FA"/>
    <w:multiLevelType w:val="hybridMultilevel"/>
    <w:tmpl w:val="27961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F438B"/>
    <w:multiLevelType w:val="hybridMultilevel"/>
    <w:tmpl w:val="E440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B71DE"/>
    <w:multiLevelType w:val="hybridMultilevel"/>
    <w:tmpl w:val="EC400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E169EE"/>
    <w:multiLevelType w:val="hybridMultilevel"/>
    <w:tmpl w:val="ABF2E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8D214C"/>
    <w:multiLevelType w:val="hybridMultilevel"/>
    <w:tmpl w:val="40349716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EDC34F3"/>
    <w:multiLevelType w:val="hybridMultilevel"/>
    <w:tmpl w:val="5AA27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33580"/>
    <w:multiLevelType w:val="hybridMultilevel"/>
    <w:tmpl w:val="60D2E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D4A83"/>
    <w:multiLevelType w:val="hybridMultilevel"/>
    <w:tmpl w:val="9D8ED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80B89"/>
    <w:multiLevelType w:val="hybridMultilevel"/>
    <w:tmpl w:val="173CCDCE"/>
    <w:lvl w:ilvl="0" w:tplc="FFD0936E">
      <w:start w:val="1"/>
      <w:numFmt w:val="decimal"/>
      <w:lvlText w:val="%1."/>
      <w:lvlJc w:val="left"/>
      <w:pPr>
        <w:ind w:left="360" w:hanging="360"/>
      </w:pPr>
      <w:rPr>
        <w:rFonts w:ascii="Calibri" w:hAnsi="Calibri" w:cs="Courier New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A043E7"/>
    <w:multiLevelType w:val="hybridMultilevel"/>
    <w:tmpl w:val="F60E3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900D9"/>
    <w:multiLevelType w:val="hybridMultilevel"/>
    <w:tmpl w:val="C354F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36AA7"/>
    <w:multiLevelType w:val="hybridMultilevel"/>
    <w:tmpl w:val="BFA2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E1695"/>
    <w:multiLevelType w:val="hybridMultilevel"/>
    <w:tmpl w:val="F6DA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E7B87"/>
    <w:multiLevelType w:val="hybridMultilevel"/>
    <w:tmpl w:val="8F787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454F4"/>
    <w:multiLevelType w:val="hybridMultilevel"/>
    <w:tmpl w:val="DE642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D4213"/>
    <w:multiLevelType w:val="hybridMultilevel"/>
    <w:tmpl w:val="8AEAA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C343C"/>
    <w:multiLevelType w:val="hybridMultilevel"/>
    <w:tmpl w:val="28107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7530B"/>
    <w:multiLevelType w:val="multilevel"/>
    <w:tmpl w:val="E6CEE8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ourier New" w:hint="default"/>
        <w:sz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05376B"/>
    <w:multiLevelType w:val="hybridMultilevel"/>
    <w:tmpl w:val="3F924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645F62"/>
    <w:multiLevelType w:val="hybridMultilevel"/>
    <w:tmpl w:val="FBF45754"/>
    <w:lvl w:ilvl="0" w:tplc="FFD0936E">
      <w:start w:val="1"/>
      <w:numFmt w:val="decimal"/>
      <w:lvlText w:val="%1."/>
      <w:lvlJc w:val="left"/>
      <w:pPr>
        <w:ind w:left="720" w:hanging="360"/>
      </w:pPr>
      <w:rPr>
        <w:rFonts w:ascii="Calibri" w:hAnsi="Calibri" w:cs="Courier New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17072"/>
    <w:multiLevelType w:val="multilevel"/>
    <w:tmpl w:val="6B0E6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D03D27"/>
    <w:multiLevelType w:val="hybridMultilevel"/>
    <w:tmpl w:val="78528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8"/>
  </w:num>
  <w:num w:numId="4">
    <w:abstractNumId w:val="14"/>
  </w:num>
  <w:num w:numId="5">
    <w:abstractNumId w:val="1"/>
  </w:num>
  <w:num w:numId="6">
    <w:abstractNumId w:val="23"/>
  </w:num>
  <w:num w:numId="7">
    <w:abstractNumId w:val="10"/>
  </w:num>
  <w:num w:numId="8">
    <w:abstractNumId w:val="30"/>
  </w:num>
  <w:num w:numId="9">
    <w:abstractNumId w:val="5"/>
  </w:num>
  <w:num w:numId="10">
    <w:abstractNumId w:val="41"/>
  </w:num>
  <w:num w:numId="11">
    <w:abstractNumId w:val="0"/>
  </w:num>
  <w:num w:numId="12">
    <w:abstractNumId w:val="35"/>
  </w:num>
  <w:num w:numId="13">
    <w:abstractNumId w:val="33"/>
  </w:num>
  <w:num w:numId="14">
    <w:abstractNumId w:val="39"/>
  </w:num>
  <w:num w:numId="15">
    <w:abstractNumId w:val="37"/>
  </w:num>
  <w:num w:numId="16">
    <w:abstractNumId w:val="12"/>
  </w:num>
  <w:num w:numId="17">
    <w:abstractNumId w:val="3"/>
  </w:num>
  <w:num w:numId="18">
    <w:abstractNumId w:val="31"/>
  </w:num>
  <w:num w:numId="19">
    <w:abstractNumId w:val="7"/>
  </w:num>
  <w:num w:numId="20">
    <w:abstractNumId w:val="40"/>
  </w:num>
  <w:num w:numId="21">
    <w:abstractNumId w:val="27"/>
  </w:num>
  <w:num w:numId="22">
    <w:abstractNumId w:val="19"/>
  </w:num>
  <w:num w:numId="23">
    <w:abstractNumId w:val="22"/>
  </w:num>
  <w:num w:numId="24">
    <w:abstractNumId w:val="13"/>
  </w:num>
  <w:num w:numId="25">
    <w:abstractNumId w:val="29"/>
  </w:num>
  <w:num w:numId="26">
    <w:abstractNumId w:val="11"/>
  </w:num>
  <w:num w:numId="27">
    <w:abstractNumId w:val="34"/>
  </w:num>
  <w:num w:numId="28">
    <w:abstractNumId w:val="16"/>
  </w:num>
  <w:num w:numId="29">
    <w:abstractNumId w:val="15"/>
  </w:num>
  <w:num w:numId="30">
    <w:abstractNumId w:val="26"/>
  </w:num>
  <w:num w:numId="31">
    <w:abstractNumId w:val="9"/>
  </w:num>
  <w:num w:numId="32">
    <w:abstractNumId w:val="2"/>
  </w:num>
  <w:num w:numId="33">
    <w:abstractNumId w:val="20"/>
  </w:num>
  <w:num w:numId="34">
    <w:abstractNumId w:val="38"/>
  </w:num>
  <w:num w:numId="35">
    <w:abstractNumId w:val="25"/>
  </w:num>
  <w:num w:numId="36">
    <w:abstractNumId w:val="36"/>
  </w:num>
  <w:num w:numId="37">
    <w:abstractNumId w:val="8"/>
  </w:num>
  <w:num w:numId="38">
    <w:abstractNumId w:val="17"/>
  </w:num>
  <w:num w:numId="39">
    <w:abstractNumId w:val="32"/>
  </w:num>
  <w:num w:numId="40">
    <w:abstractNumId w:val="21"/>
  </w:num>
  <w:num w:numId="41">
    <w:abstractNumId w:val="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wMDM0NjUwMDMxNTRQ0lEKTi0uzszPAykwqQUALzVzziwAAAA="/>
  </w:docVars>
  <w:rsids>
    <w:rsidRoot w:val="00C56467"/>
    <w:rsid w:val="00013610"/>
    <w:rsid w:val="0004575A"/>
    <w:rsid w:val="00050B11"/>
    <w:rsid w:val="00065B38"/>
    <w:rsid w:val="00092F1D"/>
    <w:rsid w:val="0009743A"/>
    <w:rsid w:val="000C4C15"/>
    <w:rsid w:val="000C6636"/>
    <w:rsid w:val="000D29F9"/>
    <w:rsid w:val="000D3D56"/>
    <w:rsid w:val="000E13E6"/>
    <w:rsid w:val="000E18E4"/>
    <w:rsid w:val="000F7417"/>
    <w:rsid w:val="00100935"/>
    <w:rsid w:val="00101766"/>
    <w:rsid w:val="001511EF"/>
    <w:rsid w:val="00157098"/>
    <w:rsid w:val="001B494A"/>
    <w:rsid w:val="001D68E1"/>
    <w:rsid w:val="001E0CF7"/>
    <w:rsid w:val="001E3E9B"/>
    <w:rsid w:val="00200B4A"/>
    <w:rsid w:val="00200D29"/>
    <w:rsid w:val="00217937"/>
    <w:rsid w:val="00221501"/>
    <w:rsid w:val="002224B8"/>
    <w:rsid w:val="00234975"/>
    <w:rsid w:val="00244570"/>
    <w:rsid w:val="00255D70"/>
    <w:rsid w:val="00262A4D"/>
    <w:rsid w:val="0027365C"/>
    <w:rsid w:val="002872ED"/>
    <w:rsid w:val="00296D99"/>
    <w:rsid w:val="002A60B8"/>
    <w:rsid w:val="002D3E3B"/>
    <w:rsid w:val="002E16E1"/>
    <w:rsid w:val="002F5BA3"/>
    <w:rsid w:val="00345F57"/>
    <w:rsid w:val="00370158"/>
    <w:rsid w:val="00371DAD"/>
    <w:rsid w:val="003B0A40"/>
    <w:rsid w:val="003B2CF8"/>
    <w:rsid w:val="003F0BF4"/>
    <w:rsid w:val="003F3889"/>
    <w:rsid w:val="004013CF"/>
    <w:rsid w:val="004201A6"/>
    <w:rsid w:val="00426F4A"/>
    <w:rsid w:val="00433441"/>
    <w:rsid w:val="004667BE"/>
    <w:rsid w:val="004704ED"/>
    <w:rsid w:val="00475D19"/>
    <w:rsid w:val="0049683C"/>
    <w:rsid w:val="004A2C5D"/>
    <w:rsid w:val="004A52E5"/>
    <w:rsid w:val="004C2E04"/>
    <w:rsid w:val="004D327A"/>
    <w:rsid w:val="004E6D59"/>
    <w:rsid w:val="004F099D"/>
    <w:rsid w:val="004F3E9D"/>
    <w:rsid w:val="00520AE8"/>
    <w:rsid w:val="0052139D"/>
    <w:rsid w:val="00585EBC"/>
    <w:rsid w:val="00595CA3"/>
    <w:rsid w:val="005A70CB"/>
    <w:rsid w:val="006206DD"/>
    <w:rsid w:val="00636D76"/>
    <w:rsid w:val="00642355"/>
    <w:rsid w:val="0064576F"/>
    <w:rsid w:val="006646B7"/>
    <w:rsid w:val="006728E9"/>
    <w:rsid w:val="00684D6A"/>
    <w:rsid w:val="006C227C"/>
    <w:rsid w:val="006D2EED"/>
    <w:rsid w:val="006E5B15"/>
    <w:rsid w:val="00704BEA"/>
    <w:rsid w:val="00704D8A"/>
    <w:rsid w:val="007143B9"/>
    <w:rsid w:val="0074415F"/>
    <w:rsid w:val="00785848"/>
    <w:rsid w:val="0078638C"/>
    <w:rsid w:val="007D109F"/>
    <w:rsid w:val="00812871"/>
    <w:rsid w:val="008241BB"/>
    <w:rsid w:val="00843AC6"/>
    <w:rsid w:val="0086756D"/>
    <w:rsid w:val="0087290D"/>
    <w:rsid w:val="00877EC2"/>
    <w:rsid w:val="00883DDA"/>
    <w:rsid w:val="00887320"/>
    <w:rsid w:val="008A5321"/>
    <w:rsid w:val="008B3CCC"/>
    <w:rsid w:val="008F00F2"/>
    <w:rsid w:val="008F7AF8"/>
    <w:rsid w:val="00911904"/>
    <w:rsid w:val="00914B35"/>
    <w:rsid w:val="00934ADC"/>
    <w:rsid w:val="00935CC8"/>
    <w:rsid w:val="009411AE"/>
    <w:rsid w:val="00950D16"/>
    <w:rsid w:val="00960389"/>
    <w:rsid w:val="0098024A"/>
    <w:rsid w:val="009B0207"/>
    <w:rsid w:val="009B2FB7"/>
    <w:rsid w:val="009C280B"/>
    <w:rsid w:val="009F6938"/>
    <w:rsid w:val="009F7750"/>
    <w:rsid w:val="00A0446B"/>
    <w:rsid w:val="00A372D6"/>
    <w:rsid w:val="00A530CA"/>
    <w:rsid w:val="00A8643E"/>
    <w:rsid w:val="00A927A9"/>
    <w:rsid w:val="00A93059"/>
    <w:rsid w:val="00AA5E4E"/>
    <w:rsid w:val="00AA63A1"/>
    <w:rsid w:val="00AD3A89"/>
    <w:rsid w:val="00AE5A10"/>
    <w:rsid w:val="00AF3A04"/>
    <w:rsid w:val="00B13F90"/>
    <w:rsid w:val="00B27B93"/>
    <w:rsid w:val="00B345B9"/>
    <w:rsid w:val="00B34FD1"/>
    <w:rsid w:val="00B466A4"/>
    <w:rsid w:val="00B541DA"/>
    <w:rsid w:val="00B56AA6"/>
    <w:rsid w:val="00B57C7B"/>
    <w:rsid w:val="00B61619"/>
    <w:rsid w:val="00B93313"/>
    <w:rsid w:val="00BB5357"/>
    <w:rsid w:val="00BC7433"/>
    <w:rsid w:val="00BD2DFC"/>
    <w:rsid w:val="00BD4E04"/>
    <w:rsid w:val="00BF114E"/>
    <w:rsid w:val="00C15DA0"/>
    <w:rsid w:val="00C25618"/>
    <w:rsid w:val="00C3364B"/>
    <w:rsid w:val="00C34033"/>
    <w:rsid w:val="00C41706"/>
    <w:rsid w:val="00C5029E"/>
    <w:rsid w:val="00C549D0"/>
    <w:rsid w:val="00C54B6B"/>
    <w:rsid w:val="00C55F23"/>
    <w:rsid w:val="00C56467"/>
    <w:rsid w:val="00C57B0E"/>
    <w:rsid w:val="00C7254D"/>
    <w:rsid w:val="00C84B6B"/>
    <w:rsid w:val="00CA07EC"/>
    <w:rsid w:val="00D05F31"/>
    <w:rsid w:val="00D22330"/>
    <w:rsid w:val="00D43C30"/>
    <w:rsid w:val="00D51127"/>
    <w:rsid w:val="00D536F8"/>
    <w:rsid w:val="00D841A4"/>
    <w:rsid w:val="00DB5934"/>
    <w:rsid w:val="00DE0429"/>
    <w:rsid w:val="00DE1295"/>
    <w:rsid w:val="00DF0F89"/>
    <w:rsid w:val="00E007A5"/>
    <w:rsid w:val="00E135DD"/>
    <w:rsid w:val="00E22581"/>
    <w:rsid w:val="00E3445D"/>
    <w:rsid w:val="00E35C85"/>
    <w:rsid w:val="00E42400"/>
    <w:rsid w:val="00E54BFF"/>
    <w:rsid w:val="00E560CA"/>
    <w:rsid w:val="00E623FB"/>
    <w:rsid w:val="00E74E46"/>
    <w:rsid w:val="00E77D39"/>
    <w:rsid w:val="00EA329A"/>
    <w:rsid w:val="00EA3AD0"/>
    <w:rsid w:val="00EB31F5"/>
    <w:rsid w:val="00EB3870"/>
    <w:rsid w:val="00EC6567"/>
    <w:rsid w:val="00F37ADB"/>
    <w:rsid w:val="00F462C0"/>
    <w:rsid w:val="00F7190E"/>
    <w:rsid w:val="00FB6BB4"/>
    <w:rsid w:val="00FC4002"/>
    <w:rsid w:val="00FE53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90F4F2"/>
  <w15:chartTrackingRefBased/>
  <w15:docId w15:val="{EF07F5FE-550E-445C-8DA0-22442C9A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8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0028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rFonts w:cs="Arial"/>
    </w:rPr>
  </w:style>
  <w:style w:type="paragraph" w:styleId="BodyText">
    <w:name w:val="Body Text"/>
    <w:basedOn w:val="Normal"/>
    <w:pPr>
      <w:jc w:val="both"/>
    </w:pPr>
    <w:rPr>
      <w:rFonts w:cs="Arial"/>
    </w:rPr>
  </w:style>
  <w:style w:type="paragraph" w:styleId="BodyTextIndent3">
    <w:name w:val="Body Text Indent 3"/>
    <w:basedOn w:val="Normal"/>
    <w:pPr>
      <w:ind w:left="540" w:hanging="540"/>
      <w:jc w:val="both"/>
    </w:pPr>
  </w:style>
  <w:style w:type="paragraph" w:styleId="BodyText3">
    <w:name w:val="Body Text 3"/>
    <w:basedOn w:val="Normal"/>
    <w:pPr>
      <w:jc w:val="both"/>
    </w:pPr>
    <w:rPr>
      <w:rFonts w:cs="Arial"/>
      <w:sz w:val="18"/>
    </w:r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rFonts w:cs="Arial"/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56467"/>
    <w:rPr>
      <w:b/>
      <w:bCs/>
    </w:rPr>
  </w:style>
  <w:style w:type="character" w:styleId="Hyperlink">
    <w:name w:val="Hyperlink"/>
    <w:rsid w:val="00B91916"/>
    <w:rPr>
      <w:color w:val="0000FF"/>
      <w:u w:val="single"/>
    </w:rPr>
  </w:style>
  <w:style w:type="character" w:customStyle="1" w:styleId="Heading5Char">
    <w:name w:val="Heading 5 Char"/>
    <w:link w:val="Heading5"/>
    <w:semiHidden/>
    <w:locked/>
    <w:rsid w:val="000028D9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customStyle="1" w:styleId="Achievement">
    <w:name w:val="Achievement"/>
    <w:basedOn w:val="Normal"/>
    <w:rsid w:val="000028D9"/>
    <w:pPr>
      <w:numPr>
        <w:numId w:val="1"/>
      </w:numPr>
    </w:pPr>
    <w:rPr>
      <w:rFonts w:cs="Arial"/>
      <w:szCs w:val="20"/>
    </w:rPr>
  </w:style>
  <w:style w:type="paragraph" w:customStyle="1" w:styleId="81">
    <w:name w:val="表 (赤)  81"/>
    <w:basedOn w:val="Normal"/>
    <w:uiPriority w:val="34"/>
    <w:qFormat/>
    <w:rsid w:val="0069164B"/>
    <w:pPr>
      <w:ind w:left="720"/>
      <w:contextualSpacing/>
    </w:pPr>
  </w:style>
  <w:style w:type="character" w:customStyle="1" w:styleId="Heading1Char">
    <w:name w:val="Heading 1 Char"/>
    <w:link w:val="Heading1"/>
    <w:rsid w:val="00FD0526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link w:val="CommentText"/>
    <w:semiHidden/>
    <w:rsid w:val="00FD0526"/>
    <w:rPr>
      <w:rFonts w:ascii="Arial" w:hAnsi="Arial"/>
    </w:rPr>
  </w:style>
  <w:style w:type="paragraph" w:customStyle="1" w:styleId="Default">
    <w:name w:val="Default"/>
    <w:rsid w:val="00FD0526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customStyle="1" w:styleId="131">
    <w:name w:val="表 (青) 131"/>
    <w:basedOn w:val="Normal"/>
    <w:uiPriority w:val="34"/>
    <w:qFormat/>
    <w:rsid w:val="00FD0526"/>
    <w:pPr>
      <w:ind w:left="720"/>
      <w:contextualSpacing/>
    </w:pPr>
  </w:style>
  <w:style w:type="paragraph" w:styleId="ListParagraph">
    <w:name w:val="List Paragraph"/>
    <w:aliases w:val="References,Bullet List,FooterText,List Paragraph1,Colorful List Accent 1,List Paragraph (numbered (a)),Lapis Bulleted List"/>
    <w:basedOn w:val="Normal"/>
    <w:link w:val="ListParagraphChar"/>
    <w:uiPriority w:val="34"/>
    <w:qFormat/>
    <w:rsid w:val="00934ADC"/>
    <w:pPr>
      <w:spacing w:line="260" w:lineRule="exact"/>
      <w:ind w:left="720"/>
    </w:pPr>
    <w:rPr>
      <w:rFonts w:ascii="Times New Roman" w:hAnsi="Times New Roman"/>
      <w:color w:val="000000"/>
      <w:sz w:val="22"/>
      <w:szCs w:val="20"/>
      <w:lang w:eastAsia="en-GB"/>
    </w:rPr>
  </w:style>
  <w:style w:type="character" w:customStyle="1" w:styleId="ListParagraphChar">
    <w:name w:val="List Paragraph Char"/>
    <w:aliases w:val="References Char,Bullet List Char,FooterText Char,List Paragraph1 Char,Colorful List Accent 1 Char,List Paragraph (numbered (a)) Char,Lapis Bulleted List Char"/>
    <w:link w:val="ListParagraph"/>
    <w:uiPriority w:val="34"/>
    <w:locked/>
    <w:rsid w:val="00934ADC"/>
    <w:rPr>
      <w:rFonts w:eastAsia="ＭＳ 明朝"/>
      <w:color w:val="000000"/>
      <w:sz w:val="22"/>
      <w:lang w:eastAsia="en-GB"/>
    </w:rPr>
  </w:style>
  <w:style w:type="paragraph" w:styleId="NoSpacing">
    <w:name w:val="No Spacing"/>
    <w:uiPriority w:val="1"/>
    <w:qFormat/>
    <w:rsid w:val="0074415F"/>
    <w:rPr>
      <w:sz w:val="24"/>
      <w:szCs w:val="24"/>
    </w:rPr>
  </w:style>
  <w:style w:type="paragraph" w:styleId="Header">
    <w:name w:val="header"/>
    <w:basedOn w:val="Normal"/>
    <w:link w:val="HeaderChar"/>
    <w:rsid w:val="00C340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34033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C340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4033"/>
    <w:rPr>
      <w:rFonts w:ascii="Arial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623FB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paragraph" w:customStyle="1" w:styleId="ColorfulList-Accent11">
    <w:name w:val="Colorful List - Accent 11"/>
    <w:basedOn w:val="Normal"/>
    <w:uiPriority w:val="99"/>
    <w:qFormat/>
    <w:rsid w:val="000D2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2Char">
    <w:name w:val="Body Text Indent 2 Char"/>
    <w:link w:val="BodyTextIndent2"/>
    <w:rsid w:val="00877EC2"/>
    <w:rPr>
      <w:rFonts w:ascii="Arial" w:hAnsi="Arial" w:cs="Arial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B6CFCC-3407-46A9-AC87-49171F20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854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HasanAlimul, BD[ハッサン アリムラ]</cp:lastModifiedBy>
  <cp:revision>19</cp:revision>
  <cp:lastPrinted>2020-11-08T08:07:00Z</cp:lastPrinted>
  <dcterms:created xsi:type="dcterms:W3CDTF">2020-10-11T10:59:00Z</dcterms:created>
  <dcterms:modified xsi:type="dcterms:W3CDTF">2020-11-08T08:08:00Z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Topic:HR</vt:lpwstr>
  </property>
  <property fmtid="{D5CDD505-2E9C-101B-9397-08002B2CF9AE}" pid="3" name="Confidential">
    <vt:lpwstr>0</vt:lpwstr>
  </property>
  <property fmtid="{D5CDD505-2E9C-101B-9397-08002B2CF9AE}" pid="4" name="Owner">
    <vt:lpwstr>Practice HR</vt:lpwstr>
  </property>
  <property fmtid="{D5CDD505-2E9C-101B-9397-08002B2CF9AE}" pid="5" name="Category0">
    <vt:lpwstr>APPT FTA ALD</vt:lpwstr>
  </property>
  <property fmtid="{D5CDD505-2E9C-101B-9397-08002B2CF9AE}" pid="6" name="Replaces">
    <vt:lpwstr>GS and PS Forms (7-2005)</vt:lpwstr>
  </property>
  <property fmtid="{D5CDD505-2E9C-101B-9397-08002B2CF9AE}" pid="7" name="Author1">
    <vt:lpwstr>488</vt:lpwstr>
  </property>
  <property fmtid="{D5CDD505-2E9C-101B-9397-08002B2CF9AE}" pid="8" name="Language">
    <vt:lpwstr>English</vt:lpwstr>
  </property>
  <property fmtid="{D5CDD505-2E9C-101B-9397-08002B2CF9AE}" pid="9" name="Mandatory Review">
    <vt:lpwstr>2007-03-24T00:00:00Z</vt:lpwstr>
  </property>
  <property fmtid="{D5CDD505-2E9C-101B-9397-08002B2CF9AE}" pid="10" name="Version0">
    <vt:lpwstr>1</vt:lpwstr>
  </property>
  <property fmtid="{D5CDD505-2E9C-101B-9397-08002B2CF9AE}" pid="11" name="Title0">
    <vt:lpwstr>UNOPS Job Description Template (2006)</vt:lpwstr>
  </property>
  <property fmtid="{D5CDD505-2E9C-101B-9397-08002B2CF9AE}" pid="12" name="Document Type">
    <vt:lpwstr>Form or Template</vt:lpwstr>
  </property>
  <property fmtid="{D5CDD505-2E9C-101B-9397-08002B2CF9AE}" pid="13" name="Dependency">
    <vt:lpwstr>0</vt:lpwstr>
  </property>
  <property fmtid="{D5CDD505-2E9C-101B-9397-08002B2CF9AE}" pid="14" name="Created for">
    <vt:lpwstr/>
  </property>
  <property fmtid="{D5CDD505-2E9C-101B-9397-08002B2CF9AE}" pid="15" name="Unique Identifier">
    <vt:lpwstr/>
  </property>
  <property fmtid="{D5CDD505-2E9C-101B-9397-08002B2CF9AE}" pid="16" name="Notes0">
    <vt:lpwstr/>
  </property>
  <property fmtid="{D5CDD505-2E9C-101B-9397-08002B2CF9AE}" pid="17" name="Responsible Owner: Unit">
    <vt:lpwstr/>
  </property>
  <property fmtid="{D5CDD505-2E9C-101B-9397-08002B2CF9AE}" pid="18" name="Abstract">
    <vt:lpwstr/>
  </property>
  <property fmtid="{D5CDD505-2E9C-101B-9397-08002B2CF9AE}" pid="19" name="Author0">
    <vt:lpwstr/>
  </property>
  <property fmtid="{D5CDD505-2E9C-101B-9397-08002B2CF9AE}" pid="20" name="Contributors">
    <vt:lpwstr/>
  </property>
  <property fmtid="{D5CDD505-2E9C-101B-9397-08002B2CF9AE}" pid="21" name="ContentType">
    <vt:lpwstr>Document</vt:lpwstr>
  </property>
  <property fmtid="{D5CDD505-2E9C-101B-9397-08002B2CF9AE}" pid="22" name="display_urn:schemas-microsoft-com:office:office#Author1">
    <vt:lpwstr>Diana MORALES</vt:lpwstr>
  </property>
</Properties>
</file>