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55" w:rsidRPr="003B45F9" w:rsidRDefault="007C1764" w:rsidP="0009043C">
      <w:pPr>
        <w:spacing w:after="0"/>
        <w:jc w:val="center"/>
        <w:rPr>
          <w:rFonts w:ascii="IBM Plex Sans Light" w:hAnsi="IBM Plex Sans Light"/>
          <w:b/>
          <w:sz w:val="30"/>
          <w:szCs w:val="18"/>
        </w:rPr>
      </w:pPr>
      <w:r w:rsidRPr="003B45F9">
        <w:rPr>
          <w:rFonts w:ascii="IBM Plex Sans Light" w:hAnsi="IBM Plex Sans Light"/>
          <w:b/>
          <w:noProof/>
          <w:sz w:val="30"/>
          <w:szCs w:val="18"/>
        </w:rPr>
        <w:drawing>
          <wp:anchor distT="0" distB="0" distL="114300" distR="114300" simplePos="0" relativeHeight="251658240" behindDoc="0" locked="0" layoutInCell="1" allowOverlap="1">
            <wp:simplePos x="0" y="0"/>
            <wp:positionH relativeFrom="column">
              <wp:posOffset>5035550</wp:posOffset>
            </wp:positionH>
            <wp:positionV relativeFrom="paragraph">
              <wp:posOffset>7620</wp:posOffset>
            </wp:positionV>
            <wp:extent cx="1631950" cy="688975"/>
            <wp:effectExtent l="0" t="0" r="0" b="0"/>
            <wp:wrapSquare wrapText="bothSides"/>
            <wp:docPr id="1" name="Picture 1" descr="CONC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950"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764" w:rsidRPr="003B45F9" w:rsidRDefault="007C1764" w:rsidP="007C1764">
      <w:pPr>
        <w:spacing w:after="0"/>
        <w:rPr>
          <w:rFonts w:ascii="IBM Plex Sans Light" w:hAnsi="IBM Plex Sans Light"/>
          <w:b/>
          <w:sz w:val="30"/>
          <w:szCs w:val="18"/>
        </w:rPr>
      </w:pPr>
    </w:p>
    <w:p w:rsidR="007C1764" w:rsidRPr="003B45F9" w:rsidRDefault="007C1764" w:rsidP="007C1764">
      <w:pPr>
        <w:spacing w:after="0"/>
        <w:rPr>
          <w:rFonts w:ascii="IBM Plex Sans Light" w:hAnsi="IBM Plex Sans Light"/>
          <w:b/>
          <w:sz w:val="30"/>
          <w:szCs w:val="18"/>
        </w:rPr>
      </w:pPr>
    </w:p>
    <w:p w:rsidR="00346BB7" w:rsidRPr="003B45F9" w:rsidRDefault="00346BB7" w:rsidP="007C1764">
      <w:pPr>
        <w:spacing w:after="0"/>
        <w:jc w:val="center"/>
        <w:rPr>
          <w:rFonts w:ascii="IBM Plex Sans Light" w:hAnsi="IBM Plex Sans Light"/>
          <w:b/>
          <w:sz w:val="30"/>
          <w:szCs w:val="18"/>
        </w:rPr>
      </w:pPr>
      <w:r w:rsidRPr="003B45F9">
        <w:rPr>
          <w:rFonts w:ascii="IBM Plex Sans Light" w:hAnsi="IBM Plex Sans Light"/>
          <w:b/>
          <w:sz w:val="30"/>
          <w:szCs w:val="18"/>
        </w:rPr>
        <w:t>Concern Worldwide, Bangladesh</w:t>
      </w:r>
    </w:p>
    <w:p w:rsidR="007C1764" w:rsidRPr="003B45F9" w:rsidRDefault="00F31F3D" w:rsidP="0009043C">
      <w:pPr>
        <w:spacing w:after="0"/>
        <w:jc w:val="center"/>
        <w:rPr>
          <w:rFonts w:ascii="IBM Plex Sans Light" w:hAnsi="IBM Plex Sans Light"/>
          <w:sz w:val="30"/>
          <w:szCs w:val="18"/>
        </w:rPr>
      </w:pPr>
      <w:r w:rsidRPr="003B45F9">
        <w:rPr>
          <w:rFonts w:ascii="IBM Plex Sans Light" w:hAnsi="IBM Plex Sans Light"/>
          <w:sz w:val="30"/>
          <w:szCs w:val="18"/>
        </w:rPr>
        <w:t>Terms of Reference</w:t>
      </w:r>
    </w:p>
    <w:p w:rsidR="0009043C" w:rsidRPr="003B45F9" w:rsidRDefault="002B1674" w:rsidP="0009043C">
      <w:pPr>
        <w:spacing w:after="0"/>
        <w:jc w:val="center"/>
        <w:rPr>
          <w:rFonts w:ascii="IBM Plex Sans Light" w:hAnsi="IBM Plex Sans Light"/>
          <w:b/>
          <w:sz w:val="30"/>
          <w:szCs w:val="18"/>
        </w:rPr>
      </w:pPr>
      <w:r w:rsidRPr="003B45F9">
        <w:rPr>
          <w:rFonts w:ascii="IBM Plex Sans Light" w:hAnsi="IBM Plex Sans Light"/>
          <w:b/>
          <w:sz w:val="30"/>
          <w:szCs w:val="18"/>
        </w:rPr>
        <w:t>Intern</w:t>
      </w:r>
      <w:r w:rsidR="003D685E" w:rsidRPr="003B45F9">
        <w:rPr>
          <w:rFonts w:ascii="IBM Plex Sans Light" w:hAnsi="IBM Plex Sans Light"/>
          <w:b/>
          <w:sz w:val="30"/>
          <w:szCs w:val="18"/>
        </w:rPr>
        <w:t>- Human Resources</w:t>
      </w:r>
    </w:p>
    <w:p w:rsidR="00346BB7" w:rsidRPr="003B45F9" w:rsidRDefault="00346BB7" w:rsidP="00346BB7">
      <w:pPr>
        <w:spacing w:after="0"/>
        <w:jc w:val="center"/>
        <w:rPr>
          <w:rFonts w:ascii="IBM Plex Sans Light" w:hAnsi="IBM Plex Sans Light"/>
          <w:sz w:val="28"/>
          <w:szCs w:val="18"/>
        </w:rPr>
      </w:pPr>
      <w:r w:rsidRPr="003B45F9">
        <w:rPr>
          <w:rFonts w:ascii="IBM Plex Sans Light" w:hAnsi="IBM Plex Sans Light"/>
          <w:sz w:val="28"/>
          <w:szCs w:val="18"/>
        </w:rPr>
        <w:t>Human Resources Department, Systems Unit</w:t>
      </w:r>
    </w:p>
    <w:p w:rsidR="00346BB7" w:rsidRPr="003B45F9" w:rsidRDefault="00346BB7" w:rsidP="00346BB7">
      <w:pPr>
        <w:spacing w:after="0"/>
        <w:jc w:val="center"/>
        <w:rPr>
          <w:rFonts w:ascii="IBM Plex Sans Light" w:hAnsi="IBM Plex Sans Light"/>
          <w:sz w:val="28"/>
          <w:szCs w:val="18"/>
        </w:rPr>
      </w:pPr>
      <w:r w:rsidRPr="003B45F9">
        <w:rPr>
          <w:rFonts w:ascii="IBM Plex Sans Light" w:hAnsi="IBM Plex Sans Light"/>
          <w:sz w:val="28"/>
          <w:szCs w:val="18"/>
        </w:rPr>
        <w:t>Head Office, Dhaka</w:t>
      </w:r>
    </w:p>
    <w:p w:rsidR="0009043C" w:rsidRPr="003B45F9" w:rsidRDefault="0009043C" w:rsidP="0009043C">
      <w:pPr>
        <w:spacing w:after="0"/>
        <w:jc w:val="both"/>
        <w:rPr>
          <w:rFonts w:ascii="IBM Plex Sans Light" w:hAnsi="IBM Plex Sans Light"/>
          <w:sz w:val="30"/>
          <w:szCs w:val="18"/>
        </w:rPr>
      </w:pPr>
      <w:r w:rsidRPr="003B45F9">
        <w:rPr>
          <w:rFonts w:ascii="IBM Plex Sans Light" w:hAnsi="IBM Plex Sans Light"/>
          <w:sz w:val="30"/>
          <w:szCs w:val="18"/>
        </w:rPr>
        <w:t>__</w:t>
      </w:r>
      <w:r w:rsidR="007C1764" w:rsidRPr="003B45F9">
        <w:rPr>
          <w:rFonts w:ascii="IBM Plex Sans Light" w:hAnsi="IBM Plex Sans Light"/>
          <w:sz w:val="30"/>
          <w:szCs w:val="18"/>
        </w:rPr>
        <w:t>__________________________</w:t>
      </w:r>
      <w:r w:rsidR="00CB714B" w:rsidRPr="003B45F9">
        <w:rPr>
          <w:rFonts w:ascii="IBM Plex Sans Light" w:hAnsi="IBM Plex Sans Light"/>
          <w:sz w:val="30"/>
          <w:szCs w:val="18"/>
        </w:rPr>
        <w:t>____________________________</w:t>
      </w:r>
    </w:p>
    <w:p w:rsidR="00B61190" w:rsidRPr="00CA584B" w:rsidRDefault="00B61190" w:rsidP="007C1764">
      <w:pPr>
        <w:spacing w:after="0"/>
        <w:jc w:val="both"/>
        <w:rPr>
          <w:rFonts w:ascii="IBM Plex Sans Light" w:hAnsi="IBM Plex Sans Light"/>
          <w:b/>
          <w:u w:val="single"/>
        </w:rPr>
      </w:pPr>
      <w:r w:rsidRPr="00CA584B">
        <w:rPr>
          <w:rFonts w:ascii="IBM Plex Sans Light" w:hAnsi="IBM Plex Sans Light"/>
          <w:b/>
          <w:u w:val="single"/>
        </w:rPr>
        <w:t xml:space="preserve">Scope of Responsibilities: </w:t>
      </w:r>
      <w:r w:rsidR="008C6954" w:rsidRPr="00CA584B">
        <w:rPr>
          <w:rFonts w:ascii="IBM Plex Sans Light" w:hAnsi="IBM Plex Sans Light"/>
          <w:b/>
          <w:u w:val="single"/>
        </w:rPr>
        <w:t xml:space="preserve"> </w:t>
      </w:r>
      <w:r w:rsidR="002B1674" w:rsidRPr="00CA584B">
        <w:rPr>
          <w:rFonts w:ascii="IBM Plex Sans Light" w:hAnsi="IBM Plex Sans Light"/>
        </w:rPr>
        <w:t>The</w:t>
      </w:r>
      <w:r w:rsidR="00F31F3D" w:rsidRPr="00CA584B">
        <w:rPr>
          <w:rFonts w:ascii="IBM Plex Sans Light" w:hAnsi="IBM Plex Sans Light"/>
        </w:rPr>
        <w:t xml:space="preserve"> </w:t>
      </w:r>
      <w:r w:rsidR="003D685E" w:rsidRPr="00CA584B">
        <w:rPr>
          <w:rFonts w:ascii="IBM Plex Sans Light" w:hAnsi="IBM Plex Sans Light"/>
          <w:b/>
        </w:rPr>
        <w:t>Intern- Human Resources</w:t>
      </w:r>
      <w:r w:rsidR="003D685E" w:rsidRPr="00CA584B">
        <w:rPr>
          <w:rFonts w:ascii="IBM Plex Sans Light" w:hAnsi="IBM Plex Sans Light"/>
        </w:rPr>
        <w:t xml:space="preserve"> </w:t>
      </w:r>
      <w:r w:rsidR="006D71C2" w:rsidRPr="00CA584B">
        <w:rPr>
          <w:rFonts w:ascii="IBM Plex Sans Light" w:hAnsi="IBM Plex Sans Light"/>
        </w:rPr>
        <w:t>will be</w:t>
      </w:r>
      <w:r w:rsidRPr="00CA584B">
        <w:rPr>
          <w:rFonts w:ascii="IBM Plex Sans Light" w:hAnsi="IBM Plex Sans Light"/>
        </w:rPr>
        <w:t xml:space="preserve"> supporting the </w:t>
      </w:r>
      <w:r w:rsidR="006C34B9" w:rsidRPr="00CA584B">
        <w:rPr>
          <w:rFonts w:ascii="IBM Plex Sans Light" w:hAnsi="IBM Plex Sans Light"/>
        </w:rPr>
        <w:t>HR Operations</w:t>
      </w:r>
      <w:r w:rsidRPr="00CA584B">
        <w:rPr>
          <w:rFonts w:ascii="IBM Plex Sans Light" w:hAnsi="IBM Plex Sans Light"/>
        </w:rPr>
        <w:t xml:space="preserve"> as a part of fulfilling the organizational commitment to poor people by contributing to the </w:t>
      </w:r>
      <w:r w:rsidR="006C34B9" w:rsidRPr="00CA584B">
        <w:rPr>
          <w:rFonts w:ascii="IBM Plex Sans Light" w:hAnsi="IBM Plex Sans Light"/>
        </w:rPr>
        <w:t xml:space="preserve">HR operational </w:t>
      </w:r>
      <w:r w:rsidRPr="00CA584B">
        <w:rPr>
          <w:rFonts w:ascii="IBM Plex Sans Light" w:hAnsi="IBM Plex Sans Light"/>
        </w:rPr>
        <w:t>process</w:t>
      </w:r>
      <w:r w:rsidR="006C34B9" w:rsidRPr="00CA584B">
        <w:rPr>
          <w:rFonts w:ascii="IBM Plex Sans Light" w:hAnsi="IBM Plex Sans Light"/>
        </w:rPr>
        <w:t>es.</w:t>
      </w:r>
    </w:p>
    <w:p w:rsidR="006C34B9" w:rsidRPr="00CA584B" w:rsidRDefault="006C34B9" w:rsidP="007C1764">
      <w:pPr>
        <w:spacing w:after="0"/>
        <w:jc w:val="both"/>
        <w:rPr>
          <w:rFonts w:ascii="IBM Plex Sans Light" w:hAnsi="IBM Plex Sans Light"/>
          <w:b/>
        </w:rPr>
      </w:pPr>
    </w:p>
    <w:p w:rsidR="0087174E" w:rsidRPr="00CA584B" w:rsidRDefault="00B61190" w:rsidP="007C1764">
      <w:pPr>
        <w:jc w:val="both"/>
        <w:rPr>
          <w:rFonts w:ascii="IBM Plex Sans Light" w:hAnsi="IBM Plex Sans Light"/>
          <w:b/>
          <w:u w:val="single"/>
        </w:rPr>
      </w:pPr>
      <w:r w:rsidRPr="00CA584B">
        <w:rPr>
          <w:rFonts w:ascii="IBM Plex Sans Light" w:hAnsi="IBM Plex Sans Light"/>
          <w:b/>
          <w:u w:val="single"/>
        </w:rPr>
        <w:t xml:space="preserve">Responsibilities: </w:t>
      </w:r>
      <w:r w:rsidR="008C6954" w:rsidRPr="00CA584B">
        <w:rPr>
          <w:rFonts w:ascii="IBM Plex Sans Light" w:hAnsi="IBM Plex Sans Light"/>
          <w:b/>
          <w:u w:val="single"/>
        </w:rPr>
        <w:t xml:space="preserve"> </w:t>
      </w:r>
      <w:r w:rsidRPr="00CA584B">
        <w:rPr>
          <w:rFonts w:ascii="IBM Plex Sans Light" w:hAnsi="IBM Plex Sans Light"/>
        </w:rPr>
        <w:t xml:space="preserve">To contribute to </w:t>
      </w:r>
      <w:r w:rsidR="008B108A" w:rsidRPr="00CA584B">
        <w:rPr>
          <w:rFonts w:ascii="IBM Plex Sans Light" w:hAnsi="IBM Plex Sans Light"/>
        </w:rPr>
        <w:t>standardize</w:t>
      </w:r>
      <w:r w:rsidR="004B027B" w:rsidRPr="00CA584B">
        <w:rPr>
          <w:rFonts w:ascii="IBM Plex Sans Light" w:hAnsi="IBM Plex Sans Light"/>
        </w:rPr>
        <w:t xml:space="preserve"> the processes, </w:t>
      </w:r>
      <w:r w:rsidR="006C34B9" w:rsidRPr="00CA584B">
        <w:rPr>
          <w:rFonts w:ascii="IBM Plex Sans Light" w:hAnsi="IBM Plex Sans Light"/>
        </w:rPr>
        <w:t xml:space="preserve">streamline </w:t>
      </w:r>
      <w:r w:rsidR="004B027B" w:rsidRPr="00CA584B">
        <w:rPr>
          <w:rFonts w:ascii="IBM Plex Sans Light" w:hAnsi="IBM Plex Sans Light"/>
        </w:rPr>
        <w:t xml:space="preserve">and improving the </w:t>
      </w:r>
      <w:r w:rsidR="006C34B9" w:rsidRPr="00CA584B">
        <w:rPr>
          <w:rFonts w:ascii="IBM Plex Sans Light" w:hAnsi="IBM Plex Sans Light"/>
        </w:rPr>
        <w:t>systems</w:t>
      </w:r>
      <w:r w:rsidR="007C1764" w:rsidRPr="00CA584B">
        <w:rPr>
          <w:rFonts w:ascii="IBM Plex Sans Light" w:hAnsi="IBM Plex Sans Light"/>
        </w:rPr>
        <w:t xml:space="preserve"> on: Filing, HRIS, Mid-Year Performance Development Review, recruitment and general HR tasks.</w:t>
      </w:r>
    </w:p>
    <w:p w:rsidR="00B44627" w:rsidRPr="00CA584B" w:rsidRDefault="004B027B" w:rsidP="007C1764">
      <w:pPr>
        <w:jc w:val="both"/>
        <w:rPr>
          <w:rFonts w:ascii="IBM Plex Sans Light" w:hAnsi="IBM Plex Sans Light"/>
        </w:rPr>
      </w:pPr>
      <w:r w:rsidRPr="00CA584B">
        <w:rPr>
          <w:rFonts w:ascii="IBM Plex Sans Light" w:hAnsi="IBM Plex Sans Light"/>
        </w:rPr>
        <w:t>The objectives of the engagement are shared in the following matrix along with the activities, expected results and timeline for better understanding:</w:t>
      </w:r>
    </w:p>
    <w:tbl>
      <w:tblPr>
        <w:tblStyle w:val="TableGrid"/>
        <w:tblW w:w="9776" w:type="dxa"/>
        <w:tblLayout w:type="fixed"/>
        <w:tblLook w:val="04A0" w:firstRow="1" w:lastRow="0" w:firstColumn="1" w:lastColumn="0" w:noHBand="0" w:noVBand="1"/>
      </w:tblPr>
      <w:tblGrid>
        <w:gridCol w:w="2965"/>
        <w:gridCol w:w="6811"/>
      </w:tblGrid>
      <w:tr w:rsidR="003B45F9" w:rsidRPr="00CA584B" w:rsidTr="006B3F96">
        <w:trPr>
          <w:trHeight w:val="314"/>
        </w:trPr>
        <w:tc>
          <w:tcPr>
            <w:tcW w:w="2965" w:type="dxa"/>
            <w:shd w:val="clear" w:color="auto" w:fill="EEECE1" w:themeFill="background2"/>
            <w:vAlign w:val="center"/>
          </w:tcPr>
          <w:p w:rsidR="00126D69" w:rsidRPr="00CA584B" w:rsidRDefault="00126D69" w:rsidP="007C1764">
            <w:pPr>
              <w:jc w:val="both"/>
              <w:rPr>
                <w:rFonts w:ascii="IBM Plex Sans Light" w:hAnsi="IBM Plex Sans Light"/>
                <w:b/>
              </w:rPr>
            </w:pPr>
            <w:r w:rsidRPr="00CA584B">
              <w:rPr>
                <w:rFonts w:ascii="IBM Plex Sans Light" w:hAnsi="IBM Plex Sans Light"/>
                <w:b/>
              </w:rPr>
              <w:t>Objectives</w:t>
            </w:r>
          </w:p>
        </w:tc>
        <w:tc>
          <w:tcPr>
            <w:tcW w:w="6811" w:type="dxa"/>
            <w:shd w:val="clear" w:color="auto" w:fill="EEECE1" w:themeFill="background2"/>
            <w:vAlign w:val="center"/>
          </w:tcPr>
          <w:p w:rsidR="00126D69" w:rsidRPr="00CA584B" w:rsidRDefault="00126D69" w:rsidP="007C1764">
            <w:pPr>
              <w:jc w:val="both"/>
              <w:rPr>
                <w:rFonts w:ascii="IBM Plex Sans Light" w:hAnsi="IBM Plex Sans Light"/>
                <w:b/>
              </w:rPr>
            </w:pPr>
            <w:r w:rsidRPr="00CA584B">
              <w:rPr>
                <w:rFonts w:ascii="IBM Plex Sans Light" w:hAnsi="IBM Plex Sans Light"/>
                <w:b/>
              </w:rPr>
              <w:t>Activities</w:t>
            </w:r>
          </w:p>
        </w:tc>
      </w:tr>
      <w:tr w:rsidR="003B45F9" w:rsidRPr="00CA584B" w:rsidTr="006B3F96">
        <w:tc>
          <w:tcPr>
            <w:tcW w:w="2965" w:type="dxa"/>
          </w:tcPr>
          <w:p w:rsidR="0087174E" w:rsidRPr="00CA584B" w:rsidRDefault="0087174E" w:rsidP="007C1764">
            <w:pPr>
              <w:jc w:val="both"/>
              <w:rPr>
                <w:rFonts w:ascii="IBM Plex Sans Light" w:hAnsi="IBM Plex Sans Light"/>
              </w:rPr>
            </w:pPr>
            <w:r w:rsidRPr="00CA584B">
              <w:rPr>
                <w:rFonts w:ascii="IBM Plex Sans Light" w:hAnsi="IBM Plex Sans Light"/>
              </w:rPr>
              <w:t>Contribute to streamlining the filing systems</w:t>
            </w:r>
            <w:r w:rsidR="008C6954" w:rsidRPr="00CA584B">
              <w:rPr>
                <w:rFonts w:ascii="IBM Plex Sans Light" w:hAnsi="IBM Plex Sans Light"/>
              </w:rPr>
              <w:t xml:space="preserve"> (physical and electronic filing) </w:t>
            </w:r>
          </w:p>
        </w:tc>
        <w:tc>
          <w:tcPr>
            <w:tcW w:w="6811" w:type="dxa"/>
          </w:tcPr>
          <w:p w:rsidR="0087174E" w:rsidRPr="00CA584B" w:rsidRDefault="0087174E" w:rsidP="007C1764">
            <w:pPr>
              <w:pStyle w:val="ListParagraph"/>
              <w:numPr>
                <w:ilvl w:val="0"/>
                <w:numId w:val="3"/>
              </w:numPr>
              <w:jc w:val="both"/>
              <w:rPr>
                <w:rFonts w:ascii="IBM Plex Sans Light" w:hAnsi="IBM Plex Sans Light"/>
              </w:rPr>
            </w:pPr>
            <w:r w:rsidRPr="00CA584B">
              <w:rPr>
                <w:rFonts w:ascii="IBM Plex Sans Light" w:hAnsi="IBM Plex Sans Light"/>
              </w:rPr>
              <w:t>Assist to impro</w:t>
            </w:r>
            <w:r w:rsidR="008C6954" w:rsidRPr="00CA584B">
              <w:rPr>
                <w:rFonts w:ascii="IBM Plex Sans Light" w:hAnsi="IBM Plex Sans Light"/>
              </w:rPr>
              <w:t>ving</w:t>
            </w:r>
            <w:r w:rsidRPr="00CA584B">
              <w:rPr>
                <w:rFonts w:ascii="IBM Plex Sans Light" w:hAnsi="IBM Plex Sans Light"/>
              </w:rPr>
              <w:t xml:space="preserve"> the existing personal filing systems</w:t>
            </w:r>
          </w:p>
          <w:p w:rsidR="0087174E" w:rsidRPr="00CA584B" w:rsidRDefault="0087174E" w:rsidP="007C1764">
            <w:pPr>
              <w:pStyle w:val="ListParagraph"/>
              <w:numPr>
                <w:ilvl w:val="0"/>
                <w:numId w:val="3"/>
              </w:numPr>
              <w:jc w:val="both"/>
              <w:rPr>
                <w:rFonts w:ascii="IBM Plex Sans Light" w:hAnsi="IBM Plex Sans Light"/>
              </w:rPr>
            </w:pPr>
            <w:r w:rsidRPr="00CA584B">
              <w:rPr>
                <w:rFonts w:ascii="IBM Plex Sans Light" w:hAnsi="IBM Plex Sans Light"/>
              </w:rPr>
              <w:t>Assist in creating new joiners’ personal files</w:t>
            </w:r>
          </w:p>
          <w:p w:rsidR="0087174E" w:rsidRPr="00CA584B" w:rsidRDefault="0087174E" w:rsidP="007C1764">
            <w:pPr>
              <w:pStyle w:val="ListParagraph"/>
              <w:numPr>
                <w:ilvl w:val="0"/>
                <w:numId w:val="3"/>
              </w:numPr>
              <w:jc w:val="both"/>
              <w:rPr>
                <w:rFonts w:ascii="IBM Plex Sans Light" w:hAnsi="IBM Plex Sans Light"/>
              </w:rPr>
            </w:pPr>
            <w:r w:rsidRPr="00CA584B">
              <w:rPr>
                <w:rFonts w:ascii="IBM Plex Sans Light" w:hAnsi="IBM Plex Sans Light"/>
              </w:rPr>
              <w:t>Assist in improving leavers’ personal files</w:t>
            </w:r>
          </w:p>
          <w:p w:rsidR="0087174E" w:rsidRPr="00CA584B" w:rsidRDefault="0087174E"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updating the Exit Interview files </w:t>
            </w:r>
          </w:p>
          <w:p w:rsidR="0087174E" w:rsidRPr="00CA584B" w:rsidRDefault="0087174E" w:rsidP="007C1764">
            <w:pPr>
              <w:pStyle w:val="ListParagraph"/>
              <w:numPr>
                <w:ilvl w:val="0"/>
                <w:numId w:val="3"/>
              </w:numPr>
              <w:jc w:val="both"/>
              <w:rPr>
                <w:rFonts w:ascii="IBM Plex Sans Light" w:hAnsi="IBM Plex Sans Light"/>
              </w:rPr>
            </w:pPr>
            <w:r w:rsidRPr="00CA584B">
              <w:rPr>
                <w:rFonts w:ascii="IBM Plex Sans Light" w:hAnsi="IBM Plex Sans Light"/>
              </w:rPr>
              <w:t>Scanning key HR documents for maintaining electronic version as the backup for mitigating potential risks as well as for future system automation.</w:t>
            </w:r>
          </w:p>
        </w:tc>
      </w:tr>
      <w:tr w:rsidR="003B45F9" w:rsidRPr="00CA584B" w:rsidTr="006B3F96">
        <w:tc>
          <w:tcPr>
            <w:tcW w:w="2965" w:type="dxa"/>
          </w:tcPr>
          <w:p w:rsidR="007C1764" w:rsidRPr="00CA584B" w:rsidRDefault="007C1764" w:rsidP="007C1764">
            <w:pPr>
              <w:jc w:val="both"/>
              <w:rPr>
                <w:rFonts w:ascii="IBM Plex Sans Light" w:hAnsi="IBM Plex Sans Light"/>
              </w:rPr>
            </w:pPr>
            <w:r w:rsidRPr="00CA584B">
              <w:rPr>
                <w:rFonts w:ascii="IBM Plex Sans Light" w:hAnsi="IBM Plex Sans Light"/>
              </w:rPr>
              <w:t>Tracking Mid-Year Performance Development Review 2022 (PDR) status</w:t>
            </w:r>
          </w:p>
        </w:tc>
        <w:tc>
          <w:tcPr>
            <w:tcW w:w="6811" w:type="dxa"/>
          </w:tcPr>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Tracking Mid-Year 2022 Performance Development Review (PDR) appraisal forms and filing </w:t>
            </w:r>
          </w:p>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filing Mid-Year 2022 forms </w:t>
            </w:r>
          </w:p>
        </w:tc>
      </w:tr>
      <w:tr w:rsidR="003B45F9" w:rsidRPr="00CA584B" w:rsidTr="006B3F96">
        <w:tc>
          <w:tcPr>
            <w:tcW w:w="2965" w:type="dxa"/>
          </w:tcPr>
          <w:p w:rsidR="007C1764" w:rsidRPr="00CA584B" w:rsidRDefault="007C1764" w:rsidP="007C1764">
            <w:pPr>
              <w:jc w:val="both"/>
              <w:rPr>
                <w:rFonts w:ascii="IBM Plex Sans Light" w:hAnsi="IBM Plex Sans Light"/>
              </w:rPr>
            </w:pPr>
            <w:r w:rsidRPr="00CA584B">
              <w:rPr>
                <w:rFonts w:ascii="IBM Plex Sans Light" w:hAnsi="IBM Plex Sans Light"/>
              </w:rPr>
              <w:t>Assist in HRIS Data Entry</w:t>
            </w:r>
          </w:p>
        </w:tc>
        <w:tc>
          <w:tcPr>
            <w:tcW w:w="6811" w:type="dxa"/>
          </w:tcPr>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updating existing HRIS Staff data such as nominee information, educational qualifications, extension periods etc. </w:t>
            </w:r>
          </w:p>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HRIS data entry of newly recruited staff and leavers. </w:t>
            </w:r>
          </w:p>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Produce/generate reports such as attendance reports as and when required </w:t>
            </w:r>
          </w:p>
        </w:tc>
      </w:tr>
      <w:tr w:rsidR="003B45F9" w:rsidRPr="00CA584B" w:rsidTr="006B3F96">
        <w:tc>
          <w:tcPr>
            <w:tcW w:w="2965" w:type="dxa"/>
            <w:shd w:val="clear" w:color="auto" w:fill="auto"/>
          </w:tcPr>
          <w:p w:rsidR="007C1764" w:rsidRPr="00CA584B" w:rsidRDefault="007C1764" w:rsidP="007C1764">
            <w:pPr>
              <w:jc w:val="both"/>
              <w:rPr>
                <w:rFonts w:ascii="IBM Plex Sans Light" w:hAnsi="IBM Plex Sans Light"/>
              </w:rPr>
            </w:pPr>
            <w:r w:rsidRPr="00CA584B">
              <w:rPr>
                <w:rFonts w:ascii="IBM Plex Sans Light" w:hAnsi="IBM Plex Sans Light"/>
              </w:rPr>
              <w:t xml:space="preserve">Assist in the overall recruitment </w:t>
            </w:r>
            <w:r w:rsidRPr="00CA584B">
              <w:rPr>
                <w:rFonts w:ascii="IBM Plex Sans Light" w:hAnsi="IBM Plex Sans Light"/>
              </w:rPr>
              <w:t xml:space="preserve">and consultancy hiring </w:t>
            </w:r>
            <w:r w:rsidRPr="00CA584B">
              <w:rPr>
                <w:rFonts w:ascii="IBM Plex Sans Light" w:hAnsi="IBM Plex Sans Light"/>
              </w:rPr>
              <w:t>processes</w:t>
            </w:r>
          </w:p>
        </w:tc>
        <w:tc>
          <w:tcPr>
            <w:tcW w:w="6811" w:type="dxa"/>
            <w:shd w:val="clear" w:color="auto" w:fill="auto"/>
          </w:tcPr>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 xml:space="preserve">Assist in coordinating the recruitment </w:t>
            </w:r>
            <w:r w:rsidRPr="00CA584B">
              <w:rPr>
                <w:rFonts w:ascii="IBM Plex Sans Light" w:hAnsi="IBM Plex Sans Light"/>
              </w:rPr>
              <w:t xml:space="preserve">and consultancy hiring </w:t>
            </w:r>
            <w:r w:rsidRPr="00CA584B">
              <w:rPr>
                <w:rFonts w:ascii="IBM Plex Sans Light" w:hAnsi="IBM Plex Sans Light"/>
              </w:rPr>
              <w:t>process</w:t>
            </w:r>
          </w:p>
          <w:p w:rsidR="007C1764" w:rsidRPr="00CA584B" w:rsidRDefault="007C1764" w:rsidP="006B3F96">
            <w:pPr>
              <w:pStyle w:val="ListParagraph"/>
              <w:numPr>
                <w:ilvl w:val="0"/>
                <w:numId w:val="3"/>
              </w:numPr>
              <w:jc w:val="both"/>
              <w:rPr>
                <w:rFonts w:ascii="IBM Plex Sans Light" w:hAnsi="IBM Plex Sans Light"/>
              </w:rPr>
            </w:pPr>
            <w:r w:rsidRPr="00CA584B">
              <w:rPr>
                <w:rFonts w:ascii="IBM Plex Sans Light" w:hAnsi="IBM Plex Sans Light"/>
              </w:rPr>
              <w:t xml:space="preserve">Assist in </w:t>
            </w:r>
            <w:r w:rsidRPr="00CA584B">
              <w:rPr>
                <w:rFonts w:ascii="IBM Plex Sans Light" w:hAnsi="IBM Plex Sans Light"/>
              </w:rPr>
              <w:t>updating the</w:t>
            </w:r>
            <w:r w:rsidRPr="00CA584B">
              <w:rPr>
                <w:rFonts w:ascii="IBM Plex Sans Light" w:hAnsi="IBM Plex Sans Light"/>
              </w:rPr>
              <w:t xml:space="preserve"> recruitment</w:t>
            </w:r>
            <w:r w:rsidRPr="00CA584B">
              <w:rPr>
                <w:rFonts w:ascii="IBM Plex Sans Light" w:hAnsi="IBM Plex Sans Light"/>
              </w:rPr>
              <w:t xml:space="preserve"> and consultancy</w:t>
            </w:r>
            <w:r w:rsidRPr="00CA584B">
              <w:rPr>
                <w:rFonts w:ascii="IBM Plex Sans Light" w:hAnsi="IBM Plex Sans Light"/>
              </w:rPr>
              <w:t xml:space="preserve"> files</w:t>
            </w:r>
          </w:p>
        </w:tc>
      </w:tr>
      <w:tr w:rsidR="003B45F9" w:rsidRPr="00CA584B" w:rsidTr="006B3F96">
        <w:tc>
          <w:tcPr>
            <w:tcW w:w="2965" w:type="dxa"/>
          </w:tcPr>
          <w:p w:rsidR="007C1764" w:rsidRPr="00CA584B" w:rsidRDefault="007C1764" w:rsidP="007C1764">
            <w:pPr>
              <w:jc w:val="both"/>
              <w:rPr>
                <w:rFonts w:ascii="IBM Plex Sans Light" w:hAnsi="IBM Plex Sans Light"/>
              </w:rPr>
            </w:pPr>
            <w:r w:rsidRPr="00CA584B">
              <w:rPr>
                <w:rFonts w:ascii="IBM Plex Sans Light" w:hAnsi="IBM Plex Sans Light"/>
              </w:rPr>
              <w:t>HR Operations</w:t>
            </w:r>
          </w:p>
        </w:tc>
        <w:tc>
          <w:tcPr>
            <w:tcW w:w="6811" w:type="dxa"/>
          </w:tcPr>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Assist in preparing ID Cards;</w:t>
            </w:r>
          </w:p>
          <w:p w:rsidR="007C1764" w:rsidRPr="00CA584B" w:rsidRDefault="007C1764" w:rsidP="007C1764">
            <w:pPr>
              <w:pStyle w:val="ListParagraph"/>
              <w:numPr>
                <w:ilvl w:val="0"/>
                <w:numId w:val="3"/>
              </w:numPr>
              <w:jc w:val="both"/>
              <w:rPr>
                <w:rFonts w:ascii="IBM Plex Sans Light" w:hAnsi="IBM Plex Sans Light"/>
              </w:rPr>
            </w:pPr>
            <w:r w:rsidRPr="00CA584B">
              <w:rPr>
                <w:rFonts w:ascii="IBM Plex Sans Light" w:hAnsi="IBM Plex Sans Light"/>
              </w:rPr>
              <w:t>Assist in general HR tasks</w:t>
            </w:r>
          </w:p>
          <w:p w:rsidR="007C1764" w:rsidRPr="00CA584B" w:rsidRDefault="00CA584B" w:rsidP="00CA584B">
            <w:pPr>
              <w:pStyle w:val="ListParagraph"/>
              <w:numPr>
                <w:ilvl w:val="0"/>
                <w:numId w:val="3"/>
              </w:numPr>
              <w:rPr>
                <w:rFonts w:ascii="IBM Plex Sans Light" w:hAnsi="IBM Plex Sans Light"/>
              </w:rPr>
            </w:pPr>
            <w:r w:rsidRPr="00CA584B">
              <w:rPr>
                <w:rFonts w:ascii="IBM Plex Sans Light" w:hAnsi="IBM Plex Sans Light"/>
              </w:rPr>
              <w:t>Undertake other related duties as may reasonably be assigned by the line manager.</w:t>
            </w:r>
          </w:p>
        </w:tc>
      </w:tr>
      <w:tr w:rsidR="006B3F96" w:rsidRPr="00CA584B" w:rsidTr="006B3F96">
        <w:tc>
          <w:tcPr>
            <w:tcW w:w="2965" w:type="dxa"/>
          </w:tcPr>
          <w:p w:rsidR="006B3F96" w:rsidRPr="00CA584B" w:rsidRDefault="006B3F96" w:rsidP="006B3F96">
            <w:pPr>
              <w:jc w:val="both"/>
              <w:rPr>
                <w:rFonts w:ascii="IBM Plex Sans Light" w:hAnsi="IBM Plex Sans Light"/>
              </w:rPr>
            </w:pPr>
            <w:r w:rsidRPr="00CA584B">
              <w:rPr>
                <w:rFonts w:ascii="IBM Plex Sans Light" w:hAnsi="IBM Plex Sans Light"/>
              </w:rPr>
              <w:t xml:space="preserve">Accountability </w:t>
            </w:r>
          </w:p>
          <w:p w:rsidR="006B3F96" w:rsidRPr="00CA584B" w:rsidRDefault="006B3F96" w:rsidP="006B3F96">
            <w:pPr>
              <w:jc w:val="both"/>
              <w:rPr>
                <w:rFonts w:ascii="IBM Plex Sans Light" w:hAnsi="IBM Plex Sans Light"/>
              </w:rPr>
            </w:pPr>
            <w:r w:rsidRPr="00CA584B">
              <w:rPr>
                <w:rFonts w:ascii="IBM Plex Sans Light" w:hAnsi="IBM Plex Sans Light"/>
              </w:rPr>
              <w:lastRenderedPageBreak/>
              <w:t>In line with Concern’s commitments under the C</w:t>
            </w:r>
            <w:r w:rsidRPr="00CA584B">
              <w:rPr>
                <w:rFonts w:ascii="IBM Plex Sans Light" w:hAnsi="IBM Plex Sans Light"/>
              </w:rPr>
              <w:t>ore Humanitarian Standard (CHS)</w:t>
            </w:r>
          </w:p>
        </w:tc>
        <w:tc>
          <w:tcPr>
            <w:tcW w:w="6811" w:type="dxa"/>
          </w:tcPr>
          <w:p w:rsidR="006B3F96" w:rsidRPr="00CA584B" w:rsidRDefault="006B3F96" w:rsidP="006B3F96">
            <w:pPr>
              <w:pStyle w:val="ListParagraph"/>
              <w:numPr>
                <w:ilvl w:val="0"/>
                <w:numId w:val="3"/>
              </w:numPr>
              <w:jc w:val="both"/>
              <w:rPr>
                <w:rFonts w:ascii="IBM Plex Sans Light" w:hAnsi="IBM Plex Sans Light"/>
              </w:rPr>
            </w:pPr>
            <w:r w:rsidRPr="00CA584B">
              <w:rPr>
                <w:rFonts w:ascii="IBM Plex Sans Light" w:hAnsi="IBM Plex Sans Light"/>
              </w:rPr>
              <w:lastRenderedPageBreak/>
              <w:t xml:space="preserve">Actively promote meaningful community participation and consultation at all stages of the project cycle (planning, implementation, M&amp;E); </w:t>
            </w:r>
          </w:p>
          <w:p w:rsidR="006B3F96" w:rsidRPr="00CA584B" w:rsidRDefault="006B3F96" w:rsidP="006B3F96">
            <w:pPr>
              <w:pStyle w:val="ListParagraph"/>
              <w:numPr>
                <w:ilvl w:val="0"/>
                <w:numId w:val="3"/>
              </w:numPr>
              <w:jc w:val="both"/>
              <w:rPr>
                <w:rFonts w:ascii="IBM Plex Sans Light" w:hAnsi="IBM Plex Sans Light"/>
              </w:rPr>
            </w:pPr>
            <w:r w:rsidRPr="00CA584B">
              <w:rPr>
                <w:rFonts w:ascii="IBM Plex Sans Light" w:hAnsi="IBM Plex Sans Light"/>
              </w:rPr>
              <w:lastRenderedPageBreak/>
              <w:t xml:space="preserve">Work with relevant colleagues  to ensure that the Complaints and Response Mechanism (CRM) is functional and accessible, that feedback and complaints are welcomed and addressed; </w:t>
            </w:r>
          </w:p>
          <w:p w:rsidR="006B3F96" w:rsidRPr="00CA584B" w:rsidRDefault="006B3F96" w:rsidP="006B3F96">
            <w:pPr>
              <w:pStyle w:val="ListParagraph"/>
              <w:numPr>
                <w:ilvl w:val="0"/>
                <w:numId w:val="3"/>
              </w:numPr>
              <w:jc w:val="both"/>
              <w:rPr>
                <w:rFonts w:ascii="IBM Plex Sans Light" w:hAnsi="IBM Plex Sans Light"/>
              </w:rPr>
            </w:pPr>
            <w:r w:rsidRPr="00CA584B">
              <w:rPr>
                <w:rFonts w:ascii="IBM Plex Sans Light" w:hAnsi="IBM Plex Sans Light"/>
              </w:rPr>
              <w:t>Work with relevant colleagues to ensure that information about CRM, safeguarding and expected staff behaviour is disseminated among programme participants and communities.</w:t>
            </w:r>
          </w:p>
          <w:p w:rsidR="006B3F96" w:rsidRPr="00CA584B" w:rsidRDefault="006B3F96" w:rsidP="006B3F96">
            <w:pPr>
              <w:pStyle w:val="ListParagraph"/>
              <w:ind w:left="360"/>
              <w:jc w:val="both"/>
              <w:rPr>
                <w:rFonts w:ascii="IBM Plex Sans Light" w:hAnsi="IBM Plex Sans Light"/>
              </w:rPr>
            </w:pPr>
          </w:p>
        </w:tc>
      </w:tr>
    </w:tbl>
    <w:p w:rsidR="006C34B9" w:rsidRPr="00CA584B" w:rsidRDefault="006C34B9" w:rsidP="007C1764">
      <w:pPr>
        <w:spacing w:after="0"/>
        <w:jc w:val="both"/>
        <w:rPr>
          <w:rFonts w:ascii="IBM Plex Sans Light" w:hAnsi="IBM Plex Sans Light"/>
        </w:rPr>
      </w:pPr>
    </w:p>
    <w:p w:rsidR="004B027B" w:rsidRPr="00CA584B" w:rsidRDefault="004B027B" w:rsidP="007C1764">
      <w:pPr>
        <w:spacing w:after="0"/>
        <w:jc w:val="both"/>
        <w:rPr>
          <w:rFonts w:ascii="IBM Plex Sans Light" w:hAnsi="IBM Plex Sans Light"/>
          <w:b/>
        </w:rPr>
      </w:pPr>
      <w:r w:rsidRPr="00CA584B">
        <w:rPr>
          <w:rFonts w:ascii="IBM Plex Sans Light" w:hAnsi="IBM Plex Sans Light"/>
          <w:b/>
          <w:u w:val="single"/>
        </w:rPr>
        <w:t>Obligations:</w:t>
      </w:r>
      <w:r w:rsidRPr="00CA584B">
        <w:rPr>
          <w:rFonts w:ascii="IBM Plex Sans Light" w:hAnsi="IBM Plex Sans Light"/>
          <w:b/>
        </w:rPr>
        <w:t xml:space="preserve"> </w:t>
      </w:r>
      <w:r w:rsidRPr="00CA584B">
        <w:rPr>
          <w:rFonts w:ascii="IBM Plex Sans Light" w:hAnsi="IBM Plex Sans Light"/>
        </w:rPr>
        <w:t xml:space="preserve">Maintain high level of confidentiality wherever the incumbent come across sensitive information’s/data. Person shall accept, adhere to all </w:t>
      </w:r>
      <w:r w:rsidR="008C6954" w:rsidRPr="00CA584B">
        <w:rPr>
          <w:rFonts w:ascii="IBM Plex Sans Light" w:hAnsi="IBM Plex Sans Light"/>
        </w:rPr>
        <w:t xml:space="preserve">Key </w:t>
      </w:r>
      <w:r w:rsidRPr="00CA584B">
        <w:rPr>
          <w:rFonts w:ascii="IBM Plex Sans Light" w:hAnsi="IBM Plex Sans Light"/>
        </w:rPr>
        <w:t>Concern Worldwide policies (C</w:t>
      </w:r>
      <w:r w:rsidR="00634DA0" w:rsidRPr="00CA584B">
        <w:rPr>
          <w:rFonts w:ascii="IBM Plex Sans Light" w:hAnsi="IBM Plex Sans Light"/>
        </w:rPr>
        <w:t>ode of Conduct and its associated safeguarding policies</w:t>
      </w:r>
      <w:r w:rsidRPr="00CA584B">
        <w:rPr>
          <w:rFonts w:ascii="IBM Plex Sans Light" w:hAnsi="IBM Plex Sans Light"/>
        </w:rPr>
        <w:t xml:space="preserve">). </w:t>
      </w:r>
    </w:p>
    <w:p w:rsidR="004B027B" w:rsidRPr="00CA584B" w:rsidRDefault="004B027B" w:rsidP="007C1764">
      <w:pPr>
        <w:spacing w:after="0"/>
        <w:jc w:val="both"/>
        <w:rPr>
          <w:rFonts w:ascii="IBM Plex Sans Light" w:hAnsi="IBM Plex Sans Light"/>
          <w:b/>
        </w:rPr>
      </w:pPr>
    </w:p>
    <w:p w:rsidR="00077E45" w:rsidRPr="00CA584B" w:rsidRDefault="00077E45" w:rsidP="007C1764">
      <w:pPr>
        <w:spacing w:after="0"/>
        <w:jc w:val="both"/>
        <w:rPr>
          <w:rFonts w:ascii="IBM Plex Sans Light" w:hAnsi="IBM Plex Sans Light"/>
        </w:rPr>
      </w:pPr>
      <w:r w:rsidRPr="00CA584B">
        <w:rPr>
          <w:rFonts w:ascii="IBM Plex Sans Light" w:hAnsi="IBM Plex Sans Light"/>
          <w:b/>
          <w:u w:val="single"/>
        </w:rPr>
        <w:t xml:space="preserve">Accountability: </w:t>
      </w:r>
      <w:r w:rsidR="00000448" w:rsidRPr="00CA584B">
        <w:rPr>
          <w:rFonts w:ascii="IBM Plex Sans Light" w:hAnsi="IBM Plex Sans Light"/>
        </w:rPr>
        <w:t xml:space="preserve">The </w:t>
      </w:r>
      <w:r w:rsidRPr="00CA584B">
        <w:rPr>
          <w:rFonts w:ascii="IBM Plex Sans Light" w:hAnsi="IBM Plex Sans Light"/>
        </w:rPr>
        <w:t>Intern</w:t>
      </w:r>
      <w:r w:rsidR="008C6954" w:rsidRPr="00CA584B">
        <w:rPr>
          <w:rFonts w:ascii="IBM Plex Sans Light" w:hAnsi="IBM Plex Sans Light"/>
        </w:rPr>
        <w:t>- HR</w:t>
      </w:r>
      <w:r w:rsidRPr="00CA584B">
        <w:rPr>
          <w:rFonts w:ascii="IBM Plex Sans Light" w:hAnsi="IBM Plex Sans Light"/>
        </w:rPr>
        <w:t xml:space="preserve"> is accountable to the </w:t>
      </w:r>
      <w:r w:rsidR="00BC153E" w:rsidRPr="00CA584B">
        <w:rPr>
          <w:rFonts w:ascii="IBM Plex Sans Light" w:hAnsi="IBM Plex Sans Light"/>
        </w:rPr>
        <w:t xml:space="preserve">Human Resources </w:t>
      </w:r>
      <w:r w:rsidR="003B45F9" w:rsidRPr="00CA584B">
        <w:rPr>
          <w:rFonts w:ascii="IBM Plex Sans Light" w:hAnsi="IBM Plex Sans Light"/>
        </w:rPr>
        <w:t>Assistant</w:t>
      </w:r>
      <w:r w:rsidR="006C34B9" w:rsidRPr="00CA584B">
        <w:rPr>
          <w:rFonts w:ascii="IBM Plex Sans Light" w:hAnsi="IBM Plex Sans Light"/>
        </w:rPr>
        <w:t xml:space="preserve"> </w:t>
      </w:r>
      <w:r w:rsidRPr="00CA584B">
        <w:rPr>
          <w:rFonts w:ascii="IBM Plex Sans Light" w:hAnsi="IBM Plex Sans Light"/>
        </w:rPr>
        <w:t>for performance.</w:t>
      </w:r>
    </w:p>
    <w:p w:rsidR="003B3E3D" w:rsidRPr="00CA584B" w:rsidRDefault="003B3E3D" w:rsidP="007C1764">
      <w:pPr>
        <w:spacing w:after="0"/>
        <w:jc w:val="both"/>
        <w:rPr>
          <w:rFonts w:ascii="IBM Plex Sans Light" w:hAnsi="IBM Plex Sans Light"/>
        </w:rPr>
      </w:pPr>
    </w:p>
    <w:p w:rsidR="00AB512C" w:rsidRPr="00CA584B" w:rsidRDefault="003B3E3D" w:rsidP="007C1764">
      <w:pPr>
        <w:spacing w:after="0"/>
        <w:jc w:val="both"/>
        <w:rPr>
          <w:rFonts w:ascii="IBM Plex Sans Light" w:hAnsi="IBM Plex Sans Light"/>
        </w:rPr>
      </w:pPr>
      <w:r w:rsidRPr="00CA584B">
        <w:rPr>
          <w:rFonts w:ascii="IBM Plex Sans Light" w:hAnsi="IBM Plex Sans Light"/>
          <w:b/>
          <w:u w:val="single"/>
        </w:rPr>
        <w:t xml:space="preserve">Recruitment Requirements: </w:t>
      </w:r>
      <w:r w:rsidR="002B1674" w:rsidRPr="00CA584B">
        <w:rPr>
          <w:rFonts w:ascii="IBM Plex Sans Light" w:hAnsi="IBM Plex Sans Light"/>
          <w:b/>
          <w:u w:val="single"/>
        </w:rPr>
        <w:t xml:space="preserve"> </w:t>
      </w:r>
      <w:r w:rsidR="006C34B9" w:rsidRPr="00CA584B">
        <w:rPr>
          <w:rFonts w:ascii="IBM Plex Sans Light" w:hAnsi="IBM Plex Sans Light"/>
        </w:rPr>
        <w:t xml:space="preserve">BBA/MBA </w:t>
      </w:r>
      <w:r w:rsidR="00BC153E" w:rsidRPr="00CA584B">
        <w:rPr>
          <w:rFonts w:ascii="IBM Plex Sans Light" w:hAnsi="IBM Plex Sans Light"/>
        </w:rPr>
        <w:t xml:space="preserve">in Business Administration, </w:t>
      </w:r>
      <w:r w:rsidRPr="00CA584B">
        <w:rPr>
          <w:rFonts w:ascii="IBM Plex Sans Light" w:hAnsi="IBM Plex Sans Light"/>
        </w:rPr>
        <w:t xml:space="preserve">preferably </w:t>
      </w:r>
      <w:r w:rsidR="006C34B9" w:rsidRPr="00CA584B">
        <w:rPr>
          <w:rFonts w:ascii="IBM Plex Sans Light" w:hAnsi="IBM Plex Sans Light"/>
        </w:rPr>
        <w:t xml:space="preserve">major </w:t>
      </w:r>
      <w:r w:rsidRPr="00CA584B">
        <w:rPr>
          <w:rFonts w:ascii="IBM Plex Sans Light" w:hAnsi="IBM Plex Sans Light"/>
        </w:rPr>
        <w:t xml:space="preserve">in </w:t>
      </w:r>
      <w:r w:rsidR="00176294" w:rsidRPr="00CA584B">
        <w:rPr>
          <w:rFonts w:ascii="IBM Plex Sans Light" w:hAnsi="IBM Plex Sans Light"/>
        </w:rPr>
        <w:t>HRM.</w:t>
      </w:r>
    </w:p>
    <w:p w:rsidR="003B3E3D" w:rsidRPr="00CA584B" w:rsidRDefault="003B3E3D" w:rsidP="007C1764">
      <w:pPr>
        <w:spacing w:after="0"/>
        <w:jc w:val="both"/>
        <w:rPr>
          <w:rFonts w:ascii="IBM Plex Sans Light" w:hAnsi="IBM Plex Sans Light"/>
        </w:rPr>
      </w:pPr>
    </w:p>
    <w:p w:rsidR="003B3E3D" w:rsidRPr="00CA584B" w:rsidRDefault="003B3E3D" w:rsidP="007C1764">
      <w:pPr>
        <w:spacing w:after="0"/>
        <w:jc w:val="both"/>
        <w:rPr>
          <w:rFonts w:ascii="IBM Plex Sans Light" w:hAnsi="IBM Plex Sans Light"/>
          <w:b/>
          <w:u w:val="single"/>
        </w:rPr>
      </w:pPr>
      <w:r w:rsidRPr="00CA584B">
        <w:rPr>
          <w:rFonts w:ascii="IBM Plex Sans Light" w:hAnsi="IBM Plex Sans Light"/>
          <w:b/>
          <w:u w:val="single"/>
        </w:rPr>
        <w:t xml:space="preserve">Job related knowledge: </w:t>
      </w:r>
    </w:p>
    <w:p w:rsidR="00126D69" w:rsidRPr="00CA584B" w:rsidRDefault="008C6954" w:rsidP="007C1764">
      <w:pPr>
        <w:pStyle w:val="ListParagraph"/>
        <w:numPr>
          <w:ilvl w:val="0"/>
          <w:numId w:val="2"/>
        </w:numPr>
        <w:jc w:val="both"/>
        <w:rPr>
          <w:rFonts w:ascii="IBM Plex Sans Light" w:hAnsi="IBM Plex Sans Light"/>
        </w:rPr>
      </w:pPr>
      <w:r w:rsidRPr="00CA584B">
        <w:rPr>
          <w:rFonts w:ascii="IBM Plex Sans Light" w:hAnsi="IBM Plex Sans Light"/>
        </w:rPr>
        <w:t>Fr</w:t>
      </w:r>
      <w:r w:rsidR="00126D69" w:rsidRPr="00CA584B">
        <w:rPr>
          <w:rFonts w:ascii="IBM Plex Sans Light" w:hAnsi="IBM Plex Sans Light"/>
        </w:rPr>
        <w:t>esher with strong relevant academic background are also encouraged to apply</w:t>
      </w:r>
    </w:p>
    <w:p w:rsidR="003A5C23" w:rsidRPr="00CA584B" w:rsidRDefault="00151FFA" w:rsidP="007C1764">
      <w:pPr>
        <w:pStyle w:val="ListParagraph"/>
        <w:numPr>
          <w:ilvl w:val="0"/>
          <w:numId w:val="2"/>
        </w:numPr>
        <w:jc w:val="both"/>
        <w:rPr>
          <w:rFonts w:ascii="IBM Plex Sans Light" w:hAnsi="IBM Plex Sans Light"/>
        </w:rPr>
      </w:pPr>
      <w:r w:rsidRPr="00CA584B">
        <w:rPr>
          <w:rFonts w:ascii="IBM Plex Sans Light" w:hAnsi="IBM Plex Sans Light"/>
        </w:rPr>
        <w:t>03/06 months experience in international and development organisations will be given preference.</w:t>
      </w:r>
    </w:p>
    <w:p w:rsidR="003A5C23" w:rsidRPr="00CA584B" w:rsidRDefault="003A5C23" w:rsidP="007C1764">
      <w:pPr>
        <w:pStyle w:val="ListParagraph"/>
        <w:numPr>
          <w:ilvl w:val="0"/>
          <w:numId w:val="2"/>
        </w:numPr>
        <w:jc w:val="both"/>
        <w:rPr>
          <w:rFonts w:ascii="IBM Plex Sans Light" w:hAnsi="IBM Plex Sans Light"/>
        </w:rPr>
      </w:pPr>
      <w:r w:rsidRPr="00CA584B">
        <w:rPr>
          <w:rFonts w:ascii="IBM Plex Sans Light" w:hAnsi="IBM Plex Sans Light"/>
        </w:rPr>
        <w:t xml:space="preserve">Having knowledge in MS Word, MS excel/PowerPoint </w:t>
      </w:r>
    </w:p>
    <w:p w:rsidR="003B3E3D" w:rsidRPr="00CA584B" w:rsidRDefault="003A5C23" w:rsidP="007C1764">
      <w:pPr>
        <w:pStyle w:val="ListParagraph"/>
        <w:numPr>
          <w:ilvl w:val="0"/>
          <w:numId w:val="2"/>
        </w:numPr>
        <w:jc w:val="both"/>
        <w:rPr>
          <w:rFonts w:ascii="IBM Plex Sans Light" w:hAnsi="IBM Plex Sans Light"/>
        </w:rPr>
      </w:pPr>
      <w:r w:rsidRPr="00CA584B">
        <w:rPr>
          <w:rFonts w:ascii="IBM Plex Sans Light" w:hAnsi="IBM Plex Sans Light"/>
        </w:rPr>
        <w:t>Excellent communications skill in English and Bangla</w:t>
      </w:r>
    </w:p>
    <w:p w:rsidR="007C1764" w:rsidRPr="00CA584B" w:rsidRDefault="003B3E3D" w:rsidP="007C1764">
      <w:pPr>
        <w:spacing w:after="0"/>
        <w:jc w:val="both"/>
        <w:rPr>
          <w:rFonts w:ascii="IBM Plex Sans Light" w:hAnsi="IBM Plex Sans Light"/>
        </w:rPr>
      </w:pPr>
      <w:r w:rsidRPr="00CA584B">
        <w:rPr>
          <w:rFonts w:ascii="IBM Plex Sans Light" w:hAnsi="IBM Plex Sans Light"/>
          <w:b/>
          <w:u w:val="single"/>
        </w:rPr>
        <w:t>Time period:</w:t>
      </w:r>
      <w:r w:rsidR="005D70CB" w:rsidRPr="00CA584B">
        <w:rPr>
          <w:rFonts w:ascii="IBM Plex Sans Light" w:hAnsi="IBM Plex Sans Light"/>
        </w:rPr>
        <w:t xml:space="preserve"> </w:t>
      </w:r>
      <w:r w:rsidR="00126D69" w:rsidRPr="00CA584B">
        <w:rPr>
          <w:rFonts w:ascii="IBM Plex Sans Light" w:hAnsi="IBM Plex Sans Light"/>
          <w:b/>
        </w:rPr>
        <w:t>Three</w:t>
      </w:r>
      <w:r w:rsidR="00176294" w:rsidRPr="00CA584B">
        <w:rPr>
          <w:rFonts w:ascii="IBM Plex Sans Light" w:hAnsi="IBM Plex Sans Light"/>
          <w:b/>
        </w:rPr>
        <w:t xml:space="preserve"> </w:t>
      </w:r>
      <w:r w:rsidR="00126D69" w:rsidRPr="00CA584B">
        <w:rPr>
          <w:rFonts w:ascii="IBM Plex Sans Light" w:hAnsi="IBM Plex Sans Light"/>
          <w:b/>
        </w:rPr>
        <w:t>(03</w:t>
      </w:r>
      <w:r w:rsidR="00F50F74" w:rsidRPr="00CA584B">
        <w:rPr>
          <w:rFonts w:ascii="IBM Plex Sans Light" w:hAnsi="IBM Plex Sans Light"/>
          <w:b/>
        </w:rPr>
        <w:t>)</w:t>
      </w:r>
      <w:r w:rsidR="00F50F74" w:rsidRPr="00CA584B">
        <w:rPr>
          <w:rFonts w:ascii="IBM Plex Sans Light" w:hAnsi="IBM Plex Sans Light"/>
        </w:rPr>
        <w:t xml:space="preserve"> </w:t>
      </w:r>
      <w:r w:rsidR="001E59B0" w:rsidRPr="00CA584B">
        <w:rPr>
          <w:rFonts w:ascii="IBM Plex Sans Light" w:hAnsi="IBM Plex Sans Light"/>
        </w:rPr>
        <w:t>Months</w:t>
      </w:r>
      <w:r w:rsidR="00F31F3D" w:rsidRPr="00CA584B">
        <w:rPr>
          <w:rFonts w:ascii="IBM Plex Sans Light" w:hAnsi="IBM Plex Sans Light"/>
        </w:rPr>
        <w:t xml:space="preserve"> </w:t>
      </w:r>
    </w:p>
    <w:p w:rsidR="008C6954" w:rsidRPr="00CA584B" w:rsidRDefault="00634DA0" w:rsidP="007C1764">
      <w:pPr>
        <w:spacing w:after="0"/>
        <w:jc w:val="both"/>
        <w:rPr>
          <w:rFonts w:ascii="IBM Plex Sans Light" w:hAnsi="IBM Plex Sans Light"/>
        </w:rPr>
      </w:pPr>
      <w:r w:rsidRPr="00CA584B">
        <w:rPr>
          <w:rFonts w:ascii="IBM Plex Sans Light" w:hAnsi="IBM Plex Sans Light"/>
          <w:b/>
        </w:rPr>
        <w:t>Location:</w:t>
      </w:r>
      <w:r w:rsidRPr="00CA584B">
        <w:rPr>
          <w:rFonts w:ascii="IBM Plex Sans Light" w:hAnsi="IBM Plex Sans Light"/>
        </w:rPr>
        <w:t xml:space="preserve"> </w:t>
      </w:r>
      <w:r w:rsidR="008C6954" w:rsidRPr="00CA584B">
        <w:rPr>
          <w:rFonts w:ascii="IBM Plex Sans Light" w:hAnsi="IBM Plex Sans Light"/>
        </w:rPr>
        <w:t xml:space="preserve">Head Office, Dhaka </w:t>
      </w:r>
      <w:r w:rsidR="002B1305" w:rsidRPr="00CA584B">
        <w:rPr>
          <w:rFonts w:ascii="IBM Plex Sans Light" w:hAnsi="IBM Plex Sans Light"/>
        </w:rPr>
        <w:t xml:space="preserve"> </w:t>
      </w:r>
    </w:p>
    <w:p w:rsidR="007C1764" w:rsidRPr="00CA584B" w:rsidRDefault="007C1764" w:rsidP="007C1764">
      <w:pPr>
        <w:spacing w:after="0"/>
        <w:jc w:val="both"/>
        <w:rPr>
          <w:rFonts w:ascii="IBM Plex Sans Light" w:hAnsi="IBM Plex Sans Light"/>
        </w:rPr>
      </w:pPr>
    </w:p>
    <w:p w:rsidR="008C6954" w:rsidRPr="00CA584B" w:rsidRDefault="008C6954" w:rsidP="007C1764">
      <w:pPr>
        <w:jc w:val="both"/>
        <w:rPr>
          <w:rFonts w:ascii="IBM Plex Sans Light" w:eastAsia="Times New Roman" w:hAnsi="IBM Plex Sans Light" w:cstheme="minorHAnsi"/>
          <w:lang w:eastAsia="en-GB"/>
        </w:rPr>
      </w:pPr>
      <w:r w:rsidRPr="00CA584B">
        <w:rPr>
          <w:rFonts w:ascii="IBM Plex Sans Light" w:eastAsia="Times New Roman" w:hAnsi="IBM Plex Sans Light" w:cstheme="minorHAnsi"/>
          <w:b/>
          <w:bCs/>
          <w:iCs/>
          <w:lang w:eastAsia="en-GB"/>
        </w:rPr>
        <w:t>Concern Code of Conduct and its Associated Safeguarding Policies</w:t>
      </w:r>
    </w:p>
    <w:p w:rsidR="008C6954" w:rsidRPr="00CA584B" w:rsidRDefault="008C6954" w:rsidP="007C1764">
      <w:pPr>
        <w:jc w:val="both"/>
        <w:rPr>
          <w:rFonts w:ascii="IBM Plex Sans Light" w:hAnsi="IBM Plex Sans Light" w:cstheme="minorHAnsi"/>
          <w:b/>
          <w:iCs/>
        </w:rPr>
      </w:pPr>
      <w:r w:rsidRPr="00CA584B">
        <w:rPr>
          <w:rFonts w:ascii="IBM Plex Sans Light" w:hAnsi="IBM Plex Sans Light" w:cstheme="minorHAnsi"/>
          <w:iCs/>
        </w:rPr>
        <w:t xml:space="preserve">Concern has an organisational </w:t>
      </w:r>
      <w:r w:rsidRPr="00CA584B">
        <w:rPr>
          <w:rFonts w:ascii="IBM Plex Sans Light" w:hAnsi="IBM Plex Sans Light" w:cstheme="minorHAnsi"/>
          <w:b/>
          <w:iCs/>
        </w:rPr>
        <w:t>Code of Conduct (CCo</w:t>
      </w:r>
      <w:bookmarkStart w:id="0" w:name="_GoBack"/>
      <w:bookmarkEnd w:id="0"/>
      <w:r w:rsidRPr="00CA584B">
        <w:rPr>
          <w:rFonts w:ascii="IBM Plex Sans Light" w:hAnsi="IBM Plex Sans Light" w:cstheme="minorHAnsi"/>
          <w:b/>
          <w:iCs/>
        </w:rPr>
        <w:t>C) with three Associated Policies; the Programme Participant Protection Policy (P4), the Child Safeguarding Policy and the Anti-Trafficking in Persons Policy.</w:t>
      </w:r>
      <w:r w:rsidRPr="00CA584B">
        <w:rPr>
          <w:rFonts w:ascii="IBM Plex Sans Light" w:hAnsi="IBM Plex Sans Light" w:cstheme="minorHAnsi"/>
          <w:iCs/>
        </w:rPr>
        <w:t xml:space="preserve"> These have been developed to ensure the maximum protection of programme participants from exploitation, and to clarify the responsibilities of Concern staff, consultants, visitors to the programme and partner organisation, and the standards of behaviour expected of them. In this context, staff have a responsibility to the organisation to strive for, and maintain, the </w:t>
      </w:r>
      <w:r w:rsidRPr="00CA584B">
        <w:rPr>
          <w:rFonts w:ascii="IBM Plex Sans Light" w:hAnsi="IBM Plex Sans Light" w:cstheme="minorHAnsi"/>
          <w:b/>
          <w:iCs/>
        </w:rPr>
        <w:t>highest standards in the day-to-day conduct in their workplace in accordance with Concern’s core values and mission</w:t>
      </w:r>
      <w:r w:rsidRPr="00CA584B">
        <w:rPr>
          <w:rFonts w:ascii="IBM Plex Sans Light" w:hAnsi="IBM Plex Sans Light" w:cstheme="minorHAnsi"/>
          <w:iCs/>
        </w:rPr>
        <w:t xml:space="preserve">. Any candidate offered a job with Concern Worldwide will be expected to </w:t>
      </w:r>
      <w:r w:rsidRPr="00CA584B">
        <w:rPr>
          <w:rFonts w:ascii="IBM Plex Sans Light" w:hAnsi="IBM Plex Sans Light" w:cstheme="minorHAnsi"/>
          <w:b/>
          <w:iCs/>
        </w:rPr>
        <w:t>sign the Concern Staff Code of Conduct and Associated Policies as an appendix to their contract of employment</w:t>
      </w:r>
      <w:r w:rsidRPr="00CA584B">
        <w:rPr>
          <w:rFonts w:ascii="IBM Plex Sans Light" w:hAnsi="IBM Plex Sans Light" w:cstheme="minorHAnsi"/>
          <w:iCs/>
        </w:rPr>
        <w: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w:t>
      </w:r>
      <w:r w:rsidRPr="00CA584B">
        <w:rPr>
          <w:rFonts w:ascii="IBM Plex Sans Light" w:hAnsi="IBM Plex Sans Light" w:cstheme="minorHAnsi"/>
          <w:b/>
          <w:iCs/>
        </w:rPr>
        <w:t xml:space="preserve"> safeguarding </w:t>
      </w:r>
      <w:r w:rsidRPr="00CA584B">
        <w:rPr>
          <w:rFonts w:ascii="IBM Plex Sans Light" w:hAnsi="IBM Plex Sans Light" w:cstheme="minorHAnsi"/>
          <w:iCs/>
        </w:rPr>
        <w:t>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w:t>
      </w:r>
      <w:r w:rsidRPr="00CA584B">
        <w:rPr>
          <w:rFonts w:ascii="IBM Plex Sans Light" w:hAnsi="IBM Plex Sans Light" w:cstheme="minorHAnsi"/>
          <w:b/>
          <w:iCs/>
        </w:rPr>
        <w:t xml:space="preserve"> criminal background checking. </w:t>
      </w:r>
    </w:p>
    <w:p w:rsidR="008C6954" w:rsidRPr="00CA584B" w:rsidRDefault="008C6954" w:rsidP="003B3E3D">
      <w:pPr>
        <w:spacing w:after="0"/>
        <w:jc w:val="both"/>
        <w:rPr>
          <w:rFonts w:ascii="IBM Plex Sans Light" w:hAnsi="IBM Plex Sans Light"/>
        </w:rPr>
      </w:pPr>
    </w:p>
    <w:sectPr w:rsidR="008C6954" w:rsidRPr="00CA584B" w:rsidSect="00FB6F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C2" w:rsidRDefault="00D42AC2" w:rsidP="006F296F">
      <w:pPr>
        <w:spacing w:after="0" w:line="240" w:lineRule="auto"/>
      </w:pPr>
      <w:r>
        <w:separator/>
      </w:r>
    </w:p>
  </w:endnote>
  <w:endnote w:type="continuationSeparator" w:id="0">
    <w:p w:rsidR="00D42AC2" w:rsidRDefault="00D42AC2" w:rsidP="006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Light">
    <w:altName w:val="Times New Roman"/>
    <w:panose1 w:val="00000000000000000000"/>
    <w:charset w:val="00"/>
    <w:family w:val="swiss"/>
    <w:notTrueType/>
    <w:pitch w:val="variable"/>
    <w:sig w:usb0="00000001" w:usb1="5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07"/>
      <w:docPartObj>
        <w:docPartGallery w:val="Page Numbers (Bottom of Page)"/>
        <w:docPartUnique/>
      </w:docPartObj>
    </w:sdtPr>
    <w:sdtEndPr/>
    <w:sdtContent>
      <w:sdt>
        <w:sdtPr>
          <w:id w:val="565050477"/>
          <w:docPartObj>
            <w:docPartGallery w:val="Page Numbers (Top of Page)"/>
            <w:docPartUnique/>
          </w:docPartObj>
        </w:sdtPr>
        <w:sdtEndPr/>
        <w:sdtContent>
          <w:p w:rsidR="006566CD" w:rsidRDefault="006566C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A584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A584B">
              <w:rPr>
                <w:b/>
                <w:noProof/>
              </w:rPr>
              <w:t>2</w:t>
            </w:r>
            <w:r>
              <w:rPr>
                <w:b/>
                <w:sz w:val="24"/>
                <w:szCs w:val="24"/>
              </w:rPr>
              <w:fldChar w:fldCharType="end"/>
            </w:r>
          </w:p>
        </w:sdtContent>
      </w:sdt>
    </w:sdtContent>
  </w:sdt>
  <w:p w:rsidR="0009043C" w:rsidRDefault="0009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C2" w:rsidRDefault="00D42AC2" w:rsidP="006F296F">
      <w:pPr>
        <w:spacing w:after="0" w:line="240" w:lineRule="auto"/>
      </w:pPr>
      <w:r>
        <w:separator/>
      </w:r>
    </w:p>
  </w:footnote>
  <w:footnote w:type="continuationSeparator" w:id="0">
    <w:p w:rsidR="00D42AC2" w:rsidRDefault="00D42AC2" w:rsidP="006F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3C" w:rsidRDefault="00090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ADB"/>
    <w:multiLevelType w:val="hybridMultilevel"/>
    <w:tmpl w:val="20EA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0304"/>
    <w:multiLevelType w:val="hybridMultilevel"/>
    <w:tmpl w:val="AE02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51006"/>
    <w:multiLevelType w:val="hybridMultilevel"/>
    <w:tmpl w:val="013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B022E"/>
    <w:multiLevelType w:val="hybridMultilevel"/>
    <w:tmpl w:val="F674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F3500"/>
    <w:multiLevelType w:val="hybridMultilevel"/>
    <w:tmpl w:val="FA2619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C5335DF"/>
    <w:multiLevelType w:val="hybridMultilevel"/>
    <w:tmpl w:val="41D8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83734"/>
    <w:multiLevelType w:val="hybridMultilevel"/>
    <w:tmpl w:val="B40C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MLU0MTC0MLI0N7RU0lEKTi0uzszPAykwqgUAc/EP/SwAAAA="/>
  </w:docVars>
  <w:rsids>
    <w:rsidRoot w:val="00B61190"/>
    <w:rsid w:val="00000448"/>
    <w:rsid w:val="00045526"/>
    <w:rsid w:val="000553BA"/>
    <w:rsid w:val="00077E45"/>
    <w:rsid w:val="0009043C"/>
    <w:rsid w:val="000B5524"/>
    <w:rsid w:val="000C6C02"/>
    <w:rsid w:val="000F24EC"/>
    <w:rsid w:val="00126D69"/>
    <w:rsid w:val="00151FFA"/>
    <w:rsid w:val="00152568"/>
    <w:rsid w:val="0016799A"/>
    <w:rsid w:val="00176294"/>
    <w:rsid w:val="001935C8"/>
    <w:rsid w:val="001E59B0"/>
    <w:rsid w:val="00206E1A"/>
    <w:rsid w:val="00217896"/>
    <w:rsid w:val="002418EE"/>
    <w:rsid w:val="00287660"/>
    <w:rsid w:val="00287A5E"/>
    <w:rsid w:val="00294195"/>
    <w:rsid w:val="002A3DA7"/>
    <w:rsid w:val="002A753F"/>
    <w:rsid w:val="002B1305"/>
    <w:rsid w:val="002B1674"/>
    <w:rsid w:val="002C3431"/>
    <w:rsid w:val="002E5AEE"/>
    <w:rsid w:val="002F01DF"/>
    <w:rsid w:val="0032026C"/>
    <w:rsid w:val="0033028C"/>
    <w:rsid w:val="00346BB7"/>
    <w:rsid w:val="00380A65"/>
    <w:rsid w:val="003A5C23"/>
    <w:rsid w:val="003B3E3D"/>
    <w:rsid w:val="003B45F9"/>
    <w:rsid w:val="003C450B"/>
    <w:rsid w:val="003D5DEB"/>
    <w:rsid w:val="003D685E"/>
    <w:rsid w:val="0043072B"/>
    <w:rsid w:val="004867C5"/>
    <w:rsid w:val="004976EE"/>
    <w:rsid w:val="004B027B"/>
    <w:rsid w:val="004B0C35"/>
    <w:rsid w:val="004D59B7"/>
    <w:rsid w:val="005171E2"/>
    <w:rsid w:val="00580B56"/>
    <w:rsid w:val="005D70CB"/>
    <w:rsid w:val="005F6265"/>
    <w:rsid w:val="00606625"/>
    <w:rsid w:val="00634DA0"/>
    <w:rsid w:val="00635B34"/>
    <w:rsid w:val="0064380F"/>
    <w:rsid w:val="00647C02"/>
    <w:rsid w:val="006566CD"/>
    <w:rsid w:val="006B3F96"/>
    <w:rsid w:val="006C34B9"/>
    <w:rsid w:val="006D197C"/>
    <w:rsid w:val="006D71C2"/>
    <w:rsid w:val="006F296F"/>
    <w:rsid w:val="007141D7"/>
    <w:rsid w:val="007219A8"/>
    <w:rsid w:val="00746E84"/>
    <w:rsid w:val="007534AA"/>
    <w:rsid w:val="00792211"/>
    <w:rsid w:val="00793260"/>
    <w:rsid w:val="007A2B80"/>
    <w:rsid w:val="007A7881"/>
    <w:rsid w:val="007B60BC"/>
    <w:rsid w:val="007C1764"/>
    <w:rsid w:val="007E1E2E"/>
    <w:rsid w:val="00800EAE"/>
    <w:rsid w:val="00812EB8"/>
    <w:rsid w:val="00823159"/>
    <w:rsid w:val="00845B0A"/>
    <w:rsid w:val="008476B2"/>
    <w:rsid w:val="0087174E"/>
    <w:rsid w:val="00872578"/>
    <w:rsid w:val="008B108A"/>
    <w:rsid w:val="008C42E0"/>
    <w:rsid w:val="008C6954"/>
    <w:rsid w:val="0093710F"/>
    <w:rsid w:val="009D1A60"/>
    <w:rsid w:val="009E0731"/>
    <w:rsid w:val="00A64633"/>
    <w:rsid w:val="00A76E55"/>
    <w:rsid w:val="00AB0762"/>
    <w:rsid w:val="00AB512C"/>
    <w:rsid w:val="00AD363B"/>
    <w:rsid w:val="00AF1207"/>
    <w:rsid w:val="00AF13D9"/>
    <w:rsid w:val="00B018A5"/>
    <w:rsid w:val="00B27C83"/>
    <w:rsid w:val="00B44627"/>
    <w:rsid w:val="00B5190D"/>
    <w:rsid w:val="00B61190"/>
    <w:rsid w:val="00BC153E"/>
    <w:rsid w:val="00BF02C9"/>
    <w:rsid w:val="00C063A1"/>
    <w:rsid w:val="00C2141F"/>
    <w:rsid w:val="00C30F1C"/>
    <w:rsid w:val="00C30F6F"/>
    <w:rsid w:val="00CA584B"/>
    <w:rsid w:val="00CB714B"/>
    <w:rsid w:val="00D04332"/>
    <w:rsid w:val="00D32BBE"/>
    <w:rsid w:val="00D42AC2"/>
    <w:rsid w:val="00D73199"/>
    <w:rsid w:val="00DA1558"/>
    <w:rsid w:val="00DD401A"/>
    <w:rsid w:val="00DE152A"/>
    <w:rsid w:val="00DE5352"/>
    <w:rsid w:val="00DE67BF"/>
    <w:rsid w:val="00E129AF"/>
    <w:rsid w:val="00E2619A"/>
    <w:rsid w:val="00EA75F5"/>
    <w:rsid w:val="00ED2AC9"/>
    <w:rsid w:val="00ED65BD"/>
    <w:rsid w:val="00F022BF"/>
    <w:rsid w:val="00F2237C"/>
    <w:rsid w:val="00F276DA"/>
    <w:rsid w:val="00F27709"/>
    <w:rsid w:val="00F31F3D"/>
    <w:rsid w:val="00F50F74"/>
    <w:rsid w:val="00F708BF"/>
    <w:rsid w:val="00FB6FC3"/>
    <w:rsid w:val="00FD2874"/>
    <w:rsid w:val="00FE5BBF"/>
    <w:rsid w:val="00FF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2C07"/>
  <w15:docId w15:val="{C4031D27-C0FF-4E80-9CE7-326F7A5F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0BC"/>
    <w:pPr>
      <w:spacing w:after="0" w:line="240" w:lineRule="auto"/>
    </w:pPr>
  </w:style>
  <w:style w:type="paragraph" w:styleId="ListParagraph">
    <w:name w:val="List Paragraph"/>
    <w:basedOn w:val="Normal"/>
    <w:uiPriority w:val="34"/>
    <w:qFormat/>
    <w:rsid w:val="007B60BC"/>
    <w:pPr>
      <w:ind w:left="720"/>
      <w:contextualSpacing/>
    </w:pPr>
  </w:style>
  <w:style w:type="table" w:styleId="TableGrid">
    <w:name w:val="Table Grid"/>
    <w:basedOn w:val="TableNormal"/>
    <w:uiPriority w:val="59"/>
    <w:rsid w:val="00B4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96F"/>
  </w:style>
  <w:style w:type="paragraph" w:styleId="Footer">
    <w:name w:val="footer"/>
    <w:basedOn w:val="Normal"/>
    <w:link w:val="FooterChar"/>
    <w:uiPriority w:val="99"/>
    <w:unhideWhenUsed/>
    <w:rsid w:val="006F2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96F"/>
  </w:style>
  <w:style w:type="paragraph" w:styleId="BalloonText">
    <w:name w:val="Balloon Text"/>
    <w:basedOn w:val="Normal"/>
    <w:link w:val="BalloonTextChar"/>
    <w:uiPriority w:val="99"/>
    <w:semiHidden/>
    <w:unhideWhenUsed/>
    <w:rsid w:val="00CB7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EA736-D25A-4AC4-A390-F2E16521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Concern Worldwide</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anowar.hossain</dc:creator>
  <cp:lastModifiedBy>Sharizaa Sartaj Siddiquey</cp:lastModifiedBy>
  <cp:revision>11</cp:revision>
  <cp:lastPrinted>2022-04-07T05:41:00Z</cp:lastPrinted>
  <dcterms:created xsi:type="dcterms:W3CDTF">2022-04-07T05:42:00Z</dcterms:created>
  <dcterms:modified xsi:type="dcterms:W3CDTF">2022-06-26T09:18:00Z</dcterms:modified>
</cp:coreProperties>
</file>