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258C7A">
      <w:pPr>
        <w:jc w:val="center"/>
        <w:rPr>
          <w:b/>
          <w:bCs/>
          <w:sz w:val="22"/>
          <w:szCs w:val="22"/>
          <w:lang w:val="en-US"/>
        </w:rPr>
      </w:pPr>
    </w:p>
    <w:p w14:paraId="0A4B6A8B">
      <w:pPr>
        <w:jc w:val="center"/>
        <w:rPr>
          <w:rFonts w:ascii="Arial" w:hAnsi="Arial" w:cs="Arial"/>
          <w:b/>
          <w:bCs/>
          <w:sz w:val="40"/>
          <w:szCs w:val="40"/>
          <w:lang w:val="en-US"/>
        </w:rPr>
      </w:pPr>
    </w:p>
    <w:p w14:paraId="6533216F">
      <w:pPr>
        <w:jc w:val="center"/>
        <w:rPr>
          <w:rFonts w:ascii="Arial" w:hAnsi="Arial" w:cs="Arial"/>
          <w:b/>
          <w:bCs/>
          <w:sz w:val="40"/>
          <w:szCs w:val="40"/>
          <w:lang w:val="en-US"/>
        </w:rPr>
      </w:pPr>
    </w:p>
    <w:p w14:paraId="12613F65">
      <w:pPr>
        <w:jc w:val="center"/>
        <w:rPr>
          <w:rFonts w:ascii="Arial" w:hAnsi="Arial" w:cs="Arial"/>
          <w:b/>
          <w:bCs/>
          <w:sz w:val="40"/>
          <w:szCs w:val="40"/>
          <w:lang w:val="en-US"/>
        </w:rPr>
      </w:pPr>
      <w:r>
        <w:rPr>
          <w:rFonts w:ascii="Arial" w:hAnsi="Arial" w:cs="Arial"/>
          <w:b/>
          <w:bCs/>
          <w:sz w:val="40"/>
          <w:szCs w:val="40"/>
          <w:lang w:val="en-US"/>
        </w:rPr>
        <w:t>Aga Khan Academy Dhaka</w:t>
      </w:r>
    </w:p>
    <w:p w14:paraId="599D87AF">
      <w:pPr>
        <w:jc w:val="center"/>
        <w:rPr>
          <w:rFonts w:ascii="Arial" w:hAnsi="Arial" w:cs="Arial"/>
          <w:b/>
          <w:bCs/>
          <w:lang w:val="en-US"/>
        </w:rPr>
      </w:pPr>
      <w:r>
        <w:rPr>
          <w:rFonts w:ascii="Arial" w:hAnsi="Arial" w:cs="Arial"/>
          <w:lang w:val="en-US"/>
        </w:rPr>
        <w:drawing>
          <wp:anchor distT="0" distB="0" distL="114300" distR="114300" simplePos="0" relativeHeight="251659264" behindDoc="1" locked="0" layoutInCell="1" allowOverlap="1">
            <wp:simplePos x="0" y="0"/>
            <wp:positionH relativeFrom="margin">
              <wp:posOffset>2355850</wp:posOffset>
            </wp:positionH>
            <wp:positionV relativeFrom="margin">
              <wp:posOffset>1167765</wp:posOffset>
            </wp:positionV>
            <wp:extent cx="1190625" cy="1127760"/>
            <wp:effectExtent l="0" t="0" r="3175" b="2540"/>
            <wp:wrapSquare wrapText="bothSides"/>
            <wp:docPr id="2" name="Picture 31" descr="V:\LOGOS\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1" descr="V:\LOGOS\Excellenc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90625" cy="1127760"/>
                    </a:xfrm>
                    <a:prstGeom prst="rect">
                      <a:avLst/>
                    </a:prstGeom>
                    <a:noFill/>
                    <a:ln>
                      <a:noFill/>
                    </a:ln>
                  </pic:spPr>
                </pic:pic>
              </a:graphicData>
            </a:graphic>
          </wp:anchor>
        </w:drawing>
      </w:r>
    </w:p>
    <w:p w14:paraId="7DC560C0">
      <w:pPr>
        <w:jc w:val="center"/>
        <w:rPr>
          <w:rFonts w:ascii="Arial" w:hAnsi="Arial" w:cs="Arial"/>
          <w:b/>
          <w:bCs/>
          <w:lang w:val="en-US"/>
        </w:rPr>
      </w:pPr>
    </w:p>
    <w:p w14:paraId="71A87E29">
      <w:pPr>
        <w:jc w:val="center"/>
        <w:rPr>
          <w:rFonts w:ascii="Arial" w:hAnsi="Arial" w:cs="Arial"/>
          <w:b/>
          <w:bCs/>
          <w:lang w:val="en-US"/>
        </w:rPr>
      </w:pPr>
    </w:p>
    <w:p w14:paraId="57A8D584">
      <w:pPr>
        <w:jc w:val="center"/>
        <w:rPr>
          <w:rFonts w:ascii="Arial" w:hAnsi="Arial" w:cs="Arial"/>
          <w:b/>
          <w:bCs/>
          <w:lang w:val="en-US"/>
        </w:rPr>
      </w:pPr>
    </w:p>
    <w:p w14:paraId="08DEDF4B">
      <w:pPr>
        <w:jc w:val="center"/>
        <w:rPr>
          <w:rFonts w:ascii="Arial" w:hAnsi="Arial" w:cs="Arial"/>
          <w:b/>
        </w:rPr>
      </w:pPr>
    </w:p>
    <w:p w14:paraId="11CDF82A">
      <w:pPr>
        <w:jc w:val="center"/>
        <w:rPr>
          <w:rFonts w:ascii="ITC New Baskerville Std" w:hAnsi="ITC New Baskerville Std"/>
          <w:b/>
          <w:bCs/>
          <w:sz w:val="40"/>
          <w:szCs w:val="40"/>
          <w:lang w:val="en-US"/>
        </w:rPr>
      </w:pPr>
    </w:p>
    <w:p w14:paraId="341714DD">
      <w:pPr>
        <w:rPr>
          <w:rFonts w:ascii="Arial" w:hAnsi="Arial" w:cs="Arial"/>
          <w:sz w:val="22"/>
          <w:szCs w:val="22"/>
        </w:rPr>
      </w:pPr>
    </w:p>
    <w:tbl>
      <w:tblPr>
        <w:tblStyle w:val="12"/>
        <w:tblW w:w="9609" w:type="dxa"/>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003"/>
        <w:gridCol w:w="6606"/>
      </w:tblGrid>
      <w:tr w14:paraId="130D3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0" w:hRule="atLeast"/>
        </w:trPr>
        <w:tc>
          <w:tcPr>
            <w:tcW w:w="3003" w:type="dxa"/>
            <w:tcBorders>
              <w:bottom w:val="single" w:color="auto" w:sz="6" w:space="0"/>
              <w:right w:val="single" w:color="auto" w:sz="6" w:space="0"/>
            </w:tcBorders>
          </w:tcPr>
          <w:p w14:paraId="4C54A13B">
            <w:pPr>
              <w:rPr>
                <w:rFonts w:hint="default" w:ascii="Arial" w:hAnsi="Arial" w:cs="Arial"/>
                <w:b/>
                <w:bCs/>
                <w:sz w:val="20"/>
                <w:szCs w:val="20"/>
              </w:rPr>
            </w:pPr>
            <w:r>
              <w:rPr>
                <w:rFonts w:hint="default" w:ascii="Arial" w:hAnsi="Arial" w:cs="Arial"/>
                <w:b/>
                <w:bCs/>
                <w:sz w:val="20"/>
                <w:szCs w:val="20"/>
              </w:rPr>
              <w:t>Job Title:</w:t>
            </w:r>
          </w:p>
        </w:tc>
        <w:tc>
          <w:tcPr>
            <w:tcW w:w="6606" w:type="dxa"/>
            <w:tcBorders>
              <w:left w:val="single" w:color="auto" w:sz="6" w:space="0"/>
              <w:bottom w:val="single" w:color="auto" w:sz="6" w:space="0"/>
            </w:tcBorders>
            <w:vAlign w:val="top"/>
          </w:tcPr>
          <w:p w14:paraId="6BD268A0">
            <w:pPr>
              <w:rPr>
                <w:rFonts w:hint="default" w:ascii="Arial" w:hAnsi="Arial" w:cs="Arial"/>
                <w:b/>
                <w:bCs/>
                <w:sz w:val="20"/>
                <w:szCs w:val="20"/>
              </w:rPr>
            </w:pPr>
            <w:r>
              <w:rPr>
                <w:rFonts w:hint="default" w:ascii="Arial" w:hAnsi="Arial" w:cs="Arial"/>
                <w:b/>
                <w:bCs/>
                <w:sz w:val="20"/>
                <w:szCs w:val="20"/>
              </w:rPr>
              <w:t>Mathematics Teacher</w:t>
            </w:r>
          </w:p>
        </w:tc>
      </w:tr>
      <w:tr w14:paraId="09E530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003" w:type="dxa"/>
            <w:tcBorders>
              <w:top w:val="single" w:color="auto" w:sz="6" w:space="0"/>
              <w:bottom w:val="single" w:color="auto" w:sz="6" w:space="0"/>
              <w:right w:val="single" w:color="auto" w:sz="6" w:space="0"/>
            </w:tcBorders>
          </w:tcPr>
          <w:p w14:paraId="33784383">
            <w:pPr>
              <w:rPr>
                <w:rFonts w:hint="default" w:ascii="Arial" w:hAnsi="Arial" w:cs="Arial"/>
                <w:b/>
                <w:bCs/>
                <w:sz w:val="20"/>
                <w:szCs w:val="20"/>
              </w:rPr>
            </w:pPr>
            <w:r>
              <w:rPr>
                <w:rFonts w:hint="default" w:ascii="Arial" w:hAnsi="Arial" w:cs="Arial"/>
                <w:b/>
                <w:bCs/>
                <w:sz w:val="20"/>
                <w:szCs w:val="20"/>
              </w:rPr>
              <w:t>Department:</w:t>
            </w:r>
          </w:p>
        </w:tc>
        <w:tc>
          <w:tcPr>
            <w:tcW w:w="6606" w:type="dxa"/>
            <w:tcBorders>
              <w:top w:val="single" w:color="auto" w:sz="6" w:space="0"/>
              <w:left w:val="single" w:color="auto" w:sz="6" w:space="0"/>
              <w:bottom w:val="single" w:color="auto" w:sz="6" w:space="0"/>
            </w:tcBorders>
            <w:vAlign w:val="top"/>
          </w:tcPr>
          <w:p w14:paraId="3F6F64F0">
            <w:pPr>
              <w:rPr>
                <w:rFonts w:hint="default" w:ascii="Arial" w:hAnsi="Arial" w:cs="Arial"/>
                <w:b/>
                <w:bCs/>
                <w:sz w:val="20"/>
                <w:szCs w:val="20"/>
              </w:rPr>
            </w:pPr>
            <w:r>
              <w:rPr>
                <w:rFonts w:hint="default" w:ascii="Arial" w:hAnsi="Arial" w:cs="Arial"/>
                <w:b/>
                <w:bCs/>
                <w:sz w:val="20"/>
                <w:szCs w:val="20"/>
                <w:lang w:val="en-GB"/>
              </w:rPr>
              <w:t>Senior School</w:t>
            </w:r>
            <w:r>
              <w:rPr>
                <w:rFonts w:hint="default" w:ascii="Arial" w:hAnsi="Arial" w:cs="Arial"/>
                <w:b/>
                <w:bCs/>
                <w:sz w:val="20"/>
                <w:szCs w:val="20"/>
              </w:rPr>
              <w:t> </w:t>
            </w:r>
          </w:p>
        </w:tc>
      </w:tr>
      <w:tr w14:paraId="1C952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003" w:type="dxa"/>
            <w:tcBorders>
              <w:top w:val="single" w:color="auto" w:sz="6" w:space="0"/>
              <w:bottom w:val="single" w:color="auto" w:sz="6" w:space="0"/>
              <w:right w:val="single" w:color="auto" w:sz="6" w:space="0"/>
            </w:tcBorders>
          </w:tcPr>
          <w:p w14:paraId="4B7C1CEC">
            <w:pPr>
              <w:rPr>
                <w:rFonts w:hint="default" w:ascii="Arial" w:hAnsi="Arial" w:cs="Arial"/>
                <w:b/>
                <w:bCs/>
                <w:sz w:val="20"/>
                <w:szCs w:val="20"/>
              </w:rPr>
            </w:pPr>
            <w:r>
              <w:rPr>
                <w:rFonts w:hint="default" w:ascii="Arial" w:hAnsi="Arial" w:cs="Arial"/>
                <w:b/>
                <w:bCs/>
                <w:sz w:val="20"/>
                <w:szCs w:val="20"/>
              </w:rPr>
              <w:t>Reporting Line:</w:t>
            </w:r>
          </w:p>
        </w:tc>
        <w:tc>
          <w:tcPr>
            <w:tcW w:w="6606" w:type="dxa"/>
            <w:tcBorders>
              <w:top w:val="single" w:color="auto" w:sz="6" w:space="0"/>
              <w:left w:val="single" w:color="auto" w:sz="6" w:space="0"/>
              <w:bottom w:val="single" w:color="auto" w:sz="6" w:space="0"/>
            </w:tcBorders>
            <w:vAlign w:val="top"/>
          </w:tcPr>
          <w:p w14:paraId="30EAB4F8">
            <w:pPr>
              <w:rPr>
                <w:rFonts w:hint="default" w:ascii="Arial" w:hAnsi="Arial" w:cs="Arial"/>
                <w:b/>
                <w:bCs/>
                <w:sz w:val="20"/>
                <w:szCs w:val="20"/>
              </w:rPr>
            </w:pPr>
            <w:r>
              <w:rPr>
                <w:rFonts w:hint="default" w:ascii="Arial" w:hAnsi="Arial" w:cs="Arial"/>
                <w:b/>
                <w:bCs/>
                <w:sz w:val="20"/>
                <w:szCs w:val="20"/>
                <w:lang w:val="en-US"/>
              </w:rPr>
              <w:t>Principal/their designate</w:t>
            </w:r>
            <w:bookmarkStart w:id="0" w:name="_GoBack"/>
            <w:bookmarkEnd w:id="0"/>
          </w:p>
        </w:tc>
      </w:tr>
      <w:tr w14:paraId="7F9FCF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003" w:type="dxa"/>
            <w:tcBorders>
              <w:top w:val="single" w:color="auto" w:sz="6" w:space="0"/>
              <w:bottom w:val="single" w:color="auto" w:sz="6" w:space="0"/>
              <w:right w:val="single" w:color="auto" w:sz="6" w:space="0"/>
            </w:tcBorders>
          </w:tcPr>
          <w:p w14:paraId="5D908D3C">
            <w:pPr>
              <w:rPr>
                <w:rFonts w:hint="default" w:ascii="Arial" w:hAnsi="Arial" w:cs="Arial"/>
                <w:b/>
                <w:bCs/>
                <w:sz w:val="20"/>
                <w:szCs w:val="20"/>
              </w:rPr>
            </w:pPr>
            <w:r>
              <w:rPr>
                <w:rFonts w:hint="default" w:ascii="Arial" w:hAnsi="Arial" w:cs="Arial"/>
                <w:b/>
                <w:bCs/>
                <w:sz w:val="20"/>
                <w:szCs w:val="20"/>
              </w:rPr>
              <w:t>Position Location:</w:t>
            </w:r>
          </w:p>
        </w:tc>
        <w:tc>
          <w:tcPr>
            <w:tcW w:w="6606" w:type="dxa"/>
            <w:tcBorders>
              <w:top w:val="single" w:color="auto" w:sz="6" w:space="0"/>
              <w:left w:val="single" w:color="auto" w:sz="6" w:space="0"/>
              <w:bottom w:val="single" w:color="auto" w:sz="6" w:space="0"/>
            </w:tcBorders>
            <w:vAlign w:val="top"/>
          </w:tcPr>
          <w:p w14:paraId="44E9B2B6">
            <w:pPr>
              <w:rPr>
                <w:rFonts w:hint="default" w:ascii="Arial" w:hAnsi="Arial" w:cs="Arial"/>
                <w:b/>
                <w:bCs/>
                <w:sz w:val="20"/>
                <w:szCs w:val="20"/>
              </w:rPr>
            </w:pPr>
            <w:r>
              <w:rPr>
                <w:rFonts w:hint="default" w:ascii="Arial" w:hAnsi="Arial" w:cs="Arial"/>
                <w:b/>
                <w:bCs/>
                <w:sz w:val="20"/>
                <w:szCs w:val="20"/>
                <w:lang w:val="en-GB"/>
              </w:rPr>
              <w:t>Dhaka, Bangladesh</w:t>
            </w:r>
            <w:r>
              <w:rPr>
                <w:rFonts w:hint="default" w:ascii="Arial" w:hAnsi="Arial" w:cs="Arial"/>
                <w:b/>
                <w:bCs/>
                <w:sz w:val="20"/>
                <w:szCs w:val="20"/>
              </w:rPr>
              <w:t> </w:t>
            </w:r>
          </w:p>
        </w:tc>
      </w:tr>
      <w:tr w14:paraId="604F3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6" w:hRule="atLeast"/>
        </w:trPr>
        <w:tc>
          <w:tcPr>
            <w:tcW w:w="3003" w:type="dxa"/>
            <w:tcBorders>
              <w:top w:val="single" w:color="auto" w:sz="6" w:space="0"/>
              <w:bottom w:val="single" w:color="auto" w:sz="6" w:space="0"/>
              <w:right w:val="single" w:color="auto" w:sz="6" w:space="0"/>
            </w:tcBorders>
          </w:tcPr>
          <w:p w14:paraId="35C10631">
            <w:pPr>
              <w:rPr>
                <w:rFonts w:hint="default" w:ascii="Arial" w:hAnsi="Arial" w:cs="Arial"/>
                <w:b/>
                <w:bCs/>
                <w:sz w:val="20"/>
                <w:szCs w:val="20"/>
              </w:rPr>
            </w:pPr>
            <w:r>
              <w:rPr>
                <w:rFonts w:hint="default" w:ascii="Arial" w:hAnsi="Arial" w:cs="Arial"/>
                <w:b/>
                <w:bCs/>
                <w:sz w:val="20"/>
                <w:szCs w:val="20"/>
              </w:rPr>
              <w:t>Status</w:t>
            </w:r>
          </w:p>
        </w:tc>
        <w:tc>
          <w:tcPr>
            <w:tcW w:w="6606" w:type="dxa"/>
            <w:tcBorders>
              <w:top w:val="single" w:color="auto" w:sz="6" w:space="0"/>
              <w:left w:val="single" w:color="auto" w:sz="6" w:space="0"/>
              <w:bottom w:val="single" w:color="auto" w:sz="6" w:space="0"/>
            </w:tcBorders>
            <w:vAlign w:val="top"/>
          </w:tcPr>
          <w:p w14:paraId="60E5123C">
            <w:pPr>
              <w:rPr>
                <w:rFonts w:hint="default" w:ascii="Arial" w:hAnsi="Arial" w:cs="Arial"/>
                <w:b/>
                <w:bCs/>
                <w:sz w:val="20"/>
                <w:szCs w:val="20"/>
              </w:rPr>
            </w:pPr>
            <w:r>
              <w:rPr>
                <w:rFonts w:hint="default" w:ascii="Arial" w:hAnsi="Arial" w:cs="Arial"/>
                <w:b/>
                <w:bCs/>
                <w:sz w:val="20"/>
                <w:szCs w:val="20"/>
                <w:lang w:val="en-GB"/>
              </w:rPr>
              <w:t>Full-time</w:t>
            </w:r>
            <w:r>
              <w:rPr>
                <w:rFonts w:hint="default" w:ascii="Arial" w:hAnsi="Arial" w:cs="Arial"/>
                <w:b/>
                <w:bCs/>
                <w:sz w:val="20"/>
                <w:szCs w:val="20"/>
              </w:rPr>
              <w:t> </w:t>
            </w:r>
          </w:p>
        </w:tc>
      </w:tr>
      <w:tr w14:paraId="63865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609" w:type="dxa"/>
            <w:gridSpan w:val="2"/>
          </w:tcPr>
          <w:p w14:paraId="2E6BE7D6">
            <w:pPr>
              <w:ind w:left="283" w:hanging="283"/>
              <w:rPr>
                <w:rFonts w:hint="default" w:ascii="Arial" w:hAnsi="Arial" w:cs="Arial"/>
                <w:b/>
                <w:bCs/>
                <w:sz w:val="20"/>
                <w:szCs w:val="20"/>
                <w:u w:val="single"/>
              </w:rPr>
            </w:pPr>
          </w:p>
          <w:p w14:paraId="4A7D28B8">
            <w:pPr>
              <w:ind w:left="283" w:hanging="283"/>
              <w:rPr>
                <w:rFonts w:hint="default" w:ascii="Arial" w:hAnsi="Arial" w:cs="Arial"/>
                <w:b/>
                <w:bCs/>
                <w:sz w:val="20"/>
                <w:szCs w:val="20"/>
                <w:u w:val="single"/>
              </w:rPr>
            </w:pPr>
            <w:r>
              <w:rPr>
                <w:rFonts w:hint="default" w:ascii="Arial" w:hAnsi="Arial" w:cs="Arial"/>
                <w:b/>
                <w:bCs/>
                <w:sz w:val="20"/>
                <w:szCs w:val="20"/>
                <w:u w:val="single"/>
              </w:rPr>
              <w:t>Purpose:</w:t>
            </w:r>
          </w:p>
          <w:p w14:paraId="36A60F39">
            <w:pPr>
              <w:jc w:val="both"/>
              <w:rPr>
                <w:rFonts w:hint="default" w:ascii="Arial" w:hAnsi="Arial" w:eastAsia="Calibri" w:cs="Arial"/>
                <w:sz w:val="20"/>
                <w:szCs w:val="20"/>
              </w:rPr>
            </w:pPr>
            <w:r>
              <w:rPr>
                <w:rFonts w:hint="default" w:ascii="Arial" w:hAnsi="Arial" w:cs="Arial"/>
                <w:color w:val="000000" w:themeColor="text1"/>
                <w:sz w:val="20"/>
                <w:szCs w:val="20"/>
                <w14:textFill>
                  <w14:solidFill>
                    <w14:schemeClr w14:val="tx1"/>
                  </w14:solidFill>
                </w14:textFill>
              </w:rPr>
              <w:t>The Aga Khan Academy Dhaka (AKA Dhaka) requires the services of an interim Counsellor to provide counselling services to students and their families as required across both the Junior and Senior School. The Counsellor will be an integral part of the Academy’s pastoral care system, working collaboratively with the Lead, Pastoral Care, the Student Support Services Coordinator, and the Principals, as well as teachers and coordinators. The Counsellor will ensure that students have a safe and supportive environment in which to talk over difficult issues in confidence, as well as to listen to students’ views, experiences and feelings without judgment, in an atmosphere of respect and empathy, based on a secure and trusting working relationship. The Counsellor will help to establish a safe and inclusive climate in the school, free of intolerance, harassment and bullying, and act as an agent for positive change within the school community.</w:t>
            </w:r>
          </w:p>
          <w:p w14:paraId="6EEE0B93">
            <w:pPr>
              <w:rPr>
                <w:rFonts w:hint="default" w:ascii="Arial" w:hAnsi="Arial" w:cs="Arial"/>
                <w:color w:val="000000" w:themeColor="text1"/>
                <w:sz w:val="20"/>
                <w:szCs w:val="20"/>
                <w14:textFill>
                  <w14:solidFill>
                    <w14:schemeClr w14:val="tx1"/>
                  </w14:solidFill>
                </w14:textFill>
              </w:rPr>
            </w:pPr>
          </w:p>
        </w:tc>
      </w:tr>
      <w:tr w14:paraId="314F0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609" w:type="dxa"/>
            <w:gridSpan w:val="2"/>
          </w:tcPr>
          <w:p w14:paraId="36494A06">
            <w:pPr>
              <w:numPr>
                <w:ilvl w:val="12"/>
                <w:numId w:val="0"/>
              </w:numPr>
              <w:jc w:val="both"/>
              <w:rPr>
                <w:rFonts w:hint="default" w:ascii="Arial" w:hAnsi="Arial" w:cs="Arial"/>
                <w:sz w:val="20"/>
                <w:szCs w:val="20"/>
              </w:rPr>
            </w:pPr>
          </w:p>
          <w:p w14:paraId="51E37C52">
            <w:pPr>
              <w:ind w:left="283" w:hanging="283"/>
              <w:rPr>
                <w:rFonts w:hint="default" w:ascii="Arial" w:hAnsi="Arial" w:cs="Arial"/>
                <w:b/>
                <w:bCs/>
                <w:sz w:val="20"/>
                <w:szCs w:val="20"/>
                <w:u w:val="single"/>
              </w:rPr>
            </w:pPr>
            <w:r>
              <w:rPr>
                <w:rFonts w:hint="default" w:ascii="Arial" w:hAnsi="Arial" w:cs="Arial"/>
                <w:b/>
                <w:bCs/>
                <w:sz w:val="20"/>
                <w:szCs w:val="20"/>
                <w:u w:val="single"/>
              </w:rPr>
              <w:t>Context:</w:t>
            </w:r>
          </w:p>
          <w:p w14:paraId="08BEB2A7">
            <w:pPr>
              <w:jc w:val="both"/>
              <w:rPr>
                <w:rFonts w:hint="default" w:ascii="Arial" w:hAnsi="Arial" w:cs="Arial"/>
                <w:color w:val="000000" w:themeColor="text1"/>
                <w:sz w:val="20"/>
                <w:szCs w:val="20"/>
                <w14:textFill>
                  <w14:solidFill>
                    <w14:schemeClr w14:val="tx1"/>
                  </w14:solidFill>
                </w14:textFill>
              </w:rPr>
            </w:pPr>
            <w:r>
              <w:rPr>
                <w:rFonts w:hint="default" w:ascii="Arial" w:hAnsi="Arial" w:cs="Arial"/>
                <w:b/>
                <w:bCs/>
                <w:color w:val="000000" w:themeColor="text1"/>
                <w:sz w:val="20"/>
                <w:szCs w:val="20"/>
                <w14:textFill>
                  <w14:solidFill>
                    <w14:schemeClr w14:val="tx1"/>
                  </w14:solidFill>
                </w14:textFill>
              </w:rPr>
              <w:t xml:space="preserve">The Aga Khan Academies </w:t>
            </w:r>
            <w:r>
              <w:rPr>
                <w:rFonts w:hint="default" w:ascii="Arial" w:hAnsi="Arial" w:cs="Arial"/>
                <w:color w:val="000000" w:themeColor="text1"/>
                <w:sz w:val="20"/>
                <w:szCs w:val="20"/>
                <w14:textFill>
                  <w14:solidFill>
                    <w14:schemeClr w14:val="tx1"/>
                  </w14:solidFill>
                </w14:textFill>
              </w:rPr>
              <w:t>are an integrated network of residential schools dedicated to expanding access to education of an international standard of excellence to exceptional young men and women regardless of their ability to pay. Envisaged in Africa, South and Central Asia and the Middle East, the Aga Khan Academies’ foundational values include pluralism, meritocracy and civil society. Housed in spacious and attractive campuses with outstanding facilities the Academies offer the International Baccalaureate (IB) Curriculum from Primary Years to the Diploma and provide a rich opportunity for both teachers and students alike to grow both professionally and personally. The first Aga Khan Academy opened in Mombasa, Kenya in 2003, the second in Hyderabad, India in 2011, the third in Maputo, Mozambique in 2013, and the network is now expanding with the fourth Academy in Dhaka, Bangladesh.</w:t>
            </w:r>
          </w:p>
          <w:p w14:paraId="16D870BC">
            <w:pPr>
              <w:jc w:val="both"/>
              <w:rPr>
                <w:rFonts w:hint="default" w:ascii="Arial" w:hAnsi="Arial" w:cs="Arial"/>
                <w:color w:val="000000" w:themeColor="text1"/>
                <w:sz w:val="20"/>
                <w:szCs w:val="20"/>
                <w14:textFill>
                  <w14:solidFill>
                    <w14:schemeClr w14:val="tx1"/>
                  </w14:solidFill>
                </w14:textFill>
              </w:rPr>
            </w:pPr>
          </w:p>
          <w:p w14:paraId="08699B64">
            <w:pPr>
              <w:jc w:val="both"/>
              <w:rPr>
                <w:rFonts w:hint="default" w:ascii="Arial" w:hAnsi="Arial" w:cs="Arial"/>
                <w:color w:val="000000" w:themeColor="text1"/>
                <w:sz w:val="20"/>
                <w:szCs w:val="20"/>
                <w14:textFill>
                  <w14:solidFill>
                    <w14:schemeClr w14:val="tx1"/>
                  </w14:solidFill>
                </w14:textFill>
              </w:rPr>
            </w:pPr>
            <w:r>
              <w:rPr>
                <w:rFonts w:hint="default" w:ascii="Arial" w:hAnsi="Arial" w:cs="Arial"/>
                <w:color w:val="000000" w:themeColor="text1"/>
                <w:sz w:val="20"/>
                <w:szCs w:val="20"/>
                <w14:textFill>
                  <w14:solidFill>
                    <w14:schemeClr w14:val="tx1"/>
                  </w14:solidFill>
                </w14:textFill>
              </w:rPr>
              <w:t>The Academies aim to develop meritorious young men and women into homegrown ethical leaders through education of the highest international standard in purpose-built campuses. The vision and ethos of the Aga Khan Academy Dhaka is encapsulated in its mission statement that calls for a commitment to promote excellence in teaching.</w:t>
            </w:r>
          </w:p>
          <w:p w14:paraId="567AFC8E">
            <w:pPr>
              <w:jc w:val="both"/>
              <w:rPr>
                <w:rFonts w:hint="default" w:ascii="Arial" w:hAnsi="Arial" w:cs="Arial"/>
                <w:color w:val="000000" w:themeColor="text1"/>
                <w:sz w:val="20"/>
                <w:szCs w:val="20"/>
                <w14:textFill>
                  <w14:solidFill>
                    <w14:schemeClr w14:val="tx1"/>
                  </w14:solidFill>
                </w14:textFill>
              </w:rPr>
            </w:pPr>
            <w:r>
              <w:rPr>
                <w:rFonts w:hint="default" w:ascii="Arial" w:hAnsi="Arial" w:cs="Arial"/>
                <w:color w:val="000000" w:themeColor="text1"/>
                <w:sz w:val="20"/>
                <w:szCs w:val="20"/>
                <w:lang w:val="en-GB"/>
                <w14:textFill>
                  <w14:solidFill>
                    <w14:schemeClr w14:val="tx1"/>
                  </w14:solidFill>
                </w14:textFill>
              </w:rPr>
              <w:t>The Academies aim to develop meritorious young men and women into homegrown ethical leaders through education of the highest international standard. </w:t>
            </w:r>
            <w:r>
              <w:rPr>
                <w:rFonts w:hint="default" w:ascii="Arial" w:hAnsi="Arial" w:cs="Arial"/>
                <w:color w:val="000000" w:themeColor="text1"/>
                <w:sz w:val="20"/>
                <w:szCs w:val="20"/>
                <w14:textFill>
                  <w14:solidFill>
                    <w14:schemeClr w14:val="tx1"/>
                  </w14:solidFill>
                </w14:textFill>
              </w:rPr>
              <w:t> </w:t>
            </w:r>
          </w:p>
          <w:p w14:paraId="4737BA63">
            <w:pPr>
              <w:jc w:val="both"/>
              <w:rPr>
                <w:rFonts w:hint="default" w:ascii="Arial" w:hAnsi="Arial" w:cs="Arial"/>
                <w:color w:val="000000" w:themeColor="text1"/>
                <w:sz w:val="20"/>
                <w:szCs w:val="20"/>
                <w14:textFill>
                  <w14:solidFill>
                    <w14:schemeClr w14:val="tx1"/>
                  </w14:solidFill>
                </w14:textFill>
              </w:rPr>
            </w:pPr>
            <w:r>
              <w:rPr>
                <w:rFonts w:hint="default" w:ascii="Arial" w:hAnsi="Arial" w:cs="Arial"/>
                <w:color w:val="000000" w:themeColor="text1"/>
                <w:sz w:val="20"/>
                <w:szCs w:val="20"/>
                <w14:textFill>
                  <w14:solidFill>
                    <w14:schemeClr w14:val="tx1"/>
                  </w14:solidFill>
                </w14:textFill>
              </w:rPr>
              <w:t> </w:t>
            </w:r>
          </w:p>
          <w:p w14:paraId="3FF649E5">
            <w:pPr>
              <w:jc w:val="both"/>
              <w:rPr>
                <w:rFonts w:hint="default" w:ascii="Arial" w:hAnsi="Arial" w:cs="Arial"/>
                <w:color w:val="000000" w:themeColor="text1"/>
                <w:sz w:val="20"/>
                <w:szCs w:val="20"/>
                <w14:textFill>
                  <w14:solidFill>
                    <w14:schemeClr w14:val="tx1"/>
                  </w14:solidFill>
                </w14:textFill>
              </w:rPr>
            </w:pPr>
            <w:r>
              <w:rPr>
                <w:rFonts w:hint="default" w:ascii="Arial" w:hAnsi="Arial" w:cs="Arial"/>
                <w:color w:val="000000" w:themeColor="text1"/>
                <w:sz w:val="20"/>
                <w:szCs w:val="20"/>
                <w:lang w:val="en-GB"/>
                <w14:textFill>
                  <w14:solidFill>
                    <w14:schemeClr w14:val="tx1"/>
                  </w14:solidFill>
                </w14:textFill>
              </w:rPr>
              <w:t>The primary focus of every teacher at the Academy is to consider what, how and how well the students are learning and progressing, how they are demonstrating that learning, and how to nurture students within the school community. Teaching IB MYP/DP, they have the responsibility to demonstrate a commitment to the IB beliefs and values and translate them into daily classroom practice, while developing the attributes of the AKA learner profile both within themselves and their students.</w:t>
            </w:r>
            <w:r>
              <w:rPr>
                <w:rFonts w:hint="default" w:ascii="Arial" w:hAnsi="Arial" w:cs="Arial"/>
                <w:color w:val="000000" w:themeColor="text1"/>
                <w:sz w:val="20"/>
                <w:szCs w:val="20"/>
                <w14:textFill>
                  <w14:solidFill>
                    <w14:schemeClr w14:val="tx1"/>
                  </w14:solidFill>
                </w14:textFill>
              </w:rPr>
              <w:t> </w:t>
            </w:r>
          </w:p>
          <w:p w14:paraId="667DBF8A">
            <w:pPr>
              <w:jc w:val="both"/>
              <w:rPr>
                <w:rFonts w:hint="default" w:ascii="Arial" w:hAnsi="Arial" w:cs="Arial"/>
                <w:color w:val="000000" w:themeColor="text1"/>
                <w:sz w:val="20"/>
                <w:szCs w:val="20"/>
                <w14:textFill>
                  <w14:solidFill>
                    <w14:schemeClr w14:val="tx1"/>
                  </w14:solidFill>
                </w14:textFill>
              </w:rPr>
            </w:pPr>
            <w:r>
              <w:rPr>
                <w:rFonts w:hint="default" w:ascii="Arial" w:hAnsi="Arial" w:cs="Arial"/>
                <w:color w:val="000000" w:themeColor="text1"/>
                <w:sz w:val="20"/>
                <w:szCs w:val="20"/>
                <w14:textFill>
                  <w14:solidFill>
                    <w14:schemeClr w14:val="tx1"/>
                  </w14:solidFill>
                </w14:textFill>
              </w:rPr>
              <w:t> </w:t>
            </w:r>
          </w:p>
          <w:p w14:paraId="24E9A480">
            <w:pPr>
              <w:jc w:val="both"/>
              <w:rPr>
                <w:rFonts w:hint="default" w:ascii="Arial" w:hAnsi="Arial" w:cs="Arial"/>
                <w:color w:val="000000" w:themeColor="text1"/>
                <w:sz w:val="20"/>
                <w:szCs w:val="20"/>
                <w:lang w:val="en-GB"/>
                <w14:textFill>
                  <w14:solidFill>
                    <w14:schemeClr w14:val="tx1"/>
                  </w14:solidFill>
                </w14:textFill>
              </w:rPr>
            </w:pPr>
            <w:r>
              <w:rPr>
                <w:rFonts w:hint="default" w:ascii="Arial" w:hAnsi="Arial" w:cs="Arial"/>
                <w:color w:val="000000" w:themeColor="text1"/>
                <w:sz w:val="20"/>
                <w:szCs w:val="20"/>
                <w:lang w:val="en-GB"/>
                <w14:textFill>
                  <w14:solidFill>
                    <w14:schemeClr w14:val="tx1"/>
                  </w14:solidFill>
                </w14:textFill>
              </w:rPr>
              <w:t>Teachers at the Aga Khan Academies also show a commitment to continually developing themselves as members of an integrated professional learning community. They interact and collaborate with colleagues across the network and within each Academy, contributing to the growth of the Academies network in appropriate ways, through on-line conferences, collaborative planning, teacher, and student exchanges.</w:t>
            </w:r>
          </w:p>
          <w:p w14:paraId="71EAE96E">
            <w:pPr>
              <w:jc w:val="both"/>
              <w:rPr>
                <w:rFonts w:hint="default" w:ascii="Arial" w:hAnsi="Arial" w:cs="Arial"/>
                <w:color w:val="000000" w:themeColor="text1"/>
                <w:sz w:val="20"/>
                <w:szCs w:val="20"/>
                <w:lang w:val="en-GB"/>
                <w14:textFill>
                  <w14:solidFill>
                    <w14:schemeClr w14:val="tx1"/>
                  </w14:solidFill>
                </w14:textFill>
              </w:rPr>
            </w:pPr>
          </w:p>
          <w:p w14:paraId="5D89A894">
            <w:pPr>
              <w:jc w:val="both"/>
              <w:rPr>
                <w:rFonts w:hint="default" w:ascii="Arial" w:hAnsi="Arial" w:cs="Arial"/>
                <w:color w:val="000000" w:themeColor="text1"/>
                <w:sz w:val="20"/>
                <w:szCs w:val="20"/>
                <w:lang w:val="en-GB"/>
                <w14:textFill>
                  <w14:solidFill>
                    <w14:schemeClr w14:val="tx1"/>
                  </w14:solidFill>
                </w14:textFill>
              </w:rPr>
            </w:pPr>
          </w:p>
          <w:p w14:paraId="5D43E223">
            <w:pPr>
              <w:jc w:val="both"/>
              <w:rPr>
                <w:rFonts w:hint="default" w:ascii="Arial" w:hAnsi="Arial" w:cs="Arial"/>
                <w:color w:val="000000" w:themeColor="text1"/>
                <w:sz w:val="20"/>
                <w:szCs w:val="20"/>
                <w:lang w:val="en-GB"/>
                <w14:textFill>
                  <w14:solidFill>
                    <w14:schemeClr w14:val="tx1"/>
                  </w14:solidFill>
                </w14:textFill>
              </w:rPr>
            </w:pPr>
          </w:p>
          <w:p w14:paraId="4AB6A1AC">
            <w:pPr>
              <w:jc w:val="both"/>
              <w:rPr>
                <w:rFonts w:hint="default" w:ascii="Arial" w:hAnsi="Arial" w:cs="Arial"/>
                <w:color w:val="000000" w:themeColor="text1"/>
                <w:sz w:val="20"/>
                <w:szCs w:val="20"/>
                <w:lang w:val="en-GB"/>
                <w14:textFill>
                  <w14:solidFill>
                    <w14:schemeClr w14:val="tx1"/>
                  </w14:solidFill>
                </w14:textFill>
              </w:rPr>
            </w:pPr>
          </w:p>
          <w:p w14:paraId="062198ED">
            <w:pPr>
              <w:numPr>
                <w:ilvl w:val="12"/>
                <w:numId w:val="0"/>
              </w:numPr>
              <w:jc w:val="both"/>
              <w:rPr>
                <w:rFonts w:hint="default" w:ascii="Arial" w:hAnsi="Arial" w:cs="Arial"/>
                <w:b/>
                <w:sz w:val="20"/>
                <w:szCs w:val="20"/>
                <w:u w:val="single"/>
              </w:rPr>
            </w:pPr>
            <w:r>
              <w:rPr>
                <w:rFonts w:hint="default" w:ascii="Arial" w:hAnsi="Arial" w:cs="Arial"/>
                <w:b/>
                <w:sz w:val="20"/>
                <w:szCs w:val="20"/>
                <w:u w:val="single"/>
              </w:rPr>
              <w:t>MAIN RESPONSIBILITIES:</w:t>
            </w:r>
          </w:p>
          <w:p w14:paraId="58DE8F1C">
            <w:pPr>
              <w:jc w:val="both"/>
              <w:rPr>
                <w:rFonts w:hint="default" w:ascii="Arial" w:hAnsi="Arial" w:cs="Arial"/>
                <w:kern w:val="0"/>
                <w:sz w:val="20"/>
                <w:szCs w:val="20"/>
                <w:lang w:val="en-GB"/>
                <w14:ligatures w14:val="none"/>
              </w:rPr>
            </w:pPr>
          </w:p>
          <w:p w14:paraId="2D097BC2">
            <w:pPr>
              <w:pStyle w:val="30"/>
              <w:numPr>
                <w:ilvl w:val="0"/>
                <w:numId w:val="1"/>
              </w:numPr>
              <w:rPr>
                <w:rFonts w:hint="default" w:ascii="Arial" w:hAnsi="Arial" w:cs="Arial"/>
                <w:sz w:val="20"/>
                <w:szCs w:val="20"/>
                <w:lang w:val="en-IN" w:bidi="bn-BD"/>
              </w:rPr>
            </w:pPr>
            <w:r>
              <w:rPr>
                <w:rFonts w:hint="default" w:ascii="Arial" w:hAnsi="Arial" w:cs="Arial"/>
                <w:sz w:val="20"/>
                <w:szCs w:val="20"/>
                <w:lang w:val="en-IN" w:bidi="bn-BD"/>
              </w:rPr>
              <w:t>Planning and implementing a variety of learning engagements that promote inquiry, creativity and critical thinking. Providing students with learning experiences that are differentiated to accommodate a range of abilities. </w:t>
            </w:r>
          </w:p>
          <w:p w14:paraId="5FDD9039">
            <w:pPr>
              <w:pStyle w:val="30"/>
              <w:numPr>
                <w:ilvl w:val="0"/>
                <w:numId w:val="1"/>
              </w:numPr>
              <w:rPr>
                <w:rFonts w:hint="default" w:ascii="Arial" w:hAnsi="Arial" w:cs="Arial"/>
                <w:sz w:val="20"/>
                <w:szCs w:val="20"/>
                <w:lang w:val="en-IN" w:bidi="bn-BD"/>
              </w:rPr>
            </w:pPr>
            <w:r>
              <w:rPr>
                <w:rFonts w:hint="default" w:ascii="Arial" w:hAnsi="Arial" w:cs="Arial"/>
                <w:sz w:val="20"/>
                <w:szCs w:val="20"/>
                <w:lang w:val="en-IN" w:bidi="bn-BD"/>
              </w:rPr>
              <w:t>Effective teaching of the IB programme including MYP/DP concepts, Approaches to Learning, Global Contexts, Service as Action and the integration of digital assessment. </w:t>
            </w:r>
          </w:p>
          <w:p w14:paraId="51F2D73D">
            <w:pPr>
              <w:pStyle w:val="30"/>
              <w:numPr>
                <w:ilvl w:val="0"/>
                <w:numId w:val="1"/>
              </w:numPr>
              <w:rPr>
                <w:rFonts w:hint="default" w:ascii="Arial" w:hAnsi="Arial" w:cs="Arial"/>
                <w:sz w:val="20"/>
                <w:szCs w:val="20"/>
                <w:lang w:val="en-IN" w:bidi="bn-BD"/>
              </w:rPr>
            </w:pPr>
            <w:r>
              <w:rPr>
                <w:rFonts w:hint="default" w:ascii="Arial" w:hAnsi="Arial" w:cs="Arial"/>
                <w:sz w:val="20"/>
                <w:szCs w:val="20"/>
                <w:lang w:val="en-IN" w:bidi="bn-BD"/>
              </w:rPr>
              <w:t>Being responsible for the pastoral care of the students including maintaining records of individual students. </w:t>
            </w:r>
          </w:p>
          <w:p w14:paraId="6C3814A7">
            <w:pPr>
              <w:pStyle w:val="30"/>
              <w:numPr>
                <w:ilvl w:val="0"/>
                <w:numId w:val="1"/>
              </w:numPr>
              <w:rPr>
                <w:rFonts w:hint="default" w:ascii="Arial" w:hAnsi="Arial" w:cs="Arial"/>
                <w:sz w:val="20"/>
                <w:szCs w:val="20"/>
                <w:lang w:val="en-IN" w:bidi="bn-BD"/>
              </w:rPr>
            </w:pPr>
            <w:r>
              <w:rPr>
                <w:rFonts w:hint="default" w:ascii="Arial" w:hAnsi="Arial" w:cs="Arial"/>
                <w:sz w:val="20"/>
                <w:szCs w:val="20"/>
                <w:lang w:val="en-IN" w:bidi="bn-BD"/>
              </w:rPr>
              <w:t>Working collaboratively to design and plan the MYP and DP curriculums for the Academy including the completion of Unit Planners, subject continuums, and interdisciplinary learning. </w:t>
            </w:r>
          </w:p>
          <w:p w14:paraId="3E7D2E2C">
            <w:pPr>
              <w:pStyle w:val="30"/>
              <w:numPr>
                <w:ilvl w:val="0"/>
                <w:numId w:val="1"/>
              </w:numPr>
              <w:rPr>
                <w:rFonts w:hint="default" w:ascii="Arial" w:hAnsi="Arial" w:cs="Arial"/>
                <w:sz w:val="20"/>
                <w:szCs w:val="20"/>
                <w:lang w:val="en-IN" w:bidi="bn-BD"/>
              </w:rPr>
            </w:pPr>
            <w:r>
              <w:rPr>
                <w:rFonts w:hint="default" w:ascii="Arial" w:hAnsi="Arial" w:cs="Arial"/>
                <w:sz w:val="20"/>
                <w:szCs w:val="20"/>
                <w:lang w:val="en-IN" w:bidi="bn-BD"/>
              </w:rPr>
              <w:t>Work with colleagues across the network of the Academies to align curriculum for MYP4 and MYP5. </w:t>
            </w:r>
          </w:p>
          <w:p w14:paraId="63613037">
            <w:pPr>
              <w:pStyle w:val="30"/>
              <w:numPr>
                <w:ilvl w:val="0"/>
                <w:numId w:val="1"/>
              </w:numPr>
              <w:rPr>
                <w:rFonts w:hint="default" w:ascii="Arial" w:hAnsi="Arial" w:cs="Arial"/>
                <w:sz w:val="20"/>
                <w:szCs w:val="20"/>
                <w:lang w:val="en-IN" w:bidi="bn-BD"/>
              </w:rPr>
            </w:pPr>
            <w:r>
              <w:rPr>
                <w:rFonts w:hint="default" w:ascii="Arial" w:hAnsi="Arial" w:cs="Arial"/>
                <w:sz w:val="20"/>
                <w:szCs w:val="20"/>
                <w:lang w:val="en-IN" w:bidi="bn-BD"/>
              </w:rPr>
              <w:t>Integrating the Aga Khan Strands into teaching and learning. </w:t>
            </w:r>
          </w:p>
          <w:p w14:paraId="22838CD8">
            <w:pPr>
              <w:pStyle w:val="30"/>
              <w:numPr>
                <w:ilvl w:val="0"/>
                <w:numId w:val="1"/>
              </w:numPr>
              <w:rPr>
                <w:rFonts w:hint="default" w:ascii="Arial" w:hAnsi="Arial" w:cs="Arial"/>
                <w:sz w:val="20"/>
                <w:szCs w:val="20"/>
                <w:lang w:val="en-IN" w:bidi="bn-BD"/>
              </w:rPr>
            </w:pPr>
            <w:r>
              <w:rPr>
                <w:rFonts w:hint="default" w:ascii="Arial" w:hAnsi="Arial" w:cs="Arial"/>
                <w:sz w:val="20"/>
                <w:szCs w:val="20"/>
                <w:lang w:val="en-IN" w:bidi="bn-BD"/>
              </w:rPr>
              <w:t>Authentically assessing, recording, tracking and reporting on the progress of all students, using a range of monitoring and assessment strategies. </w:t>
            </w:r>
          </w:p>
          <w:p w14:paraId="2BBEEC4C">
            <w:pPr>
              <w:pStyle w:val="30"/>
              <w:numPr>
                <w:ilvl w:val="0"/>
                <w:numId w:val="1"/>
              </w:numPr>
              <w:rPr>
                <w:rFonts w:hint="default" w:ascii="Arial" w:hAnsi="Arial" w:cs="Arial"/>
                <w:sz w:val="20"/>
                <w:szCs w:val="20"/>
                <w:lang w:val="en-IN" w:bidi="bn-BD"/>
              </w:rPr>
            </w:pPr>
            <w:r>
              <w:rPr>
                <w:rFonts w:hint="default" w:ascii="Arial" w:hAnsi="Arial" w:cs="Arial"/>
                <w:sz w:val="20"/>
                <w:szCs w:val="20"/>
                <w:lang w:val="en-IN" w:bidi="bn-BD"/>
              </w:rPr>
              <w:t>Use data to inform decisions about students’ learning. </w:t>
            </w:r>
          </w:p>
          <w:p w14:paraId="567BF16E">
            <w:pPr>
              <w:pStyle w:val="30"/>
              <w:numPr>
                <w:ilvl w:val="0"/>
                <w:numId w:val="1"/>
              </w:numPr>
              <w:rPr>
                <w:rFonts w:hint="default" w:ascii="Arial" w:hAnsi="Arial" w:cs="Arial"/>
                <w:sz w:val="20"/>
                <w:szCs w:val="20"/>
                <w:lang w:val="en-IN" w:bidi="bn-BD"/>
              </w:rPr>
            </w:pPr>
            <w:r>
              <w:rPr>
                <w:rFonts w:hint="default" w:ascii="Arial" w:hAnsi="Arial" w:cs="Arial"/>
                <w:sz w:val="20"/>
                <w:szCs w:val="20"/>
                <w:lang w:val="en-IN" w:bidi="bn-BD"/>
              </w:rPr>
              <w:t>Developing learning environments as inviting, nurturing and interactive through the appropriate use, storage and care of displays, resources and students’ work. </w:t>
            </w:r>
          </w:p>
          <w:p w14:paraId="6BE9F049">
            <w:pPr>
              <w:pStyle w:val="30"/>
              <w:numPr>
                <w:ilvl w:val="0"/>
                <w:numId w:val="1"/>
              </w:numPr>
              <w:rPr>
                <w:rFonts w:hint="default" w:ascii="Arial" w:hAnsi="Arial" w:cs="Arial"/>
                <w:sz w:val="20"/>
                <w:szCs w:val="20"/>
                <w:lang w:val="en-IN" w:bidi="bn-BD"/>
              </w:rPr>
            </w:pPr>
            <w:r>
              <w:rPr>
                <w:rFonts w:hint="default" w:ascii="Arial" w:hAnsi="Arial" w:cs="Arial"/>
                <w:sz w:val="20"/>
                <w:szCs w:val="20"/>
                <w:lang w:val="en-IN" w:bidi="bn-BD"/>
              </w:rPr>
              <w:t>Communicating necessary programme information to all stakeholders. </w:t>
            </w:r>
          </w:p>
          <w:p w14:paraId="08B40CDF">
            <w:pPr>
              <w:pStyle w:val="30"/>
              <w:numPr>
                <w:ilvl w:val="0"/>
                <w:numId w:val="1"/>
              </w:numPr>
              <w:rPr>
                <w:rFonts w:hint="default" w:ascii="Arial" w:hAnsi="Arial" w:cs="Arial"/>
                <w:sz w:val="20"/>
                <w:szCs w:val="20"/>
                <w:lang w:val="en-IN" w:bidi="bn-BD"/>
              </w:rPr>
            </w:pPr>
            <w:r>
              <w:rPr>
                <w:rFonts w:hint="default" w:ascii="Arial" w:hAnsi="Arial" w:cs="Arial"/>
                <w:sz w:val="20"/>
                <w:szCs w:val="20"/>
                <w:lang w:val="en-IN" w:bidi="bn-BD"/>
              </w:rPr>
              <w:t>Actively and collaboratively participating in the life of the Academy as a whole, including some evening and/or weekend activities in the residential programme </w:t>
            </w:r>
          </w:p>
          <w:p w14:paraId="7E5E6D4C">
            <w:pPr>
              <w:pStyle w:val="30"/>
              <w:numPr>
                <w:ilvl w:val="0"/>
                <w:numId w:val="1"/>
              </w:numPr>
              <w:rPr>
                <w:rFonts w:hint="default" w:ascii="Arial" w:hAnsi="Arial" w:cs="Arial"/>
                <w:sz w:val="20"/>
                <w:szCs w:val="20"/>
                <w:lang w:val="en-IN" w:bidi="bn-BD"/>
              </w:rPr>
            </w:pPr>
            <w:r>
              <w:rPr>
                <w:rFonts w:hint="default" w:ascii="Arial" w:hAnsi="Arial" w:cs="Arial"/>
                <w:sz w:val="20"/>
                <w:szCs w:val="20"/>
                <w:lang w:val="en-IN" w:bidi="bn-BD"/>
              </w:rPr>
              <w:t>Contributing to the development and implementation of strong extracurricular and service learning programmes in line with the mission and vision of the Academies. </w:t>
            </w:r>
          </w:p>
          <w:p w14:paraId="0793F5D9">
            <w:pPr>
              <w:pStyle w:val="30"/>
              <w:numPr>
                <w:ilvl w:val="0"/>
                <w:numId w:val="1"/>
              </w:numPr>
              <w:rPr>
                <w:rFonts w:hint="default" w:ascii="Arial" w:hAnsi="Arial" w:cs="Arial"/>
                <w:sz w:val="20"/>
                <w:szCs w:val="20"/>
                <w:lang w:val="en-IN" w:bidi="bn-BD"/>
              </w:rPr>
            </w:pPr>
            <w:r>
              <w:rPr>
                <w:rFonts w:hint="default" w:ascii="Arial" w:hAnsi="Arial" w:cs="Arial"/>
                <w:sz w:val="20"/>
                <w:szCs w:val="20"/>
                <w:lang w:val="en-IN" w:bidi="bn-BD"/>
              </w:rPr>
              <w:t>Displaying and modelling professionalism. </w:t>
            </w:r>
          </w:p>
          <w:p w14:paraId="524B3569">
            <w:pPr>
              <w:pStyle w:val="30"/>
              <w:numPr>
                <w:ilvl w:val="0"/>
                <w:numId w:val="1"/>
              </w:numPr>
              <w:rPr>
                <w:rFonts w:hint="default" w:ascii="Arial" w:hAnsi="Arial" w:cs="Arial"/>
                <w:sz w:val="20"/>
                <w:szCs w:val="20"/>
                <w:lang w:val="en-IN" w:bidi="bn-BD"/>
              </w:rPr>
            </w:pPr>
            <w:r>
              <w:rPr>
                <w:rFonts w:hint="default" w:ascii="Arial" w:hAnsi="Arial" w:cs="Arial"/>
                <w:sz w:val="20"/>
                <w:szCs w:val="20"/>
                <w:lang w:val="en-IN" w:bidi="bn-BD"/>
              </w:rPr>
              <w:t>Participaing in and contributing to the Academy’s Professional Development programmes. </w:t>
            </w:r>
          </w:p>
          <w:p w14:paraId="2A4CE419">
            <w:pPr>
              <w:pStyle w:val="30"/>
              <w:numPr>
                <w:ilvl w:val="0"/>
                <w:numId w:val="1"/>
              </w:numPr>
              <w:rPr>
                <w:rFonts w:hint="default" w:ascii="Arial" w:hAnsi="Arial" w:cs="Arial"/>
                <w:sz w:val="20"/>
                <w:szCs w:val="20"/>
                <w:lang w:val="en-IN" w:bidi="bn-BD"/>
              </w:rPr>
            </w:pPr>
            <w:r>
              <w:rPr>
                <w:rFonts w:hint="default" w:ascii="Arial" w:hAnsi="Arial" w:cs="Arial"/>
                <w:sz w:val="20"/>
                <w:szCs w:val="20"/>
                <w:lang w:val="en-IN" w:bidi="bn-BD"/>
              </w:rPr>
              <w:t>Participating actively in the Appraisal for Growth process as a member of the Academy’s professional learning community. </w:t>
            </w:r>
          </w:p>
          <w:p w14:paraId="6D72D85E">
            <w:pPr>
              <w:pStyle w:val="30"/>
              <w:numPr>
                <w:ilvl w:val="0"/>
                <w:numId w:val="1"/>
              </w:numPr>
              <w:rPr>
                <w:rFonts w:hint="default" w:ascii="Arial" w:hAnsi="Arial" w:cs="Arial"/>
                <w:color w:val="000000" w:themeColor="text1"/>
                <w:sz w:val="20"/>
                <w:szCs w:val="20"/>
                <w14:textFill>
                  <w14:solidFill>
                    <w14:schemeClr w14:val="tx1"/>
                  </w14:solidFill>
                </w14:textFill>
              </w:rPr>
            </w:pPr>
            <w:r>
              <w:rPr>
                <w:rFonts w:hint="default" w:ascii="Arial" w:hAnsi="Arial" w:cs="Arial"/>
                <w:sz w:val="20"/>
                <w:szCs w:val="20"/>
                <w:lang w:val="en-IN" w:bidi="bn-BD"/>
              </w:rPr>
              <w:t>Developing the necess</w:t>
            </w:r>
            <w:r>
              <w:rPr>
                <w:rFonts w:hint="default" w:ascii="Arial" w:hAnsi="Arial"/>
                <w:kern w:val="0"/>
                <w:sz w:val="20"/>
                <w:szCs w:val="20"/>
                <w:lang w:val="en-IN"/>
                <w14:ligatures w14:val="none"/>
              </w:rPr>
              <w:t>ary documentation for IB MYP and DP authorisation processes.</w:t>
            </w:r>
          </w:p>
          <w:p w14:paraId="15CB198F">
            <w:pPr>
              <w:pStyle w:val="30"/>
              <w:ind w:left="1440"/>
              <w:jc w:val="both"/>
              <w:rPr>
                <w:rFonts w:hint="default" w:ascii="Arial" w:hAnsi="Arial" w:cs="Arial"/>
                <w:color w:val="000000" w:themeColor="text1"/>
                <w:sz w:val="20"/>
                <w:szCs w:val="20"/>
                <w14:textFill>
                  <w14:solidFill>
                    <w14:schemeClr w14:val="tx1"/>
                  </w14:solidFill>
                </w14:textFill>
              </w:rPr>
            </w:pPr>
          </w:p>
        </w:tc>
      </w:tr>
      <w:tr w14:paraId="6AB55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2" w:hRule="atLeast"/>
        </w:trPr>
        <w:tc>
          <w:tcPr>
            <w:tcW w:w="9609" w:type="dxa"/>
            <w:gridSpan w:val="2"/>
          </w:tcPr>
          <w:p w14:paraId="49355A7A">
            <w:pPr>
              <w:numPr>
                <w:ilvl w:val="12"/>
                <w:numId w:val="0"/>
              </w:numPr>
              <w:jc w:val="both"/>
              <w:rPr>
                <w:rFonts w:hint="default" w:ascii="Arial" w:hAnsi="Arial" w:cs="Arial"/>
                <w:b/>
                <w:sz w:val="20"/>
                <w:szCs w:val="20"/>
                <w:u w:val="single"/>
              </w:rPr>
            </w:pPr>
            <w:r>
              <w:rPr>
                <w:rFonts w:hint="default" w:ascii="Arial" w:hAnsi="Arial" w:cs="Arial"/>
                <w:b/>
                <w:sz w:val="20"/>
                <w:szCs w:val="20"/>
                <w:u w:val="single"/>
              </w:rPr>
              <w:t>SPECIFICATIONS (Candidate profile):</w:t>
            </w:r>
          </w:p>
          <w:p w14:paraId="72ACC3DA">
            <w:pPr>
              <w:numPr>
                <w:ilvl w:val="12"/>
                <w:numId w:val="0"/>
              </w:numPr>
              <w:rPr>
                <w:rFonts w:hint="default" w:ascii="Arial" w:hAnsi="Arial" w:cs="Arial"/>
                <w:b/>
                <w:bCs/>
                <w:sz w:val="20"/>
                <w:szCs w:val="20"/>
                <w:u w:val="single"/>
                <w:lang w:eastAsia="en-US"/>
              </w:rPr>
            </w:pPr>
          </w:p>
          <w:p w14:paraId="46130217">
            <w:pPr>
              <w:numPr>
                <w:ilvl w:val="12"/>
                <w:numId w:val="0"/>
              </w:numPr>
              <w:rPr>
                <w:rFonts w:hint="default" w:ascii="Arial" w:hAnsi="Arial" w:cs="Arial"/>
                <w:b/>
                <w:bCs/>
                <w:sz w:val="20"/>
                <w:szCs w:val="20"/>
                <w:u w:val="single"/>
              </w:rPr>
            </w:pPr>
            <w:r>
              <w:rPr>
                <w:rFonts w:hint="default" w:ascii="Arial" w:hAnsi="Arial" w:cs="Arial"/>
                <w:b/>
                <w:bCs/>
                <w:sz w:val="20"/>
                <w:szCs w:val="20"/>
                <w:u w:val="single"/>
              </w:rPr>
              <w:t>Required Attributes:</w:t>
            </w:r>
          </w:p>
          <w:p w14:paraId="57BF7DE5">
            <w:pPr>
              <w:pStyle w:val="30"/>
              <w:numPr>
                <w:ilvl w:val="0"/>
                <w:numId w:val="1"/>
              </w:numPr>
              <w:rPr>
                <w:rFonts w:hint="default" w:ascii="Arial" w:hAnsi="Arial" w:cs="Arial"/>
                <w:sz w:val="20"/>
                <w:szCs w:val="20"/>
                <w:lang w:val="en-IN" w:bidi="bn-BD"/>
              </w:rPr>
            </w:pPr>
            <w:r>
              <w:rPr>
                <w:rFonts w:hint="default" w:ascii="Arial" w:hAnsi="Arial" w:cs="Arial"/>
                <w:sz w:val="20"/>
                <w:szCs w:val="20"/>
                <w:lang w:val="en-IN" w:bidi="bn-BD"/>
              </w:rPr>
              <w:t>A minimum of two years’ experience teaching MYP. </w:t>
            </w:r>
          </w:p>
          <w:p w14:paraId="441C12F7">
            <w:pPr>
              <w:pStyle w:val="30"/>
              <w:numPr>
                <w:ilvl w:val="0"/>
                <w:numId w:val="1"/>
              </w:numPr>
              <w:rPr>
                <w:rFonts w:hint="default" w:ascii="Arial" w:hAnsi="Arial" w:cs="Arial"/>
                <w:sz w:val="20"/>
                <w:szCs w:val="20"/>
                <w:lang w:val="en-IN" w:bidi="bn-BD"/>
              </w:rPr>
            </w:pPr>
            <w:r>
              <w:rPr>
                <w:rFonts w:hint="default" w:ascii="Arial" w:hAnsi="Arial" w:cs="Arial"/>
                <w:sz w:val="20"/>
                <w:szCs w:val="20"/>
                <w:lang w:val="en-IN" w:bidi="bn-BD"/>
              </w:rPr>
              <w:t>An understanding and a commitment to IB programmes.  </w:t>
            </w:r>
          </w:p>
          <w:p w14:paraId="36D0E2EA">
            <w:pPr>
              <w:pStyle w:val="30"/>
              <w:numPr>
                <w:ilvl w:val="0"/>
                <w:numId w:val="1"/>
              </w:numPr>
              <w:rPr>
                <w:rFonts w:hint="default" w:ascii="Arial" w:hAnsi="Arial" w:cs="Arial"/>
                <w:sz w:val="20"/>
                <w:szCs w:val="20"/>
                <w:lang w:val="en-IN" w:bidi="bn-BD"/>
              </w:rPr>
            </w:pPr>
            <w:r>
              <w:rPr>
                <w:rFonts w:hint="default" w:ascii="Arial" w:hAnsi="Arial" w:cs="Arial"/>
                <w:sz w:val="20"/>
                <w:szCs w:val="20"/>
                <w:lang w:val="en-IN" w:bidi="bn-BD"/>
              </w:rPr>
              <w:t>Excellent interpersonal skills and the capacity to interact well and communicate effectively with students, parents and colleagues within a diverse and pluralistic society. </w:t>
            </w:r>
          </w:p>
          <w:p w14:paraId="14D984A9">
            <w:pPr>
              <w:pStyle w:val="30"/>
              <w:numPr>
                <w:ilvl w:val="0"/>
                <w:numId w:val="1"/>
              </w:numPr>
              <w:rPr>
                <w:rFonts w:hint="default" w:ascii="Arial" w:hAnsi="Arial" w:cs="Arial"/>
                <w:sz w:val="20"/>
                <w:szCs w:val="20"/>
                <w:lang w:val="en-IN" w:bidi="bn-BD"/>
              </w:rPr>
            </w:pPr>
            <w:r>
              <w:rPr>
                <w:rFonts w:hint="default" w:ascii="Arial" w:hAnsi="Arial" w:cs="Arial"/>
                <w:sz w:val="20"/>
                <w:szCs w:val="20"/>
                <w:lang w:val="en-IN" w:bidi="bn-BD"/>
              </w:rPr>
              <w:t>Strong demonstration of a team player with the ability and willingness to develop effective skills and attitudes in other adults, including colleagues. </w:t>
            </w:r>
          </w:p>
          <w:p w14:paraId="4639C642">
            <w:pPr>
              <w:pStyle w:val="30"/>
              <w:numPr>
                <w:ilvl w:val="0"/>
                <w:numId w:val="1"/>
              </w:numPr>
              <w:rPr>
                <w:rFonts w:hint="default" w:ascii="Arial" w:hAnsi="Arial" w:cs="Arial"/>
                <w:sz w:val="20"/>
                <w:szCs w:val="20"/>
                <w:lang w:val="en-IN" w:bidi="bn-BD"/>
              </w:rPr>
            </w:pPr>
            <w:r>
              <w:rPr>
                <w:rFonts w:hint="default" w:ascii="Arial" w:hAnsi="Arial" w:cs="Arial"/>
                <w:sz w:val="20"/>
                <w:szCs w:val="20"/>
                <w:lang w:val="en-IN" w:bidi="bn-BD"/>
              </w:rPr>
              <w:t>Commitment to inspiring and motivating students with regards to their personal growth and academic attainment. </w:t>
            </w:r>
          </w:p>
          <w:p w14:paraId="6B9E3283">
            <w:pPr>
              <w:pStyle w:val="30"/>
              <w:numPr>
                <w:ilvl w:val="0"/>
                <w:numId w:val="1"/>
              </w:numPr>
              <w:rPr>
                <w:rFonts w:hint="default" w:ascii="Arial" w:hAnsi="Arial" w:cs="Arial"/>
                <w:sz w:val="20"/>
                <w:szCs w:val="20"/>
                <w:lang w:val="en-IN" w:bidi="bn-BD"/>
              </w:rPr>
            </w:pPr>
            <w:r>
              <w:rPr>
                <w:rFonts w:hint="default" w:ascii="Arial" w:hAnsi="Arial" w:cs="Arial"/>
                <w:sz w:val="20"/>
                <w:szCs w:val="20"/>
                <w:lang w:val="en-IN" w:bidi="bn-BD"/>
              </w:rPr>
              <w:t>Self-starter, able to initiate ideas and act proactively </w:t>
            </w:r>
          </w:p>
          <w:p w14:paraId="119D65B8">
            <w:pPr>
              <w:ind w:left="360"/>
              <w:rPr>
                <w:rFonts w:ascii="Garamond" w:hAnsi="Garamond" w:cs="Calibri"/>
              </w:rPr>
            </w:pPr>
          </w:p>
          <w:p w14:paraId="662E0E3A">
            <w:pPr>
              <w:numPr>
                <w:ilvl w:val="12"/>
                <w:numId w:val="0"/>
              </w:numPr>
              <w:rPr>
                <w:rFonts w:hint="default" w:ascii="Arial" w:hAnsi="Arial" w:cs="Arial"/>
                <w:b/>
                <w:bCs/>
                <w:sz w:val="20"/>
                <w:szCs w:val="20"/>
                <w:u w:val="single"/>
              </w:rPr>
            </w:pPr>
            <w:r>
              <w:rPr>
                <w:rFonts w:hint="default" w:ascii="Arial" w:hAnsi="Arial" w:cs="Arial"/>
                <w:b/>
                <w:bCs/>
                <w:sz w:val="20"/>
                <w:szCs w:val="20"/>
                <w:u w:val="single"/>
              </w:rPr>
              <w:t>Education:</w:t>
            </w:r>
          </w:p>
          <w:p w14:paraId="22A7C141">
            <w:pPr>
              <w:pStyle w:val="30"/>
              <w:numPr>
                <w:ilvl w:val="0"/>
                <w:numId w:val="1"/>
              </w:numPr>
              <w:rPr>
                <w:rFonts w:hint="default" w:ascii="Arial" w:hAnsi="Arial" w:cs="Arial"/>
                <w:sz w:val="20"/>
                <w:szCs w:val="20"/>
                <w:lang w:val="en-IN" w:bidi="bn-BD"/>
              </w:rPr>
            </w:pPr>
            <w:r>
              <w:rPr>
                <w:rFonts w:hint="default" w:ascii="Arial" w:hAnsi="Arial" w:cs="Arial"/>
                <w:sz w:val="20"/>
                <w:szCs w:val="20"/>
                <w:lang w:val="en-IN" w:bidi="bn-BD"/>
              </w:rPr>
              <w:t>Bachelor’s degree in an education related field.</w:t>
            </w:r>
          </w:p>
          <w:p w14:paraId="31EFEA63">
            <w:pPr>
              <w:pStyle w:val="30"/>
              <w:numPr>
                <w:ilvl w:val="0"/>
                <w:numId w:val="1"/>
              </w:numPr>
              <w:rPr>
                <w:rFonts w:hint="default" w:ascii="Arial" w:hAnsi="Arial" w:cs="Arial"/>
                <w:sz w:val="20"/>
                <w:szCs w:val="20"/>
                <w:lang w:val="en-IN" w:bidi="bn-BD"/>
              </w:rPr>
            </w:pPr>
            <w:r>
              <w:rPr>
                <w:rFonts w:hint="default" w:ascii="Arial" w:hAnsi="Arial" w:cs="Arial"/>
                <w:sz w:val="20"/>
                <w:szCs w:val="20"/>
                <w:lang w:val="en-IN" w:bidi="bn-BD"/>
              </w:rPr>
              <w:t>Professional Teaching Qualification.</w:t>
            </w:r>
          </w:p>
          <w:p w14:paraId="7BE6F5BC">
            <w:pPr>
              <w:numPr>
                <w:ilvl w:val="12"/>
                <w:numId w:val="0"/>
              </w:numPr>
              <w:rPr>
                <w:rFonts w:hint="default" w:ascii="Arial" w:hAnsi="Arial" w:cs="Arial"/>
                <w:b/>
                <w:bCs/>
                <w:sz w:val="20"/>
                <w:szCs w:val="20"/>
                <w:u w:val="single"/>
              </w:rPr>
            </w:pPr>
          </w:p>
          <w:p w14:paraId="2B16A1C9">
            <w:pPr>
              <w:numPr>
                <w:ilvl w:val="12"/>
                <w:numId w:val="0"/>
              </w:numPr>
              <w:rPr>
                <w:rFonts w:hint="default" w:ascii="Arial" w:hAnsi="Arial" w:cs="Arial"/>
                <w:b/>
                <w:bCs/>
                <w:sz w:val="20"/>
                <w:szCs w:val="20"/>
                <w:u w:val="single"/>
              </w:rPr>
            </w:pPr>
            <w:r>
              <w:rPr>
                <w:rFonts w:hint="default" w:ascii="Arial" w:hAnsi="Arial" w:cs="Arial"/>
                <w:b/>
                <w:bCs/>
                <w:sz w:val="20"/>
                <w:szCs w:val="20"/>
                <w:u w:val="single"/>
              </w:rPr>
              <w:t>Valued additional assets:</w:t>
            </w:r>
          </w:p>
          <w:p w14:paraId="51EC55CB">
            <w:pPr>
              <w:pStyle w:val="30"/>
              <w:numPr>
                <w:ilvl w:val="0"/>
                <w:numId w:val="1"/>
              </w:numPr>
              <w:rPr>
                <w:rFonts w:hint="default" w:ascii="Arial" w:hAnsi="Arial" w:cs="Arial"/>
                <w:sz w:val="20"/>
                <w:szCs w:val="20"/>
                <w:lang w:val="en-IN" w:bidi="bn-BD"/>
              </w:rPr>
            </w:pPr>
            <w:r>
              <w:rPr>
                <w:rFonts w:hint="default" w:ascii="Arial" w:hAnsi="Arial" w:cs="Arial"/>
                <w:sz w:val="20"/>
                <w:szCs w:val="20"/>
                <w:lang w:val="en-GB" w:bidi="bn-BD"/>
              </w:rPr>
              <w:t>Master’s degree in Education</w:t>
            </w:r>
            <w:r>
              <w:rPr>
                <w:rFonts w:hint="default" w:ascii="Arial" w:hAnsi="Arial" w:cs="Arial"/>
                <w:sz w:val="20"/>
                <w:szCs w:val="20"/>
                <w:lang w:val="en-IN" w:bidi="bn-BD"/>
              </w:rPr>
              <w:t> </w:t>
            </w:r>
          </w:p>
          <w:p w14:paraId="72A41DBE">
            <w:pPr>
              <w:pStyle w:val="30"/>
              <w:numPr>
                <w:ilvl w:val="0"/>
                <w:numId w:val="1"/>
              </w:numPr>
              <w:rPr>
                <w:rFonts w:hint="default" w:ascii="Arial" w:hAnsi="Arial" w:cs="Arial"/>
                <w:sz w:val="20"/>
                <w:szCs w:val="20"/>
                <w:lang w:val="en-IN" w:bidi="bn-BD"/>
              </w:rPr>
            </w:pPr>
            <w:r>
              <w:rPr>
                <w:rFonts w:hint="default" w:ascii="Arial" w:hAnsi="Arial" w:cs="Arial"/>
                <w:sz w:val="20"/>
                <w:szCs w:val="20"/>
                <w:lang w:val="en-GB" w:bidi="bn-BD"/>
              </w:rPr>
              <w:t>Experience of IB Diploma</w:t>
            </w:r>
            <w:r>
              <w:rPr>
                <w:rFonts w:hint="default" w:ascii="Arial" w:hAnsi="Arial" w:cs="Arial"/>
                <w:sz w:val="20"/>
                <w:szCs w:val="20"/>
                <w:lang w:val="en-IN" w:bidi="bn-BD"/>
              </w:rPr>
              <w:t> </w:t>
            </w:r>
          </w:p>
          <w:p w14:paraId="1D15E96D">
            <w:pPr>
              <w:pStyle w:val="30"/>
              <w:numPr>
                <w:ilvl w:val="0"/>
                <w:numId w:val="1"/>
              </w:numPr>
              <w:rPr>
                <w:rFonts w:hint="default" w:ascii="Arial" w:hAnsi="Arial" w:cs="Arial"/>
                <w:sz w:val="20"/>
                <w:szCs w:val="20"/>
                <w:lang w:val="en-IN" w:bidi="bn-BD"/>
              </w:rPr>
            </w:pPr>
            <w:r>
              <w:rPr>
                <w:rFonts w:hint="default" w:ascii="Arial" w:hAnsi="Arial" w:cs="Arial"/>
                <w:sz w:val="20"/>
                <w:szCs w:val="20"/>
                <w:lang w:val="en-GB" w:bidi="bn-BD"/>
              </w:rPr>
              <w:t>Experience of bilingual education</w:t>
            </w:r>
            <w:r>
              <w:rPr>
                <w:rFonts w:hint="default" w:ascii="Arial" w:hAnsi="Arial" w:cs="Arial"/>
                <w:sz w:val="20"/>
                <w:szCs w:val="20"/>
                <w:lang w:val="en-IN" w:bidi="bn-BD"/>
              </w:rPr>
              <w:t> </w:t>
            </w:r>
          </w:p>
          <w:p w14:paraId="6CA8C78C">
            <w:pPr>
              <w:pStyle w:val="30"/>
              <w:numPr>
                <w:ilvl w:val="0"/>
                <w:numId w:val="1"/>
              </w:numPr>
              <w:rPr>
                <w:rFonts w:hint="default" w:ascii="Arial" w:hAnsi="Arial" w:cs="Arial"/>
                <w:sz w:val="20"/>
                <w:szCs w:val="20"/>
                <w:lang w:val="en-IN" w:bidi="bn-BD"/>
              </w:rPr>
            </w:pPr>
            <w:r>
              <w:rPr>
                <w:rFonts w:hint="default" w:ascii="Arial" w:hAnsi="Arial" w:cs="Arial"/>
                <w:sz w:val="20"/>
                <w:szCs w:val="20"/>
                <w:lang w:val="en-GB" w:bidi="bn-BD"/>
              </w:rPr>
              <w:t>Understanding and experience of education and educational standards beyond Bangladesh.</w:t>
            </w:r>
            <w:r>
              <w:rPr>
                <w:rFonts w:hint="default" w:ascii="Arial" w:hAnsi="Arial" w:cs="Arial"/>
                <w:sz w:val="20"/>
                <w:szCs w:val="20"/>
                <w:lang w:val="en-IN" w:bidi="bn-BD"/>
              </w:rPr>
              <w:t> </w:t>
            </w:r>
          </w:p>
          <w:p w14:paraId="21FC349B">
            <w:pPr>
              <w:pStyle w:val="30"/>
              <w:numPr>
                <w:ilvl w:val="0"/>
                <w:numId w:val="1"/>
              </w:numPr>
              <w:rPr>
                <w:rFonts w:hint="default" w:ascii="Arial" w:hAnsi="Arial" w:cs="Arial"/>
                <w:sz w:val="20"/>
                <w:szCs w:val="20"/>
                <w:lang w:val="en-IN" w:bidi="bn-BD"/>
              </w:rPr>
            </w:pPr>
            <w:r>
              <w:rPr>
                <w:rFonts w:hint="default" w:ascii="Arial" w:hAnsi="Arial" w:cs="Arial"/>
                <w:sz w:val="20"/>
                <w:szCs w:val="20"/>
                <w:lang w:val="en-GB" w:bidi="bn-BD"/>
              </w:rPr>
              <w:t>Intercultural appreciation and sensitivity. Able to appreciate diverse cultural contexts and perspectives and use them to enrich the educational experiences of the students.</w:t>
            </w:r>
            <w:r>
              <w:rPr>
                <w:rFonts w:hint="default" w:ascii="Arial" w:hAnsi="Arial" w:cs="Arial"/>
                <w:sz w:val="20"/>
                <w:szCs w:val="20"/>
                <w:lang w:val="en-IN" w:bidi="bn-BD"/>
              </w:rPr>
              <w:t> </w:t>
            </w:r>
          </w:p>
          <w:p w14:paraId="5D638CA7">
            <w:pPr>
              <w:pStyle w:val="30"/>
              <w:numPr>
                <w:ilvl w:val="0"/>
                <w:numId w:val="1"/>
              </w:numPr>
              <w:rPr>
                <w:rFonts w:hint="default" w:ascii="Arial" w:hAnsi="Arial" w:cs="Arial"/>
                <w:sz w:val="20"/>
                <w:szCs w:val="20"/>
                <w:lang w:val="en-IN" w:bidi="bn-BD"/>
              </w:rPr>
            </w:pPr>
            <w:r>
              <w:rPr>
                <w:rFonts w:hint="default" w:ascii="Arial" w:hAnsi="Arial" w:cs="Arial"/>
                <w:sz w:val="20"/>
                <w:szCs w:val="20"/>
                <w:lang w:val="en-GB" w:bidi="bn-BD"/>
              </w:rPr>
              <w:t>Experience as an IB examiner or Workshop Leader</w:t>
            </w:r>
          </w:p>
          <w:p w14:paraId="2AEE7099">
            <w:pPr>
              <w:numPr>
                <w:ilvl w:val="12"/>
                <w:numId w:val="0"/>
              </w:numPr>
              <w:rPr>
                <w:rFonts w:hint="default" w:ascii="Arial" w:hAnsi="Arial" w:cs="Arial"/>
                <w:b/>
                <w:bCs/>
                <w:sz w:val="20"/>
                <w:szCs w:val="20"/>
                <w:u w:val="single"/>
              </w:rPr>
            </w:pPr>
            <w:r>
              <w:rPr>
                <w:rFonts w:hint="default" w:ascii="Arial" w:hAnsi="Arial" w:cs="Arial"/>
                <w:b/>
                <w:bCs/>
                <w:sz w:val="20"/>
                <w:szCs w:val="20"/>
                <w:u w:val="single"/>
              </w:rPr>
              <w:t>Skills:</w:t>
            </w:r>
          </w:p>
          <w:p w14:paraId="18626956">
            <w:pPr>
              <w:pStyle w:val="30"/>
              <w:numPr>
                <w:ilvl w:val="0"/>
                <w:numId w:val="0"/>
              </w:numPr>
              <w:ind w:left="360" w:leftChars="0"/>
              <w:rPr>
                <w:rFonts w:hint="default" w:ascii="Arial" w:hAnsi="Arial" w:cs="Arial"/>
                <w:i/>
                <w:iCs/>
                <w:sz w:val="20"/>
                <w:szCs w:val="20"/>
                <w:lang w:val="en-IN" w:bidi="bn-BD"/>
              </w:rPr>
            </w:pPr>
            <w:r>
              <w:rPr>
                <w:rFonts w:hint="default" w:ascii="Arial" w:hAnsi="Arial" w:cs="Arial"/>
                <w:i/>
                <w:iCs/>
                <w:sz w:val="20"/>
                <w:szCs w:val="20"/>
                <w:lang w:val="en-IN" w:bidi="bn-BD"/>
              </w:rPr>
              <w:t>Experience and Technical Skills</w:t>
            </w:r>
          </w:p>
          <w:p w14:paraId="4B5BFD04">
            <w:pPr>
              <w:pStyle w:val="30"/>
              <w:numPr>
                <w:ilvl w:val="0"/>
                <w:numId w:val="1"/>
              </w:numPr>
              <w:rPr>
                <w:rFonts w:hint="default" w:ascii="Arial" w:hAnsi="Arial" w:cs="Arial"/>
                <w:sz w:val="20"/>
                <w:szCs w:val="20"/>
                <w:lang w:val="en-IN" w:bidi="bn-BD"/>
              </w:rPr>
            </w:pPr>
            <w:r>
              <w:rPr>
                <w:rFonts w:hint="default" w:ascii="Arial" w:hAnsi="Arial" w:cs="Arial"/>
                <w:sz w:val="20"/>
                <w:szCs w:val="20"/>
                <w:lang w:val="en-IN" w:bidi="bn-BD"/>
              </w:rPr>
              <w:t>Previous IB teaching.</w:t>
            </w:r>
          </w:p>
          <w:p w14:paraId="4A1056DC">
            <w:pPr>
              <w:pStyle w:val="30"/>
              <w:numPr>
                <w:ilvl w:val="0"/>
                <w:numId w:val="1"/>
              </w:numPr>
              <w:rPr>
                <w:rFonts w:ascii="Garamond" w:hAnsi="Garamond" w:cs="Calibri"/>
                <w:i/>
              </w:rPr>
            </w:pPr>
            <w:r>
              <w:rPr>
                <w:rFonts w:hint="default" w:ascii="Arial" w:hAnsi="Arial" w:cs="Arial"/>
                <w:sz w:val="20"/>
                <w:szCs w:val="20"/>
                <w:lang w:val="en-IN" w:bidi="bn-BD"/>
              </w:rPr>
              <w:t>Comfortable and adept with information technology including MS Office and Managebac</w:t>
            </w:r>
          </w:p>
          <w:p w14:paraId="1F5B4FB9">
            <w:pPr>
              <w:pStyle w:val="30"/>
              <w:numPr>
                <w:ilvl w:val="0"/>
                <w:numId w:val="0"/>
              </w:numPr>
              <w:ind w:left="360" w:leftChars="0"/>
              <w:rPr>
                <w:rFonts w:hint="default" w:ascii="Arial" w:hAnsi="Arial" w:cs="Arial"/>
                <w:i/>
                <w:iCs/>
                <w:sz w:val="20"/>
                <w:szCs w:val="20"/>
                <w:lang w:val="en-IN" w:bidi="bn-BD"/>
              </w:rPr>
            </w:pPr>
            <w:r>
              <w:rPr>
                <w:rFonts w:hint="default" w:ascii="Arial" w:hAnsi="Arial" w:cs="Arial"/>
                <w:i/>
                <w:iCs/>
                <w:sz w:val="20"/>
                <w:szCs w:val="20"/>
                <w:lang w:val="en-IN" w:bidi="bn-BD"/>
              </w:rPr>
              <w:t>Other personal traits</w:t>
            </w:r>
          </w:p>
          <w:p w14:paraId="6213918D">
            <w:pPr>
              <w:pStyle w:val="30"/>
              <w:numPr>
                <w:ilvl w:val="0"/>
                <w:numId w:val="1"/>
              </w:numPr>
              <w:rPr>
                <w:rFonts w:hint="default" w:ascii="Arial" w:hAnsi="Arial" w:cs="Arial"/>
                <w:sz w:val="20"/>
                <w:szCs w:val="20"/>
                <w:lang w:val="en-IN" w:bidi="bn-BD"/>
              </w:rPr>
            </w:pPr>
            <w:r>
              <w:rPr>
                <w:rFonts w:hint="default" w:ascii="Arial" w:hAnsi="Arial" w:cs="Arial"/>
                <w:sz w:val="20"/>
                <w:szCs w:val="20"/>
                <w:lang w:val="en-IN" w:bidi="bn-BD"/>
              </w:rPr>
              <w:t xml:space="preserve">Excellent command of English (at C1 on the ECFRL scale) and preferably Bangla – both written and oral. </w:t>
            </w:r>
          </w:p>
          <w:p w14:paraId="23C3B63A">
            <w:pPr>
              <w:pStyle w:val="30"/>
              <w:numPr>
                <w:ilvl w:val="0"/>
                <w:numId w:val="1"/>
              </w:numPr>
              <w:rPr>
                <w:rFonts w:hint="default" w:ascii="Arial" w:hAnsi="Arial" w:cs="Arial"/>
                <w:sz w:val="20"/>
                <w:szCs w:val="20"/>
                <w:lang w:val="en-IN" w:bidi="bn-BD"/>
              </w:rPr>
            </w:pPr>
            <w:r>
              <w:rPr>
                <w:rFonts w:hint="default" w:ascii="Arial" w:hAnsi="Arial" w:cs="Arial"/>
                <w:sz w:val="20"/>
                <w:szCs w:val="20"/>
                <w:lang w:val="en-IN" w:bidi="bn-BD"/>
              </w:rPr>
              <w:t>Knowledge and understanding of Subcontinent cultures.</w:t>
            </w:r>
          </w:p>
          <w:p w14:paraId="55B856F1">
            <w:pPr>
              <w:rPr>
                <w:rFonts w:hint="default" w:ascii="Arial" w:hAnsi="Arial" w:cs="Arial"/>
                <w:sz w:val="20"/>
                <w:szCs w:val="20"/>
                <w:highlight w:val="yellow"/>
              </w:rPr>
            </w:pPr>
          </w:p>
        </w:tc>
      </w:tr>
      <w:tr w14:paraId="767494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609" w:type="dxa"/>
            <w:gridSpan w:val="2"/>
          </w:tcPr>
          <w:p w14:paraId="1EB0CA10">
            <w:pPr>
              <w:rPr>
                <w:rFonts w:hint="default" w:ascii="Arial" w:hAnsi="Arial" w:cs="Arial"/>
                <w:b/>
                <w:sz w:val="20"/>
                <w:szCs w:val="20"/>
                <w:lang w:eastAsia="fr-FR"/>
              </w:rPr>
            </w:pPr>
          </w:p>
          <w:p w14:paraId="2B93D2D3">
            <w:pPr>
              <w:rPr>
                <w:rFonts w:hint="default" w:ascii="Arial" w:hAnsi="Arial" w:cs="Arial"/>
                <w:b/>
                <w:bCs/>
                <w:sz w:val="20"/>
                <w:szCs w:val="20"/>
                <w:u w:val="single"/>
              </w:rPr>
            </w:pPr>
            <w:r>
              <w:rPr>
                <w:rFonts w:hint="default" w:ascii="Arial" w:hAnsi="Arial" w:cs="Arial"/>
                <w:b/>
                <w:sz w:val="20"/>
                <w:szCs w:val="20"/>
                <w:lang w:eastAsia="fr-FR"/>
              </w:rPr>
              <w:t>KEY RELATIONS:</w:t>
            </w:r>
          </w:p>
          <w:p w14:paraId="6FF00B20">
            <w:pPr>
              <w:numPr>
                <w:ilvl w:val="12"/>
                <w:numId w:val="0"/>
              </w:numPr>
              <w:rPr>
                <w:rFonts w:hint="default" w:ascii="Arial" w:hAnsi="Arial" w:cs="Arial"/>
                <w:b/>
                <w:bCs/>
                <w:sz w:val="20"/>
                <w:szCs w:val="20"/>
                <w:u w:val="single"/>
              </w:rPr>
            </w:pPr>
            <w:r>
              <w:rPr>
                <w:rFonts w:hint="default" w:ascii="Arial" w:hAnsi="Arial" w:cs="Arial"/>
                <w:b/>
                <w:bCs/>
                <w:sz w:val="20"/>
                <w:szCs w:val="20"/>
                <w:u w:val="single"/>
              </w:rPr>
              <w:t>Internal relations:</w:t>
            </w:r>
          </w:p>
          <w:p w14:paraId="6DC84481">
            <w:pPr>
              <w:pStyle w:val="30"/>
              <w:numPr>
                <w:ilvl w:val="0"/>
                <w:numId w:val="2"/>
              </w:numPr>
              <w:overflowPunct/>
              <w:autoSpaceDE/>
              <w:autoSpaceDN/>
              <w:adjustRightInd/>
              <w:spacing w:after="52" w:line="240" w:lineRule="auto"/>
              <w:textAlignment w:val="auto"/>
              <w:rPr>
                <w:rFonts w:hint="default" w:ascii="Arial" w:hAnsi="Arial" w:cs="Arial" w:eastAsiaTheme="minorEastAsia"/>
                <w:color w:val="000000" w:themeColor="text1"/>
                <w:sz w:val="20"/>
                <w:szCs w:val="20"/>
                <w14:textFill>
                  <w14:solidFill>
                    <w14:schemeClr w14:val="tx1"/>
                  </w14:solidFill>
                </w14:textFill>
              </w:rPr>
            </w:pPr>
            <w:r>
              <w:rPr>
                <w:rFonts w:hint="default" w:ascii="Arial" w:hAnsi="Arial" w:cs="Arial" w:eastAsiaTheme="minorEastAsia"/>
                <w:color w:val="000000" w:themeColor="text1"/>
                <w:sz w:val="20"/>
                <w:szCs w:val="20"/>
                <w14:textFill>
                  <w14:solidFill>
                    <w14:schemeClr w14:val="tx1"/>
                  </w14:solidFill>
                </w14:textFill>
              </w:rPr>
              <w:t xml:space="preserve">Students </w:t>
            </w:r>
          </w:p>
          <w:p w14:paraId="72B6540B">
            <w:pPr>
              <w:pStyle w:val="30"/>
              <w:numPr>
                <w:ilvl w:val="0"/>
                <w:numId w:val="2"/>
              </w:numPr>
              <w:overflowPunct/>
              <w:autoSpaceDE/>
              <w:autoSpaceDN/>
              <w:adjustRightInd/>
              <w:spacing w:after="52" w:line="240" w:lineRule="auto"/>
              <w:textAlignment w:val="auto"/>
              <w:rPr>
                <w:rFonts w:hint="default" w:ascii="Arial" w:hAnsi="Arial" w:cs="Arial" w:eastAsiaTheme="minorEastAsia"/>
                <w:color w:val="000000" w:themeColor="text1"/>
                <w:sz w:val="20"/>
                <w:szCs w:val="20"/>
                <w14:textFill>
                  <w14:solidFill>
                    <w14:schemeClr w14:val="tx1"/>
                  </w14:solidFill>
                </w14:textFill>
              </w:rPr>
            </w:pPr>
            <w:r>
              <w:rPr>
                <w:rFonts w:hint="default" w:ascii="Arial" w:hAnsi="Arial" w:cs="Arial" w:eastAsiaTheme="minorEastAsia"/>
                <w:color w:val="000000" w:themeColor="text1"/>
                <w:sz w:val="20"/>
                <w:szCs w:val="20"/>
                <w14:textFill>
                  <w14:solidFill>
                    <w14:schemeClr w14:val="tx1"/>
                  </w14:solidFill>
                </w14:textFill>
              </w:rPr>
              <w:t>Lead, Pastoral Care</w:t>
            </w:r>
          </w:p>
          <w:p w14:paraId="2CADA4C8">
            <w:pPr>
              <w:pStyle w:val="30"/>
              <w:numPr>
                <w:ilvl w:val="0"/>
                <w:numId w:val="2"/>
              </w:numPr>
              <w:overflowPunct/>
              <w:autoSpaceDE/>
              <w:autoSpaceDN/>
              <w:adjustRightInd/>
              <w:spacing w:after="52" w:line="240" w:lineRule="auto"/>
              <w:textAlignment w:val="auto"/>
              <w:rPr>
                <w:rFonts w:hint="default" w:ascii="Arial" w:hAnsi="Arial" w:cs="Arial" w:eastAsiaTheme="minorEastAsia"/>
                <w:color w:val="000000" w:themeColor="text1"/>
                <w:sz w:val="20"/>
                <w:szCs w:val="20"/>
                <w14:textFill>
                  <w14:solidFill>
                    <w14:schemeClr w14:val="tx1"/>
                  </w14:solidFill>
                </w14:textFill>
              </w:rPr>
            </w:pPr>
            <w:r>
              <w:rPr>
                <w:rFonts w:hint="default" w:ascii="Arial" w:hAnsi="Arial" w:cs="Arial" w:eastAsiaTheme="minorEastAsia"/>
                <w:color w:val="000000" w:themeColor="text1"/>
                <w:sz w:val="20"/>
                <w:szCs w:val="20"/>
                <w14:textFill>
                  <w14:solidFill>
                    <w14:schemeClr w14:val="tx1"/>
                  </w14:solidFill>
                </w14:textFill>
              </w:rPr>
              <w:t>Student Support Services Coordinator</w:t>
            </w:r>
          </w:p>
          <w:p w14:paraId="0891D51F">
            <w:pPr>
              <w:pStyle w:val="30"/>
              <w:numPr>
                <w:ilvl w:val="0"/>
                <w:numId w:val="2"/>
              </w:numPr>
              <w:overflowPunct/>
              <w:autoSpaceDE/>
              <w:autoSpaceDN/>
              <w:adjustRightInd/>
              <w:spacing w:after="52" w:line="240" w:lineRule="auto"/>
              <w:textAlignment w:val="auto"/>
              <w:rPr>
                <w:rFonts w:hint="default" w:ascii="Arial" w:hAnsi="Arial" w:cs="Arial" w:eastAsiaTheme="minorEastAsia"/>
                <w:color w:val="000000" w:themeColor="text1"/>
                <w:sz w:val="20"/>
                <w:szCs w:val="20"/>
                <w14:textFill>
                  <w14:solidFill>
                    <w14:schemeClr w14:val="tx1"/>
                  </w14:solidFill>
                </w14:textFill>
              </w:rPr>
            </w:pPr>
            <w:r>
              <w:rPr>
                <w:rFonts w:hint="default" w:ascii="Arial" w:hAnsi="Arial" w:cs="Arial" w:eastAsiaTheme="minorEastAsia"/>
                <w:color w:val="000000" w:themeColor="text1"/>
                <w:sz w:val="20"/>
                <w:szCs w:val="20"/>
                <w14:textFill>
                  <w14:solidFill>
                    <w14:schemeClr w14:val="tx1"/>
                  </w14:solidFill>
                </w14:textFill>
              </w:rPr>
              <w:t>Principals</w:t>
            </w:r>
          </w:p>
          <w:p w14:paraId="73266158">
            <w:pPr>
              <w:pStyle w:val="30"/>
              <w:numPr>
                <w:ilvl w:val="0"/>
                <w:numId w:val="2"/>
              </w:numPr>
              <w:overflowPunct/>
              <w:autoSpaceDE/>
              <w:autoSpaceDN/>
              <w:adjustRightInd/>
              <w:spacing w:after="52" w:line="240" w:lineRule="auto"/>
              <w:textAlignment w:val="auto"/>
              <w:rPr>
                <w:rFonts w:hint="default" w:ascii="Arial" w:hAnsi="Arial" w:cs="Arial" w:eastAsiaTheme="minorEastAsia"/>
                <w:color w:val="000000" w:themeColor="text1"/>
                <w:sz w:val="20"/>
                <w:szCs w:val="20"/>
                <w14:textFill>
                  <w14:solidFill>
                    <w14:schemeClr w14:val="tx1"/>
                  </w14:solidFill>
                </w14:textFill>
              </w:rPr>
            </w:pPr>
            <w:r>
              <w:rPr>
                <w:rFonts w:hint="default" w:ascii="Arial" w:hAnsi="Arial" w:cs="Arial" w:eastAsiaTheme="minorEastAsia"/>
                <w:color w:val="000000" w:themeColor="text1"/>
                <w:sz w:val="20"/>
                <w:szCs w:val="20"/>
                <w14:textFill>
                  <w14:solidFill>
                    <w14:schemeClr w14:val="tx1"/>
                  </w14:solidFill>
                </w14:textFill>
              </w:rPr>
              <w:t>Head of Academy</w:t>
            </w:r>
          </w:p>
          <w:p w14:paraId="36BE85C1">
            <w:pPr>
              <w:pStyle w:val="30"/>
              <w:numPr>
                <w:ilvl w:val="0"/>
                <w:numId w:val="2"/>
              </w:numPr>
              <w:overflowPunct/>
              <w:autoSpaceDE/>
              <w:autoSpaceDN/>
              <w:adjustRightInd/>
              <w:spacing w:after="52" w:line="240" w:lineRule="auto"/>
              <w:textAlignment w:val="auto"/>
              <w:rPr>
                <w:rFonts w:hint="default" w:ascii="Arial" w:hAnsi="Arial" w:cs="Arial" w:eastAsiaTheme="minorEastAsia"/>
                <w:color w:val="000000" w:themeColor="text1"/>
                <w:sz w:val="20"/>
                <w:szCs w:val="20"/>
                <w14:textFill>
                  <w14:solidFill>
                    <w14:schemeClr w14:val="tx1"/>
                  </w14:solidFill>
                </w14:textFill>
              </w:rPr>
            </w:pPr>
            <w:r>
              <w:rPr>
                <w:rFonts w:hint="default" w:ascii="Arial" w:hAnsi="Arial" w:cs="Arial" w:eastAsiaTheme="minorEastAsia"/>
                <w:color w:val="000000" w:themeColor="text1"/>
                <w:sz w:val="20"/>
                <w:szCs w:val="20"/>
                <w14:textFill>
                  <w14:solidFill>
                    <w14:schemeClr w14:val="tx1"/>
                  </w14:solidFill>
                </w14:textFill>
              </w:rPr>
              <w:t>Coordinators</w:t>
            </w:r>
          </w:p>
          <w:p w14:paraId="75AE015F">
            <w:pPr>
              <w:pStyle w:val="30"/>
              <w:numPr>
                <w:ilvl w:val="0"/>
                <w:numId w:val="2"/>
              </w:numPr>
              <w:overflowPunct/>
              <w:autoSpaceDE/>
              <w:autoSpaceDN/>
              <w:adjustRightInd/>
              <w:spacing w:after="52" w:line="240" w:lineRule="auto"/>
              <w:textAlignment w:val="auto"/>
              <w:rPr>
                <w:rFonts w:hint="default" w:ascii="Arial" w:hAnsi="Arial" w:cs="Arial" w:eastAsiaTheme="minorEastAsia"/>
                <w:color w:val="000000" w:themeColor="text1"/>
                <w:sz w:val="20"/>
                <w:szCs w:val="20"/>
                <w14:textFill>
                  <w14:solidFill>
                    <w14:schemeClr w14:val="tx1"/>
                  </w14:solidFill>
                </w14:textFill>
              </w:rPr>
            </w:pPr>
            <w:r>
              <w:rPr>
                <w:rFonts w:hint="default" w:ascii="Arial" w:hAnsi="Arial" w:cs="Arial" w:eastAsiaTheme="minorEastAsia"/>
                <w:color w:val="000000" w:themeColor="text1"/>
                <w:sz w:val="20"/>
                <w:szCs w:val="20"/>
                <w14:textFill>
                  <w14:solidFill>
                    <w14:schemeClr w14:val="tx1"/>
                  </w14:solidFill>
                </w14:textFill>
              </w:rPr>
              <w:t>Faculty</w:t>
            </w:r>
          </w:p>
          <w:p w14:paraId="68E56B60">
            <w:pPr>
              <w:pStyle w:val="30"/>
              <w:numPr>
                <w:ilvl w:val="0"/>
                <w:numId w:val="2"/>
              </w:numPr>
              <w:overflowPunct/>
              <w:autoSpaceDE/>
              <w:autoSpaceDN/>
              <w:adjustRightInd/>
              <w:spacing w:after="52" w:line="240" w:lineRule="auto"/>
              <w:textAlignment w:val="auto"/>
              <w:rPr>
                <w:rFonts w:hint="default" w:ascii="Arial" w:hAnsi="Arial" w:cs="Arial" w:eastAsiaTheme="minorEastAsia"/>
                <w:color w:val="000000" w:themeColor="text1"/>
                <w:sz w:val="20"/>
                <w:szCs w:val="20"/>
                <w14:textFill>
                  <w14:solidFill>
                    <w14:schemeClr w14:val="tx1"/>
                  </w14:solidFill>
                </w14:textFill>
              </w:rPr>
            </w:pPr>
            <w:r>
              <w:rPr>
                <w:rFonts w:hint="default" w:ascii="Arial" w:hAnsi="Arial" w:cs="Arial" w:eastAsiaTheme="minorEastAsia"/>
                <w:color w:val="000000" w:themeColor="text1"/>
                <w:sz w:val="20"/>
                <w:szCs w:val="20"/>
                <w14:textFill>
                  <w14:solidFill>
                    <w14:schemeClr w14:val="tx1"/>
                  </w14:solidFill>
                </w14:textFill>
              </w:rPr>
              <w:t>Administrative staff</w:t>
            </w:r>
          </w:p>
          <w:p w14:paraId="70A2BEEB">
            <w:pPr>
              <w:rPr>
                <w:rFonts w:hint="default" w:ascii="Arial" w:hAnsi="Arial" w:cs="Arial"/>
                <w:sz w:val="20"/>
                <w:szCs w:val="20"/>
              </w:rPr>
            </w:pPr>
          </w:p>
          <w:p w14:paraId="0F40E2EC">
            <w:pPr>
              <w:numPr>
                <w:ilvl w:val="12"/>
                <w:numId w:val="0"/>
              </w:numPr>
              <w:rPr>
                <w:rFonts w:hint="default" w:ascii="Arial" w:hAnsi="Arial" w:cs="Arial"/>
                <w:b/>
                <w:bCs/>
                <w:sz w:val="20"/>
                <w:szCs w:val="20"/>
                <w:u w:val="single"/>
              </w:rPr>
            </w:pPr>
            <w:r>
              <w:rPr>
                <w:rFonts w:hint="default" w:ascii="Arial" w:hAnsi="Arial" w:cs="Arial"/>
                <w:b/>
                <w:bCs/>
                <w:sz w:val="20"/>
                <w:szCs w:val="20"/>
                <w:u w:val="single"/>
              </w:rPr>
              <w:t>External relations</w:t>
            </w:r>
          </w:p>
          <w:p w14:paraId="0B74CBC7">
            <w:pPr>
              <w:pStyle w:val="30"/>
              <w:numPr>
                <w:ilvl w:val="0"/>
                <w:numId w:val="2"/>
              </w:numPr>
              <w:overflowPunct/>
              <w:autoSpaceDE/>
              <w:autoSpaceDN/>
              <w:adjustRightInd/>
              <w:spacing w:after="52" w:line="240" w:lineRule="auto"/>
              <w:textAlignment w:val="auto"/>
              <w:rPr>
                <w:rFonts w:hint="default" w:ascii="Arial" w:hAnsi="Arial" w:cs="Arial"/>
                <w:sz w:val="20"/>
                <w:szCs w:val="20"/>
              </w:rPr>
            </w:pPr>
            <w:r>
              <w:rPr>
                <w:rFonts w:hint="default" w:ascii="Arial" w:hAnsi="Arial" w:cs="Arial"/>
                <w:sz w:val="20"/>
                <w:szCs w:val="20"/>
              </w:rPr>
              <w:t>Parents</w:t>
            </w:r>
          </w:p>
          <w:p w14:paraId="738BAF33">
            <w:pPr>
              <w:pStyle w:val="30"/>
              <w:numPr>
                <w:ilvl w:val="0"/>
                <w:numId w:val="2"/>
              </w:numPr>
              <w:overflowPunct/>
              <w:autoSpaceDE/>
              <w:autoSpaceDN/>
              <w:adjustRightInd/>
              <w:spacing w:after="52" w:line="240" w:lineRule="auto"/>
              <w:textAlignment w:val="auto"/>
              <w:rPr>
                <w:rFonts w:hint="default" w:ascii="Arial" w:hAnsi="Arial" w:cs="Arial"/>
                <w:sz w:val="20"/>
                <w:szCs w:val="20"/>
              </w:rPr>
            </w:pPr>
            <w:r>
              <w:rPr>
                <w:rFonts w:hint="default" w:ascii="Arial" w:hAnsi="Arial" w:cs="Arial"/>
                <w:sz w:val="20"/>
                <w:szCs w:val="20"/>
              </w:rPr>
              <w:t>Local Community</w:t>
            </w:r>
          </w:p>
          <w:p w14:paraId="421A3471">
            <w:pPr>
              <w:pStyle w:val="30"/>
              <w:numPr>
                <w:ilvl w:val="0"/>
                <w:numId w:val="2"/>
              </w:numPr>
              <w:overflowPunct/>
              <w:autoSpaceDE/>
              <w:autoSpaceDN/>
              <w:adjustRightInd/>
              <w:spacing w:after="52" w:line="240" w:lineRule="auto"/>
              <w:textAlignment w:val="auto"/>
              <w:rPr>
                <w:rFonts w:hint="default" w:ascii="Arial" w:hAnsi="Arial" w:cs="Arial"/>
                <w:sz w:val="20"/>
                <w:szCs w:val="20"/>
              </w:rPr>
            </w:pPr>
            <w:r>
              <w:rPr>
                <w:rFonts w:hint="default" w:ascii="Arial" w:hAnsi="Arial" w:cs="Arial"/>
                <w:sz w:val="20"/>
                <w:szCs w:val="20"/>
              </w:rPr>
              <w:t>Educational leaders in the Academies network</w:t>
            </w:r>
          </w:p>
          <w:p w14:paraId="36AFC654">
            <w:pPr>
              <w:pStyle w:val="30"/>
              <w:numPr>
                <w:ilvl w:val="0"/>
                <w:numId w:val="2"/>
              </w:numPr>
              <w:overflowPunct/>
              <w:autoSpaceDE/>
              <w:autoSpaceDN/>
              <w:adjustRightInd/>
              <w:spacing w:after="52" w:line="240" w:lineRule="auto"/>
              <w:textAlignment w:val="auto"/>
              <w:rPr>
                <w:rFonts w:hint="default" w:ascii="Arial" w:hAnsi="Arial" w:cs="Arial"/>
                <w:sz w:val="20"/>
                <w:szCs w:val="20"/>
              </w:rPr>
            </w:pPr>
            <w:r>
              <w:rPr>
                <w:rFonts w:hint="default" w:ascii="Arial" w:hAnsi="Arial" w:cs="Arial"/>
                <w:sz w:val="20"/>
                <w:szCs w:val="20"/>
              </w:rPr>
              <w:t>The Academies Unit</w:t>
            </w:r>
          </w:p>
          <w:p w14:paraId="15CBE5E7">
            <w:pPr>
              <w:rPr>
                <w:rFonts w:hint="default" w:ascii="Arial" w:hAnsi="Arial" w:cs="Arial"/>
                <w:sz w:val="20"/>
                <w:szCs w:val="20"/>
              </w:rPr>
            </w:pPr>
          </w:p>
        </w:tc>
      </w:tr>
    </w:tbl>
    <w:p w14:paraId="7888D9AD">
      <w:pPr>
        <w:rPr>
          <w:rFonts w:ascii="Arial" w:hAnsi="Arial" w:cs="Arial"/>
          <w:sz w:val="22"/>
          <w:szCs w:val="22"/>
        </w:rPr>
      </w:pPr>
    </w:p>
    <w:p w14:paraId="27273119"/>
    <w:sectPr>
      <w:pgSz w:w="11906" w:h="16838"/>
      <w:pgMar w:top="446" w:right="1138" w:bottom="734" w:left="1138" w:header="720" w:footer="720"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Aptos">
    <w:altName w:val="SimSun"/>
    <w:panose1 w:val="00000000000000000000"/>
    <w:charset w:val="86"/>
    <w:family w:val="swiss"/>
    <w:pitch w:val="default"/>
    <w:sig w:usb0="00000000" w:usb1="00000000" w:usb2="00000000" w:usb3="00000000" w:csb0="0000019F" w:csb1="00000000"/>
  </w:font>
  <w:font w:name="Aptos">
    <w:altName w:val="SimSun"/>
    <w:panose1 w:val="00000000000000000000"/>
    <w:charset w:val="86"/>
    <w:family w:val="auto"/>
    <w:pitch w:val="default"/>
    <w:sig w:usb0="00000000" w:usb1="00000000" w:usb2="00000000" w:usb3="00000000" w:csb0="00000000" w:csb1="00000000"/>
  </w:font>
  <w:font w:name="Aptos">
    <w:altName w:val="Siyam Rupali"/>
    <w:panose1 w:val="00000000000000000000"/>
    <w:charset w:val="00"/>
    <w:family w:val="auto"/>
    <w:pitch w:val="default"/>
    <w:sig w:usb0="00000000" w:usb1="00000000" w:usb2="00000000" w:usb3="00000000" w:csb0="00000000" w:csb1="00000000"/>
  </w:font>
  <w:font w:name="Aptos Display">
    <w:altName w:val="Arial"/>
    <w:panose1 w:val="00000000000000000000"/>
    <w:charset w:val="00"/>
    <w:family w:val="swiss"/>
    <w:pitch w:val="default"/>
    <w:sig w:usb0="00000000" w:usb1="00000000" w:usb2="00000000" w:usb3="00000000" w:csb0="0000019F" w:csb1="00000000"/>
  </w:font>
  <w:font w:name="等线 Light">
    <w:altName w:val="Siyam Rupali"/>
    <w:panose1 w:val="00000000000000000000"/>
    <w:charset w:val="00"/>
    <w:family w:val="auto"/>
    <w:pitch w:val="default"/>
    <w:sig w:usb0="00000000" w:usb1="00000000" w:usb2="00000000" w:usb3="00000000" w:csb0="00000000" w:csb1="00000000"/>
  </w:font>
  <w:font w:name="ITC New Baskerville Std">
    <w:altName w:val="Baskerville Old Face"/>
    <w:panose1 w:val="00000000000000000000"/>
    <w:charset w:val="00"/>
    <w:family w:val="roman"/>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Garamond">
    <w:panose1 w:val="02020404030301010803"/>
    <w:charset w:val="00"/>
    <w:family w:val="roman"/>
    <w:pitch w:val="default"/>
    <w:sig w:usb0="00000287" w:usb1="00000000" w:usb2="00000000" w:usb3="00000000" w:csb0="0000009F" w:csb1="DFD70000"/>
  </w:font>
  <w:font w:name="Siyam Rupali">
    <w:panose1 w:val="02000500000000020004"/>
    <w:charset w:val="00"/>
    <w:family w:val="auto"/>
    <w:pitch w:val="default"/>
    <w:sig w:usb0="00010000" w:usb1="00000000" w:usb2="00000000" w:usb3="00000000" w:csb0="00000001" w:csb1="00000000"/>
  </w:font>
  <w:font w:name="Baskerville Old Face">
    <w:panose1 w:val="02020602080505020303"/>
    <w:charset w:val="00"/>
    <w:family w:val="auto"/>
    <w:pitch w:val="default"/>
    <w:sig w:usb0="00000003" w:usb1="00000000" w:usb2="00000000" w:usb3="00000000" w:csb0="20000001"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791EA4"/>
    <w:multiLevelType w:val="multilevel"/>
    <w:tmpl w:val="14791EA4"/>
    <w:lvl w:ilvl="0" w:tentative="0">
      <w:start w:val="0"/>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46852325"/>
    <w:multiLevelType w:val="multilevel"/>
    <w:tmpl w:val="468523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033"/>
    <w:rsid w:val="00213AAE"/>
    <w:rsid w:val="002B58E2"/>
    <w:rsid w:val="00FF5033"/>
    <w:rsid w:val="0EAE2B61"/>
    <w:rsid w:val="1705797B"/>
    <w:rsid w:val="260576D7"/>
    <w:rsid w:val="487B3B04"/>
    <w:rsid w:val="574947E0"/>
    <w:rsid w:val="66F8053D"/>
    <w:rsid w:val="73CF0626"/>
    <w:rsid w:val="7C840EFC"/>
    <w:rsid w:val="7E441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0" w:line="240" w:lineRule="auto"/>
      <w:textAlignment w:val="baseline"/>
    </w:pPr>
    <w:rPr>
      <w:rFonts w:ascii="Times New Roman" w:hAnsi="Times New Roman" w:eastAsia="Times New Roman" w:cs="Times New Roman"/>
      <w:kern w:val="0"/>
      <w:sz w:val="24"/>
      <w:szCs w:val="20"/>
      <w:lang w:val="en-US" w:eastAsia="en-US" w:bidi="ar-SA"/>
      <w14:ligatures w14:val="none"/>
    </w:rPr>
  </w:style>
  <w:style w:type="paragraph" w:styleId="2">
    <w:name w:val="heading 1"/>
    <w:basedOn w:val="1"/>
    <w:next w:val="1"/>
    <w:link w:val="17"/>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19"/>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20"/>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1"/>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2"/>
    <w:semiHidden/>
    <w:unhideWhenUsed/>
    <w:qFormat/>
    <w:uiPriority w:val="9"/>
    <w:pPr>
      <w:keepNext/>
      <w:keepLines/>
      <w:spacing w:before="4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3"/>
    <w:semiHidden/>
    <w:unhideWhenUsed/>
    <w:qFormat/>
    <w:uiPriority w:val="9"/>
    <w:pPr>
      <w:keepNext/>
      <w:keepLines/>
      <w:spacing w:before="4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ody Text 2"/>
    <w:basedOn w:val="1"/>
    <w:link w:val="35"/>
    <w:unhideWhenUsed/>
    <w:qFormat/>
    <w:uiPriority w:val="99"/>
    <w:pPr>
      <w:spacing w:after="120" w:line="480" w:lineRule="auto"/>
    </w:pPr>
  </w:style>
  <w:style w:type="paragraph" w:styleId="14">
    <w:name w:val="Normal (Web)"/>
    <w:basedOn w:val="1"/>
    <w:unhideWhenUsed/>
    <w:qFormat/>
    <w:uiPriority w:val="99"/>
    <w:pPr>
      <w:overflowPunct/>
      <w:autoSpaceDE/>
      <w:autoSpaceDN/>
      <w:adjustRightInd/>
      <w:spacing w:before="100" w:beforeAutospacing="1" w:after="100" w:afterAutospacing="1"/>
      <w:textAlignment w:val="auto"/>
    </w:pPr>
    <w:rPr>
      <w:szCs w:val="24"/>
      <w:lang w:bidi="bn-BD"/>
    </w:rPr>
  </w:style>
  <w:style w:type="paragraph" w:styleId="15">
    <w:name w:val="Subtitle"/>
    <w:basedOn w:val="1"/>
    <w:next w:val="1"/>
    <w:link w:val="27"/>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6">
    <w:name w:val="Title"/>
    <w:basedOn w:val="1"/>
    <w:next w:val="1"/>
    <w:link w:val="26"/>
    <w:qFormat/>
    <w:uiPriority w:val="10"/>
    <w:pPr>
      <w:spacing w:after="80"/>
      <w:contextualSpacing/>
    </w:pPr>
    <w:rPr>
      <w:rFonts w:asciiTheme="majorHAnsi" w:hAnsiTheme="majorHAnsi" w:eastAsiaTheme="majorEastAsia" w:cstheme="majorBidi"/>
      <w:spacing w:val="-10"/>
      <w:kern w:val="28"/>
      <w:sz w:val="56"/>
      <w:szCs w:val="56"/>
    </w:rPr>
  </w:style>
  <w:style w:type="character" w:customStyle="1" w:styleId="17">
    <w:name w:val="Heading 1 Char"/>
    <w:basedOn w:val="11"/>
    <w:link w:val="2"/>
    <w:qFormat/>
    <w:uiPriority w:val="9"/>
    <w:rPr>
      <w:rFonts w:asciiTheme="majorHAnsi" w:hAnsiTheme="majorHAnsi" w:eastAsiaTheme="majorEastAsia" w:cstheme="majorBidi"/>
      <w:color w:val="104862" w:themeColor="accent1" w:themeShade="BF"/>
      <w:sz w:val="40"/>
      <w:szCs w:val="40"/>
    </w:rPr>
  </w:style>
  <w:style w:type="character" w:customStyle="1" w:styleId="18">
    <w:name w:val="Heading 2 Char"/>
    <w:basedOn w:val="11"/>
    <w:link w:val="3"/>
    <w:semiHidden/>
    <w:qFormat/>
    <w:uiPriority w:val="9"/>
    <w:rPr>
      <w:rFonts w:asciiTheme="majorHAnsi" w:hAnsiTheme="majorHAnsi" w:eastAsiaTheme="majorEastAsia" w:cstheme="majorBidi"/>
      <w:color w:val="104862" w:themeColor="accent1" w:themeShade="BF"/>
      <w:sz w:val="32"/>
      <w:szCs w:val="32"/>
    </w:rPr>
  </w:style>
  <w:style w:type="character" w:customStyle="1" w:styleId="19">
    <w:name w:val="Heading 3 Char"/>
    <w:basedOn w:val="11"/>
    <w:link w:val="4"/>
    <w:semiHidden/>
    <w:qFormat/>
    <w:uiPriority w:val="9"/>
    <w:rPr>
      <w:rFonts w:eastAsiaTheme="majorEastAsia" w:cstheme="majorBidi"/>
      <w:color w:val="104862" w:themeColor="accent1" w:themeShade="BF"/>
      <w:sz w:val="28"/>
      <w:szCs w:val="28"/>
    </w:rPr>
  </w:style>
  <w:style w:type="character" w:customStyle="1" w:styleId="20">
    <w:name w:val="Heading 4 Char"/>
    <w:basedOn w:val="11"/>
    <w:link w:val="5"/>
    <w:semiHidden/>
    <w:qFormat/>
    <w:uiPriority w:val="9"/>
    <w:rPr>
      <w:rFonts w:eastAsiaTheme="majorEastAsia" w:cstheme="majorBidi"/>
      <w:i/>
      <w:iCs/>
      <w:color w:val="104862" w:themeColor="accent1" w:themeShade="BF"/>
    </w:rPr>
  </w:style>
  <w:style w:type="character" w:customStyle="1" w:styleId="21">
    <w:name w:val="Heading 5 Char"/>
    <w:basedOn w:val="11"/>
    <w:link w:val="6"/>
    <w:semiHidden/>
    <w:qFormat/>
    <w:uiPriority w:val="9"/>
    <w:rPr>
      <w:rFonts w:eastAsiaTheme="majorEastAsia" w:cstheme="majorBidi"/>
      <w:color w:val="104862" w:themeColor="accent1" w:themeShade="BF"/>
    </w:rPr>
  </w:style>
  <w:style w:type="character" w:customStyle="1" w:styleId="22">
    <w:name w:val="Heading 6 Cha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3">
    <w:name w:val="Heading 7 Ch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Heading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5">
    <w:name w:val="Heading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6">
    <w:name w:val="Title Char"/>
    <w:basedOn w:val="11"/>
    <w:link w:val="16"/>
    <w:qFormat/>
    <w:uiPriority w:val="10"/>
    <w:rPr>
      <w:rFonts w:asciiTheme="majorHAnsi" w:hAnsiTheme="majorHAnsi" w:eastAsiaTheme="majorEastAsia" w:cstheme="majorBidi"/>
      <w:spacing w:val="-10"/>
      <w:kern w:val="28"/>
      <w:sz w:val="56"/>
      <w:szCs w:val="56"/>
    </w:rPr>
  </w:style>
  <w:style w:type="character" w:customStyle="1" w:styleId="27">
    <w:name w:val="Subtitle Char"/>
    <w:basedOn w:val="11"/>
    <w:link w:val="15"/>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Quote Char"/>
    <w:basedOn w:val="11"/>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1"/>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Intense Quote Char"/>
    <w:basedOn w:val="11"/>
    <w:link w:val="32"/>
    <w:qFormat/>
    <w:uiPriority w:val="30"/>
    <w:rPr>
      <w:i/>
      <w:iCs/>
      <w:color w:val="104862" w:themeColor="accent1" w:themeShade="BF"/>
    </w:rPr>
  </w:style>
  <w:style w:type="character" w:customStyle="1" w:styleId="34">
    <w:name w:val="Intense Reference"/>
    <w:basedOn w:val="11"/>
    <w:qFormat/>
    <w:uiPriority w:val="32"/>
    <w:rPr>
      <w:b/>
      <w:bCs/>
      <w:smallCaps/>
      <w:color w:val="104862" w:themeColor="accent1" w:themeShade="BF"/>
      <w:spacing w:val="5"/>
    </w:rPr>
  </w:style>
  <w:style w:type="character" w:customStyle="1" w:styleId="35">
    <w:name w:val="Body Text 2 Char"/>
    <w:basedOn w:val="11"/>
    <w:link w:val="13"/>
    <w:qFormat/>
    <w:uiPriority w:val="99"/>
    <w:rPr>
      <w:rFonts w:ascii="Times New Roman" w:hAnsi="Times New Roman" w:eastAsia="Times New Roman" w:cs="Times New Roman"/>
      <w:kern w:val="0"/>
      <w:szCs w:val="20"/>
      <w:lang w:val="en-US"/>
      <w14:ligatures w14: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760</Words>
  <Characters>4338</Characters>
  <Lines>36</Lines>
  <Paragraphs>10</Paragraphs>
  <TotalTime>0</TotalTime>
  <ScaleCrop>false</ScaleCrop>
  <LinksUpToDate>false</LinksUpToDate>
  <CharactersWithSpaces>5088</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2024-11-19T02:08:00Z</dcterms:created>
  <dc:creator>Salimah Kassam</dc:creator>
  <cp:lastModifiedBy>Ayesha.Leena</cp:lastModifiedBy>
  <dcterms:modified xsi:type="dcterms:W3CDTF">2025-02-20T04:47:07Z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CABE071F75C4420FA89754BEED266F98_12</vt:lpwstr>
  </property>
</Properties>
</file>