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ACB25" w14:textId="77777777" w:rsidR="002D7143" w:rsidRPr="002D7143" w:rsidRDefault="002D7143" w:rsidP="002D7143">
      <w:pPr>
        <w:jc w:val="center"/>
        <w:rPr>
          <w:b/>
          <w:sz w:val="32"/>
        </w:rPr>
      </w:pPr>
      <w:bookmarkStart w:id="0" w:name="_Toc172269533"/>
      <w:bookmarkStart w:id="1" w:name="_Toc172269621"/>
      <w:bookmarkStart w:id="2" w:name="_Toc173818682"/>
      <w:r w:rsidRPr="002D7143">
        <w:rPr>
          <w:b/>
          <w:sz w:val="32"/>
        </w:rPr>
        <w:t>TOR</w:t>
      </w:r>
    </w:p>
    <w:p w14:paraId="6A6031D7" w14:textId="5C1D3DD3" w:rsidR="002D7143" w:rsidRPr="002D7143" w:rsidRDefault="002D7143" w:rsidP="002D7143">
      <w:pPr>
        <w:jc w:val="center"/>
        <w:rPr>
          <w:b/>
          <w:sz w:val="32"/>
        </w:rPr>
      </w:pPr>
      <w:r w:rsidRPr="002D7143">
        <w:rPr>
          <w:b/>
          <w:sz w:val="32"/>
        </w:rPr>
        <w:t>Local Economic Potential</w:t>
      </w:r>
      <w:r>
        <w:rPr>
          <w:b/>
          <w:sz w:val="32"/>
        </w:rPr>
        <w:t xml:space="preserve"> and</w:t>
      </w:r>
      <w:r w:rsidRPr="002D7143">
        <w:rPr>
          <w:b/>
          <w:sz w:val="32"/>
        </w:rPr>
        <w:t xml:space="preserve"> Future scenarios</w:t>
      </w:r>
    </w:p>
    <w:p w14:paraId="0764F86D" w14:textId="3B8B5D8C" w:rsidR="002D7143" w:rsidRPr="002D7143" w:rsidRDefault="002D7143" w:rsidP="002D7143">
      <w:pPr>
        <w:jc w:val="center"/>
        <w:rPr>
          <w:b/>
          <w:sz w:val="32"/>
        </w:rPr>
      </w:pPr>
      <w:r>
        <w:rPr>
          <w:b/>
          <w:sz w:val="32"/>
        </w:rPr>
        <w:t>for</w:t>
      </w:r>
      <w:r w:rsidRPr="002D7143">
        <w:rPr>
          <w:b/>
          <w:sz w:val="32"/>
        </w:rPr>
        <w:t xml:space="preserve"> the municipalities of</w:t>
      </w:r>
    </w:p>
    <w:p w14:paraId="479B0F9D" w14:textId="77777777" w:rsidR="002D7143" w:rsidRPr="002D7143" w:rsidRDefault="002D7143" w:rsidP="002D7143">
      <w:pPr>
        <w:jc w:val="center"/>
        <w:rPr>
          <w:b/>
          <w:sz w:val="32"/>
        </w:rPr>
      </w:pPr>
      <w:r w:rsidRPr="002D7143">
        <w:rPr>
          <w:b/>
          <w:sz w:val="32"/>
        </w:rPr>
        <w:t>Jashore and Shibganj</w:t>
      </w:r>
    </w:p>
    <w:p w14:paraId="250D601A" w14:textId="77777777" w:rsidR="00802FE7" w:rsidRDefault="00802FE7" w:rsidP="006D2CE5"/>
    <w:p w14:paraId="0480144F" w14:textId="2DF29CD5" w:rsidR="00802FE7" w:rsidRPr="001E49E9" w:rsidRDefault="00802FE7" w:rsidP="001E49E9">
      <w:pPr>
        <w:pStyle w:val="ListParagraph"/>
        <w:numPr>
          <w:ilvl w:val="0"/>
          <w:numId w:val="9"/>
        </w:numPr>
        <w:rPr>
          <w:b/>
          <w:sz w:val="32"/>
          <w:lang w:eastAsia="de-DE"/>
        </w:rPr>
      </w:pPr>
      <w:r w:rsidRPr="001E49E9">
        <w:rPr>
          <w:b/>
          <w:sz w:val="32"/>
          <w:lang w:eastAsia="de-DE"/>
        </w:rPr>
        <w:t>Background</w:t>
      </w:r>
    </w:p>
    <w:p w14:paraId="5A2FDDAD" w14:textId="77777777" w:rsidR="00924393" w:rsidRPr="0064081E" w:rsidRDefault="00924393" w:rsidP="00924393">
      <w:pPr>
        <w:pStyle w:val="Default"/>
        <w:spacing w:line="264" w:lineRule="auto"/>
        <w:jc w:val="both"/>
        <w:rPr>
          <w:rFonts w:asciiTheme="minorHAnsi" w:hAnsiTheme="minorHAnsi" w:cstheme="minorHAnsi"/>
          <w:sz w:val="22"/>
          <w:szCs w:val="22"/>
        </w:rPr>
      </w:pPr>
      <w:r w:rsidRPr="0064081E">
        <w:rPr>
          <w:rFonts w:asciiTheme="minorHAnsi" w:hAnsiTheme="minorHAnsi" w:cstheme="minorHAnsi"/>
          <w:sz w:val="22"/>
          <w:szCs w:val="22"/>
        </w:rPr>
        <w:t>Swisscontact was established in 1959 as an independent organisation by prominent individuals from the worlds of commerce and science in Switzerland. It is exclusively involved in international cooperation and since 1961 has carried out its own and mandated projects. Since it was founded, Swisscontact has maintained close ties with the private sector. Currently, Swisscontact is active in 35 countries with a workforce of over 1,200 people, implementing 110 projects. The organisation is based in Zurich. Swisscontact concentrates on four core areas of private sector development:</w:t>
      </w:r>
    </w:p>
    <w:p w14:paraId="79580B30" w14:textId="77777777" w:rsidR="00924393" w:rsidRPr="0064081E" w:rsidRDefault="00924393" w:rsidP="00924393">
      <w:pPr>
        <w:pStyle w:val="Default"/>
        <w:numPr>
          <w:ilvl w:val="0"/>
          <w:numId w:val="8"/>
        </w:numPr>
        <w:spacing w:line="264" w:lineRule="auto"/>
        <w:jc w:val="both"/>
        <w:rPr>
          <w:rFonts w:asciiTheme="minorHAnsi" w:hAnsiTheme="minorHAnsi" w:cstheme="minorHAnsi"/>
          <w:sz w:val="22"/>
          <w:szCs w:val="22"/>
        </w:rPr>
      </w:pPr>
      <w:r w:rsidRPr="0064081E">
        <w:rPr>
          <w:rFonts w:asciiTheme="minorHAnsi" w:hAnsiTheme="minorHAnsi" w:cstheme="minorHAnsi"/>
          <w:sz w:val="22"/>
          <w:szCs w:val="22"/>
        </w:rPr>
        <w:t xml:space="preserve">Skills Development </w:t>
      </w:r>
    </w:p>
    <w:p w14:paraId="41B22C5E" w14:textId="77777777" w:rsidR="00924393" w:rsidRPr="0064081E" w:rsidRDefault="00924393" w:rsidP="00924393">
      <w:pPr>
        <w:pStyle w:val="Default"/>
        <w:numPr>
          <w:ilvl w:val="0"/>
          <w:numId w:val="8"/>
        </w:numPr>
        <w:spacing w:line="264" w:lineRule="auto"/>
        <w:jc w:val="both"/>
        <w:rPr>
          <w:rFonts w:asciiTheme="minorHAnsi" w:hAnsiTheme="minorHAnsi" w:cstheme="minorHAnsi"/>
          <w:sz w:val="22"/>
          <w:szCs w:val="22"/>
        </w:rPr>
      </w:pPr>
      <w:r w:rsidRPr="0064081E">
        <w:rPr>
          <w:rFonts w:asciiTheme="minorHAnsi" w:hAnsiTheme="minorHAnsi" w:cstheme="minorHAnsi"/>
          <w:sz w:val="22"/>
          <w:szCs w:val="22"/>
        </w:rPr>
        <w:t>SME Promotion</w:t>
      </w:r>
    </w:p>
    <w:p w14:paraId="6B5CFCC5" w14:textId="77777777" w:rsidR="00924393" w:rsidRPr="0064081E" w:rsidRDefault="00924393" w:rsidP="00924393">
      <w:pPr>
        <w:pStyle w:val="Default"/>
        <w:numPr>
          <w:ilvl w:val="0"/>
          <w:numId w:val="8"/>
        </w:numPr>
        <w:spacing w:line="264" w:lineRule="auto"/>
        <w:jc w:val="both"/>
        <w:rPr>
          <w:rFonts w:asciiTheme="minorHAnsi" w:hAnsiTheme="minorHAnsi" w:cstheme="minorHAnsi"/>
          <w:sz w:val="22"/>
          <w:szCs w:val="22"/>
        </w:rPr>
      </w:pPr>
      <w:r w:rsidRPr="0064081E">
        <w:rPr>
          <w:rFonts w:asciiTheme="minorHAnsi" w:hAnsiTheme="minorHAnsi" w:cstheme="minorHAnsi"/>
          <w:sz w:val="22"/>
          <w:szCs w:val="22"/>
        </w:rPr>
        <w:t>Financial Services</w:t>
      </w:r>
    </w:p>
    <w:p w14:paraId="6959FD9C" w14:textId="77777777" w:rsidR="00924393" w:rsidRPr="0064081E" w:rsidRDefault="00924393" w:rsidP="00924393">
      <w:pPr>
        <w:pStyle w:val="Default"/>
        <w:numPr>
          <w:ilvl w:val="0"/>
          <w:numId w:val="8"/>
        </w:numPr>
        <w:spacing w:line="264" w:lineRule="auto"/>
        <w:jc w:val="both"/>
        <w:rPr>
          <w:rFonts w:asciiTheme="minorHAnsi" w:hAnsiTheme="minorHAnsi" w:cstheme="minorHAnsi"/>
          <w:sz w:val="22"/>
          <w:szCs w:val="22"/>
        </w:rPr>
      </w:pPr>
      <w:r w:rsidRPr="0064081E">
        <w:rPr>
          <w:rFonts w:asciiTheme="minorHAnsi" w:hAnsiTheme="minorHAnsi" w:cstheme="minorHAnsi"/>
          <w:sz w:val="22"/>
          <w:szCs w:val="22"/>
        </w:rPr>
        <w:t>Resource Efficiency</w:t>
      </w:r>
    </w:p>
    <w:p w14:paraId="3C63472D" w14:textId="55B6DA72" w:rsidR="00924393" w:rsidRDefault="00924393" w:rsidP="00924393">
      <w:pPr>
        <w:pStyle w:val="Default"/>
        <w:spacing w:after="120" w:line="264" w:lineRule="auto"/>
        <w:jc w:val="both"/>
        <w:rPr>
          <w:rFonts w:asciiTheme="minorHAnsi" w:hAnsiTheme="minorHAnsi" w:cstheme="minorHAnsi"/>
          <w:sz w:val="22"/>
          <w:szCs w:val="22"/>
        </w:rPr>
      </w:pPr>
      <w:r w:rsidRPr="0064081E">
        <w:rPr>
          <w:rFonts w:asciiTheme="minorHAnsi" w:hAnsiTheme="minorHAnsi" w:cstheme="minorHAnsi"/>
          <w:sz w:val="22"/>
          <w:szCs w:val="22"/>
        </w:rPr>
        <w:t xml:space="preserve">The </w:t>
      </w:r>
      <w:r w:rsidRPr="0064081E">
        <w:rPr>
          <w:rFonts w:asciiTheme="minorHAnsi" w:hAnsiTheme="minorHAnsi" w:cstheme="minorHAnsi"/>
          <w:b/>
          <w:sz w:val="22"/>
          <w:szCs w:val="22"/>
        </w:rPr>
        <w:t>Swisscontact</w:t>
      </w:r>
      <w:r>
        <w:rPr>
          <w:rFonts w:asciiTheme="minorHAnsi" w:hAnsiTheme="minorHAnsi" w:cstheme="minorHAnsi"/>
          <w:b/>
          <w:sz w:val="22"/>
          <w:szCs w:val="22"/>
        </w:rPr>
        <w:t xml:space="preserve"> Bangladesh </w:t>
      </w:r>
      <w:r w:rsidRPr="0064081E">
        <w:rPr>
          <w:rFonts w:asciiTheme="minorHAnsi" w:hAnsiTheme="minorHAnsi" w:cstheme="minorHAnsi"/>
          <w:sz w:val="22"/>
          <w:szCs w:val="22"/>
        </w:rPr>
        <w:t>Office</w:t>
      </w:r>
      <w:r>
        <w:rPr>
          <w:rFonts w:asciiTheme="minorHAnsi" w:hAnsiTheme="minorHAnsi" w:cstheme="minorHAnsi"/>
          <w:sz w:val="22"/>
          <w:szCs w:val="22"/>
        </w:rPr>
        <w:t xml:space="preserve"> </w:t>
      </w:r>
      <w:r w:rsidRPr="0064081E">
        <w:rPr>
          <w:rFonts w:asciiTheme="minorHAnsi" w:hAnsiTheme="minorHAnsi" w:cstheme="minorHAnsi"/>
          <w:sz w:val="22"/>
          <w:szCs w:val="22"/>
        </w:rPr>
        <w:t xml:space="preserve">is based in Dhaka, Bangladesh. As per the Mission of Swisscontact, SARO has the mandate to develop and maintain the Foundation’s portfolio of development projects in South Asia.  </w:t>
      </w:r>
    </w:p>
    <w:p w14:paraId="62E71E41" w14:textId="77777777" w:rsidR="001E49E9" w:rsidRDefault="001E49E9" w:rsidP="00924393">
      <w:pPr>
        <w:pStyle w:val="Default"/>
        <w:spacing w:after="120" w:line="264" w:lineRule="auto"/>
        <w:jc w:val="both"/>
        <w:rPr>
          <w:rFonts w:asciiTheme="minorHAnsi" w:hAnsiTheme="minorHAnsi" w:cstheme="minorHAnsi"/>
          <w:sz w:val="22"/>
          <w:szCs w:val="22"/>
        </w:rPr>
      </w:pPr>
    </w:p>
    <w:p w14:paraId="2AC153C1" w14:textId="77777777" w:rsidR="001E49E9" w:rsidRPr="0064081E" w:rsidRDefault="001E49E9" w:rsidP="00924393">
      <w:pPr>
        <w:pStyle w:val="Default"/>
        <w:spacing w:after="120" w:line="264" w:lineRule="auto"/>
        <w:jc w:val="both"/>
        <w:rPr>
          <w:rFonts w:asciiTheme="minorHAnsi" w:hAnsiTheme="minorHAnsi" w:cstheme="minorHAnsi"/>
          <w:sz w:val="22"/>
          <w:szCs w:val="22"/>
        </w:rPr>
      </w:pPr>
    </w:p>
    <w:p w14:paraId="63D2417B" w14:textId="10F928B8" w:rsidR="00802FE7" w:rsidRPr="001E49E9" w:rsidRDefault="00924393" w:rsidP="001E49E9">
      <w:pPr>
        <w:pStyle w:val="ListParagraph"/>
        <w:numPr>
          <w:ilvl w:val="0"/>
          <w:numId w:val="9"/>
        </w:numPr>
        <w:rPr>
          <w:b/>
          <w:sz w:val="32"/>
          <w:lang w:eastAsia="de-DE"/>
        </w:rPr>
      </w:pPr>
      <w:r w:rsidRPr="001E49E9">
        <w:rPr>
          <w:b/>
          <w:sz w:val="32"/>
          <w:lang w:eastAsia="de-DE"/>
        </w:rPr>
        <w:t xml:space="preserve"> </w:t>
      </w:r>
      <w:r w:rsidR="00802FE7" w:rsidRPr="001E49E9">
        <w:rPr>
          <w:b/>
          <w:sz w:val="32"/>
          <w:lang w:eastAsia="de-DE"/>
        </w:rPr>
        <w:t>Prabriddhi – Local Economic Development (LED)</w:t>
      </w:r>
    </w:p>
    <w:p w14:paraId="4D1BEE68" w14:textId="36F4E281" w:rsidR="001D3EFA" w:rsidRDefault="001D3EFA" w:rsidP="001D3EFA">
      <w:pPr>
        <w:jc w:val="both"/>
      </w:pPr>
      <w:r w:rsidRPr="00C80177">
        <w:t>Bangladesh’s economy has been steadily gro</w:t>
      </w:r>
      <w:r>
        <w:t>wing over the last three</w:t>
      </w:r>
      <w:r w:rsidRPr="00C80177">
        <w:t xml:space="preserve"> decades wit</w:t>
      </w:r>
      <w:r w:rsidR="007F1E9A">
        <w:t>h GDP growth rates above 5% for</w:t>
      </w:r>
      <w:r w:rsidRPr="00C80177">
        <w:t xml:space="preserve"> the last 10 years</w:t>
      </w:r>
      <w:r w:rsidR="007F1E9A">
        <w:t>. T</w:t>
      </w:r>
      <w:r w:rsidR="007F1E9A" w:rsidRPr="00C80177">
        <w:t xml:space="preserve">he 7th FYP recognizes that </w:t>
      </w:r>
      <w:r w:rsidR="007F1E9A">
        <w:t>the rural development</w:t>
      </w:r>
      <w:r w:rsidR="007F1E9A" w:rsidRPr="00C80177">
        <w:t xml:space="preserve"> </w:t>
      </w:r>
      <w:r w:rsidR="007F1E9A">
        <w:t xml:space="preserve">has </w:t>
      </w:r>
      <w:r w:rsidR="007F1E9A" w:rsidRPr="00C80177">
        <w:t>contribute</w:t>
      </w:r>
      <w:r w:rsidR="007F1E9A">
        <w:t>d</w:t>
      </w:r>
      <w:r w:rsidR="007F1E9A" w:rsidRPr="00C80177">
        <w:t xml:space="preserve"> significantly to </w:t>
      </w:r>
      <w:r w:rsidR="007F1E9A">
        <w:t xml:space="preserve">this </w:t>
      </w:r>
      <w:r w:rsidR="007F1E9A" w:rsidRPr="00C80177">
        <w:t>economic developme</w:t>
      </w:r>
      <w:r w:rsidR="007F1E9A">
        <w:t>nt and supported Bangladesh’s</w:t>
      </w:r>
      <w:r w:rsidR="007F1E9A" w:rsidRPr="00C80177">
        <w:t xml:space="preserve"> ambition to </w:t>
      </w:r>
      <w:r w:rsidR="007F1E9A">
        <w:t>reach</w:t>
      </w:r>
      <w:r w:rsidR="007F1E9A" w:rsidRPr="00C80177">
        <w:t xml:space="preserve"> the status of </w:t>
      </w:r>
      <w:r w:rsidR="007F1E9A">
        <w:t>“</w:t>
      </w:r>
      <w:r w:rsidR="007F1E9A" w:rsidRPr="00C80177">
        <w:t>middle-income</w:t>
      </w:r>
      <w:r w:rsidR="007F1E9A">
        <w:t>”</w:t>
      </w:r>
      <w:r w:rsidR="007F1E9A" w:rsidRPr="00C80177">
        <w:t xml:space="preserve"> country</w:t>
      </w:r>
      <w:r w:rsidR="007F1E9A">
        <w:t>. However, not all regions of Bangladesh</w:t>
      </w:r>
      <w:r>
        <w:t xml:space="preserve"> were able to benefit</w:t>
      </w:r>
      <w:r w:rsidRPr="00C80177">
        <w:t xml:space="preserve"> from the economic transformation. </w:t>
      </w:r>
      <w:r w:rsidR="007F1E9A">
        <w:t xml:space="preserve">Decentralization </w:t>
      </w:r>
      <w:r w:rsidR="00B060BF">
        <w:t>was also</w:t>
      </w:r>
      <w:r w:rsidRPr="00C80177">
        <w:t xml:space="preserve"> an i</w:t>
      </w:r>
      <w:r>
        <w:t>mportant element of the 7th FYP,</w:t>
      </w:r>
      <w:r w:rsidR="005A4165">
        <w:t xml:space="preserve"> c</w:t>
      </w:r>
      <w:r w:rsidR="007F1E9A">
        <w:t>orrect</w:t>
      </w:r>
      <w:r w:rsidR="005A4165">
        <w:t>ing partially</w:t>
      </w:r>
      <w:r w:rsidR="007F1E9A">
        <w:t xml:space="preserve"> the unequal distribution of these benefits.</w:t>
      </w:r>
      <w:r w:rsidR="00B268A1" w:rsidRPr="00B268A1">
        <w:t xml:space="preserve"> </w:t>
      </w:r>
      <w:r w:rsidR="00B268A1">
        <w:t>D</w:t>
      </w:r>
      <w:r w:rsidR="00B268A1" w:rsidRPr="00C80177">
        <w:t xml:space="preserve">emocratically elected Local Government Institutions (LGIs) at union, </w:t>
      </w:r>
      <w:proofErr w:type="spellStart"/>
      <w:r w:rsidR="00B268A1" w:rsidRPr="00C80177">
        <w:t>Upazilla</w:t>
      </w:r>
      <w:proofErr w:type="spellEnd"/>
      <w:r w:rsidR="00B268A1" w:rsidRPr="00C80177">
        <w:t xml:space="preserve"> </w:t>
      </w:r>
      <w:r w:rsidR="00B268A1">
        <w:t>and municipal level</w:t>
      </w:r>
      <w:r w:rsidR="00E141C0">
        <w:t xml:space="preserve"> were</w:t>
      </w:r>
      <w:r w:rsidR="00B268A1">
        <w:t xml:space="preserve"> expected to reinforce this trend.</w:t>
      </w:r>
      <w:r w:rsidRPr="00C80177">
        <w:t xml:space="preserve"> </w:t>
      </w:r>
      <w:r w:rsidR="00B268A1">
        <w:t>Since a few years however the decentralization process has slowed down, but new concepts</w:t>
      </w:r>
      <w:r>
        <w:t xml:space="preserve"> such as Local Economic Development (LED) have entered</w:t>
      </w:r>
      <w:r w:rsidRPr="00C80177">
        <w:t xml:space="preserve"> the sphere of the local government mission.</w:t>
      </w:r>
      <w:r w:rsidR="00B268A1">
        <w:t xml:space="preserve"> T</w:t>
      </w:r>
      <w:r w:rsidR="00B060BF">
        <w:t>he LED approach</w:t>
      </w:r>
      <w:r>
        <w:t xml:space="preserve"> help</w:t>
      </w:r>
      <w:r w:rsidR="00B060BF">
        <w:t>s</w:t>
      </w:r>
      <w:r>
        <w:t xml:space="preserve"> select the best commodities </w:t>
      </w:r>
      <w:r w:rsidR="00B268A1">
        <w:t xml:space="preserve">/ sectors </w:t>
      </w:r>
      <w:r>
        <w:t>according to the natural and human resources of given area</w:t>
      </w:r>
      <w:r w:rsidR="00B060BF">
        <w:t>s,</w:t>
      </w:r>
      <w:r w:rsidRPr="00C80177">
        <w:t xml:space="preserve"> </w:t>
      </w:r>
      <w:r w:rsidR="005A4165">
        <w:t>revitalizing</w:t>
      </w:r>
      <w:r>
        <w:t xml:space="preserve"> </w:t>
      </w:r>
      <w:r w:rsidRPr="00C80177">
        <w:t>the decentralization process.</w:t>
      </w:r>
      <w:r>
        <w:t xml:space="preserve">  It is within this context that Prabriddhi has been designed.</w:t>
      </w:r>
    </w:p>
    <w:p w14:paraId="11098DE8" w14:textId="73838710" w:rsidR="005432B0" w:rsidRDefault="001D3EFA" w:rsidP="005432B0">
      <w:pPr>
        <w:jc w:val="both"/>
      </w:pPr>
      <w:r w:rsidRPr="0046587C">
        <w:rPr>
          <w:b/>
        </w:rPr>
        <w:t>Local Economic Development</w:t>
      </w:r>
      <w:r>
        <w:t xml:space="preserve"> </w:t>
      </w:r>
      <w:r w:rsidRPr="00247BBF">
        <w:t xml:space="preserve">is </w:t>
      </w:r>
      <w:r>
        <w:t xml:space="preserve">indeed, </w:t>
      </w:r>
      <w:r w:rsidRPr="00247BBF">
        <w:t>the capacity of a</w:t>
      </w:r>
      <w:r>
        <w:t>n urban or rural</w:t>
      </w:r>
      <w:r w:rsidRPr="00247BBF">
        <w:t xml:space="preserve"> territory</w:t>
      </w:r>
      <w:r>
        <w:t xml:space="preserve"> </w:t>
      </w:r>
      <w:r w:rsidRPr="00247BBF">
        <w:t xml:space="preserve">to </w:t>
      </w:r>
      <w:r>
        <w:t xml:space="preserve">create a competitive advantage for its enterprises through a broad set of activities and </w:t>
      </w:r>
      <w:r w:rsidRPr="00247BBF">
        <w:t>improve the economic well-being of it</w:t>
      </w:r>
      <w:r>
        <w:t xml:space="preserve">s </w:t>
      </w:r>
      <w:r>
        <w:lastRenderedPageBreak/>
        <w:t xml:space="preserve">people and workers. LED is essentially participatory short-term planning, bottom-up designed, owned and delivered, relying on public-private collaboration with an iterative, transparent and open-ended process. </w:t>
      </w:r>
    </w:p>
    <w:p w14:paraId="4C804606" w14:textId="7A591A47" w:rsidR="00802FE7" w:rsidRDefault="00802FE7" w:rsidP="005432B0">
      <w:pPr>
        <w:jc w:val="both"/>
      </w:pPr>
      <w:r>
        <w:t xml:space="preserve">The Local Economic Development (LED) project, branded as Prabriddhi, funded by SDC and implemented by Swisscontact Bangladesh has started an 18-month long pilot or inception phase in August 2018 in two selected municipalities of </w:t>
      </w:r>
      <w:r w:rsidR="001E49E9">
        <w:t>Bangladesh, where</w:t>
      </w:r>
      <w:r>
        <w:t xml:space="preserve"> it has two broad objectives: </w:t>
      </w:r>
    </w:p>
    <w:p w14:paraId="700B2CE4" w14:textId="77777777" w:rsidR="00802FE7" w:rsidRDefault="00802FE7" w:rsidP="00802FE7">
      <w:pPr>
        <w:numPr>
          <w:ilvl w:val="0"/>
          <w:numId w:val="5"/>
        </w:numPr>
        <w:spacing w:line="256" w:lineRule="auto"/>
        <w:jc w:val="both"/>
      </w:pPr>
      <w:r>
        <w:rPr>
          <w:b/>
          <w:bCs/>
        </w:rPr>
        <w:t>test the capacity of municipality level institutions and the feasibility of the LED process through municipalities;</w:t>
      </w:r>
    </w:p>
    <w:p w14:paraId="77C6296D" w14:textId="77777777" w:rsidR="00802FE7" w:rsidRDefault="00802FE7" w:rsidP="00802FE7">
      <w:pPr>
        <w:numPr>
          <w:ilvl w:val="0"/>
          <w:numId w:val="5"/>
        </w:numPr>
        <w:spacing w:line="256" w:lineRule="auto"/>
        <w:jc w:val="both"/>
      </w:pPr>
      <w:r>
        <w:rPr>
          <w:b/>
          <w:bCs/>
        </w:rPr>
        <w:t xml:space="preserve">based on the pilot experiences, design a scale up phase of the project with a national level anchor. </w:t>
      </w:r>
    </w:p>
    <w:p w14:paraId="037D29FB" w14:textId="7628365B" w:rsidR="00802FE7" w:rsidRPr="00624067" w:rsidRDefault="00624067" w:rsidP="002D7143">
      <w:pPr>
        <w:pStyle w:val="Heading2"/>
        <w:rPr>
          <w:rFonts w:asciiTheme="minorHAnsi" w:hAnsiTheme="minorHAnsi" w:cstheme="minorHAnsi"/>
          <w:color w:val="2F5496"/>
          <w:szCs w:val="24"/>
          <w:lang w:eastAsia="de-DE"/>
        </w:rPr>
      </w:pPr>
      <w:r w:rsidRPr="00624067">
        <w:rPr>
          <w:rFonts w:asciiTheme="minorHAnsi" w:hAnsiTheme="minorHAnsi" w:cstheme="minorHAnsi"/>
          <w:color w:val="2F5496"/>
          <w:szCs w:val="24"/>
          <w:lang w:eastAsia="de-DE"/>
        </w:rPr>
        <w:t>2.1 Rationale of the Study</w:t>
      </w:r>
    </w:p>
    <w:p w14:paraId="25F3B53C" w14:textId="64A2902B" w:rsidR="00624067" w:rsidRDefault="00624067" w:rsidP="00624067">
      <w:pPr>
        <w:pStyle w:val="BodyText"/>
        <w:rPr>
          <w:rFonts w:ascii="Calibri" w:hAnsi="Calibri"/>
          <w:szCs w:val="22"/>
        </w:rPr>
      </w:pPr>
      <w:r w:rsidRPr="00924393">
        <w:rPr>
          <w:rFonts w:ascii="Calibri" w:hAnsi="Calibri"/>
          <w:szCs w:val="22"/>
        </w:rPr>
        <w:t xml:space="preserve">The motor of the local economic development is built upon the critical economic subsectors of the areas. </w:t>
      </w:r>
      <w:proofErr w:type="gramStart"/>
      <w:r w:rsidRPr="00924393">
        <w:rPr>
          <w:rFonts w:ascii="Calibri" w:hAnsi="Calibri"/>
          <w:szCs w:val="22"/>
        </w:rPr>
        <w:t>In order to</w:t>
      </w:r>
      <w:proofErr w:type="gramEnd"/>
      <w:r w:rsidRPr="00924393">
        <w:rPr>
          <w:rFonts w:ascii="Calibri" w:hAnsi="Calibri"/>
          <w:szCs w:val="22"/>
        </w:rPr>
        <w:t xml:space="preserve"> identify the economic potentials of the municipalities of Jashore and Shibganj, the local governments need to know what sectors and products best perform in the national competitiveness environment. The key questions are: what are the products to promote nationally and internationally? What sub-sectors to choose for attracting private investment? What sub-sector producer to link up with national and international intermediaries and buyers downstream the value chain?</w:t>
      </w:r>
    </w:p>
    <w:p w14:paraId="74BD382A" w14:textId="77777777" w:rsidR="00C25E3E" w:rsidRPr="00924393" w:rsidRDefault="00C25E3E" w:rsidP="00C25E3E">
      <w:pPr>
        <w:pStyle w:val="BodyText"/>
        <w:rPr>
          <w:rFonts w:ascii="Calibri" w:hAnsi="Calibri"/>
          <w:szCs w:val="22"/>
        </w:rPr>
      </w:pPr>
      <w:bookmarkStart w:id="3" w:name="_Hlk527324803"/>
      <w:r w:rsidRPr="00924393">
        <w:rPr>
          <w:rFonts w:ascii="Calibri" w:hAnsi="Calibri"/>
          <w:szCs w:val="22"/>
        </w:rPr>
        <w:t xml:space="preserve">To identify the future growth trajectories of these subsectors, the project </w:t>
      </w:r>
      <w:proofErr w:type="gramStart"/>
      <w:r w:rsidRPr="00924393">
        <w:rPr>
          <w:rFonts w:ascii="Calibri" w:hAnsi="Calibri"/>
          <w:szCs w:val="22"/>
        </w:rPr>
        <w:t>has to</w:t>
      </w:r>
      <w:proofErr w:type="gramEnd"/>
      <w:r w:rsidRPr="00924393">
        <w:rPr>
          <w:rFonts w:ascii="Calibri" w:hAnsi="Calibri"/>
          <w:szCs w:val="22"/>
        </w:rPr>
        <w:t xml:space="preserve"> focus on the local markets and </w:t>
      </w:r>
      <w:r w:rsidRPr="00924393">
        <w:rPr>
          <w:rFonts w:ascii="Calibri" w:hAnsi="Calibri"/>
          <w:b/>
          <w:szCs w:val="22"/>
        </w:rPr>
        <w:t>(inter)national demand</w:t>
      </w:r>
      <w:r w:rsidRPr="00924393">
        <w:rPr>
          <w:rFonts w:ascii="Calibri" w:hAnsi="Calibri"/>
          <w:szCs w:val="22"/>
        </w:rPr>
        <w:t xml:space="preserve"> of the related products and services. </w:t>
      </w:r>
    </w:p>
    <w:bookmarkEnd w:id="3"/>
    <w:p w14:paraId="7FBA3798" w14:textId="77777777" w:rsidR="00624067" w:rsidRPr="00624067" w:rsidRDefault="00624067" w:rsidP="00624067">
      <w:pPr>
        <w:pStyle w:val="BodyText"/>
      </w:pPr>
    </w:p>
    <w:p w14:paraId="49A44167" w14:textId="47F57923" w:rsidR="006D2CE5" w:rsidRPr="001E49E9" w:rsidRDefault="002D7143" w:rsidP="001E49E9">
      <w:pPr>
        <w:pStyle w:val="ListParagraph"/>
        <w:numPr>
          <w:ilvl w:val="0"/>
          <w:numId w:val="9"/>
        </w:numPr>
        <w:rPr>
          <w:b/>
          <w:sz w:val="32"/>
          <w:lang w:eastAsia="de-DE"/>
        </w:rPr>
      </w:pPr>
      <w:r w:rsidRPr="001E49E9">
        <w:rPr>
          <w:b/>
          <w:sz w:val="32"/>
          <w:lang w:eastAsia="de-DE"/>
        </w:rPr>
        <w:t>T</w:t>
      </w:r>
      <w:r w:rsidR="006D2CE5" w:rsidRPr="001E49E9">
        <w:rPr>
          <w:b/>
          <w:sz w:val="32"/>
          <w:lang w:eastAsia="de-DE"/>
        </w:rPr>
        <w:t>he Study</w:t>
      </w:r>
      <w:bookmarkEnd w:id="0"/>
      <w:bookmarkEnd w:id="1"/>
      <w:bookmarkEnd w:id="2"/>
      <w:r w:rsidR="00D61CC9" w:rsidRPr="001E49E9">
        <w:rPr>
          <w:b/>
          <w:sz w:val="32"/>
          <w:lang w:eastAsia="de-DE"/>
        </w:rPr>
        <w:t xml:space="preserve"> on Local Economic Potential for Jashore and Shibganj</w:t>
      </w:r>
    </w:p>
    <w:p w14:paraId="3178B29F" w14:textId="696A4B06" w:rsidR="006A4A21" w:rsidRPr="00BA0298" w:rsidRDefault="006A4A21" w:rsidP="00924393">
      <w:pPr>
        <w:pStyle w:val="Heading2"/>
        <w:numPr>
          <w:ilvl w:val="1"/>
          <w:numId w:val="9"/>
        </w:numPr>
        <w:rPr>
          <w:rFonts w:asciiTheme="minorHAnsi" w:hAnsiTheme="minorHAnsi" w:cstheme="minorHAnsi"/>
          <w:color w:val="2F5496"/>
          <w:szCs w:val="24"/>
          <w:lang w:eastAsia="de-DE"/>
        </w:rPr>
      </w:pPr>
      <w:r w:rsidRPr="00BA0298">
        <w:rPr>
          <w:rFonts w:asciiTheme="minorHAnsi" w:hAnsiTheme="minorHAnsi" w:cstheme="minorHAnsi"/>
          <w:color w:val="2F5496"/>
          <w:szCs w:val="24"/>
          <w:lang w:eastAsia="de-DE"/>
        </w:rPr>
        <w:t>Objective of the study</w:t>
      </w:r>
    </w:p>
    <w:p w14:paraId="22D6ACF3" w14:textId="4AA0ABD7" w:rsidR="006D2CE5" w:rsidRPr="00BA0298" w:rsidRDefault="006D2CE5" w:rsidP="006D2CE5">
      <w:pPr>
        <w:pStyle w:val="BodyText"/>
        <w:rPr>
          <w:rFonts w:ascii="Calibri" w:hAnsi="Calibri"/>
          <w:szCs w:val="22"/>
        </w:rPr>
      </w:pPr>
      <w:r w:rsidRPr="00BA0298">
        <w:rPr>
          <w:rFonts w:ascii="Calibri" w:hAnsi="Calibri"/>
          <w:szCs w:val="22"/>
        </w:rPr>
        <w:t>The economic potential study aims to achieve three results (</w:t>
      </w:r>
      <w:proofErr w:type="spellStart"/>
      <w:r w:rsidRPr="00BA0298">
        <w:rPr>
          <w:rFonts w:ascii="Calibri" w:hAnsi="Calibri"/>
          <w:szCs w:val="22"/>
        </w:rPr>
        <w:t>i</w:t>
      </w:r>
      <w:proofErr w:type="spellEnd"/>
      <w:r w:rsidRPr="00BA0298">
        <w:rPr>
          <w:rFonts w:ascii="Calibri" w:hAnsi="Calibri"/>
          <w:szCs w:val="22"/>
        </w:rPr>
        <w:t xml:space="preserve">) identification of the sub-sectors/economic areas in which the </w:t>
      </w:r>
      <w:r w:rsidR="00FB060D" w:rsidRPr="00BA0298">
        <w:rPr>
          <w:rFonts w:ascii="Calibri" w:hAnsi="Calibri"/>
          <w:szCs w:val="22"/>
        </w:rPr>
        <w:t>municipalities</w:t>
      </w:r>
      <w:r w:rsidRPr="00BA0298">
        <w:rPr>
          <w:rFonts w:ascii="Calibri" w:hAnsi="Calibri"/>
          <w:szCs w:val="22"/>
        </w:rPr>
        <w:t xml:space="preserve"> show a potential competitive edge in</w:t>
      </w:r>
      <w:r w:rsidR="00FB060D" w:rsidRPr="00BA0298">
        <w:rPr>
          <w:rFonts w:ascii="Calibri" w:hAnsi="Calibri"/>
          <w:szCs w:val="22"/>
        </w:rPr>
        <w:t xml:space="preserve"> national and </w:t>
      </w:r>
      <w:r w:rsidRPr="00BA0298">
        <w:rPr>
          <w:rFonts w:ascii="Calibri" w:hAnsi="Calibri"/>
          <w:szCs w:val="22"/>
        </w:rPr>
        <w:t>global markets</w:t>
      </w:r>
      <w:r w:rsidR="00BA0298" w:rsidRPr="00BA0298">
        <w:rPr>
          <w:rFonts w:ascii="Calibri" w:hAnsi="Calibri"/>
          <w:szCs w:val="22"/>
        </w:rPr>
        <w:t>, which takes into account gender inclusiveness</w:t>
      </w:r>
      <w:r w:rsidRPr="00BA0298">
        <w:rPr>
          <w:rFonts w:ascii="Calibri" w:hAnsi="Calibri"/>
          <w:szCs w:val="22"/>
        </w:rPr>
        <w:t xml:space="preserve">; (ii) identification of the main potentials, threats and current issues hampering </w:t>
      </w:r>
      <w:r w:rsidR="00EE2750" w:rsidRPr="00BA0298">
        <w:rPr>
          <w:rFonts w:ascii="Calibri" w:hAnsi="Calibri"/>
          <w:szCs w:val="22"/>
        </w:rPr>
        <w:t xml:space="preserve">national and </w:t>
      </w:r>
      <w:r w:rsidRPr="00BA0298">
        <w:rPr>
          <w:rFonts w:ascii="Calibri" w:hAnsi="Calibri"/>
          <w:szCs w:val="22"/>
        </w:rPr>
        <w:t xml:space="preserve">global competitiveness of the identified areas; and (iii) looking for stakeholders’ recommendations on how to improve the performance </w:t>
      </w:r>
      <w:r w:rsidR="00BA0298" w:rsidRPr="00BA0298">
        <w:rPr>
          <w:rFonts w:ascii="Calibri" w:hAnsi="Calibri"/>
          <w:szCs w:val="22"/>
        </w:rPr>
        <w:t xml:space="preserve">of the pre-selected sectors </w:t>
      </w:r>
    </w:p>
    <w:p w14:paraId="018A343C" w14:textId="77777777" w:rsidR="00C330A7" w:rsidRPr="00924393" w:rsidRDefault="00C330A7" w:rsidP="00C330A7">
      <w:pPr>
        <w:pStyle w:val="BodyText"/>
        <w:spacing w:before="240"/>
        <w:rPr>
          <w:rFonts w:ascii="Calibri" w:hAnsi="Calibri"/>
          <w:szCs w:val="22"/>
        </w:rPr>
      </w:pPr>
      <w:r w:rsidRPr="00924393">
        <w:rPr>
          <w:rFonts w:ascii="Calibri" w:hAnsi="Calibri"/>
          <w:szCs w:val="22"/>
        </w:rPr>
        <w:t xml:space="preserve">The study will further assess the presence of a </w:t>
      </w:r>
      <w:r w:rsidRPr="00924393">
        <w:rPr>
          <w:rFonts w:ascii="Calibri" w:hAnsi="Calibri"/>
          <w:b/>
          <w:szCs w:val="22"/>
        </w:rPr>
        <w:t>critical mass</w:t>
      </w:r>
      <w:r w:rsidRPr="00924393">
        <w:rPr>
          <w:rFonts w:ascii="Calibri" w:hAnsi="Calibri"/>
          <w:szCs w:val="22"/>
        </w:rPr>
        <w:t xml:space="preserve"> of micro, small and medium size enterprises in those subsectors and the need for </w:t>
      </w:r>
      <w:r w:rsidRPr="00924393">
        <w:rPr>
          <w:rFonts w:ascii="Calibri" w:hAnsi="Calibri"/>
          <w:b/>
          <w:szCs w:val="22"/>
        </w:rPr>
        <w:t>local skills</w:t>
      </w:r>
      <w:r w:rsidRPr="00924393">
        <w:rPr>
          <w:rFonts w:ascii="Calibri" w:hAnsi="Calibri"/>
          <w:szCs w:val="22"/>
        </w:rPr>
        <w:t xml:space="preserve"> implying the potential (or lack) for employment generation. The study will further map the related needs and availability of </w:t>
      </w:r>
      <w:r w:rsidRPr="00924393">
        <w:rPr>
          <w:rFonts w:ascii="Calibri" w:hAnsi="Calibri"/>
          <w:b/>
          <w:szCs w:val="22"/>
        </w:rPr>
        <w:t>raw material</w:t>
      </w:r>
      <w:r w:rsidRPr="00924393">
        <w:rPr>
          <w:rFonts w:ascii="Calibri" w:hAnsi="Calibri"/>
          <w:szCs w:val="22"/>
        </w:rPr>
        <w:t xml:space="preserve"> to produce the key products of the selected sectors.  The existence of </w:t>
      </w:r>
      <w:r w:rsidRPr="00924393">
        <w:rPr>
          <w:rFonts w:ascii="Calibri" w:hAnsi="Calibri"/>
          <w:b/>
          <w:szCs w:val="22"/>
        </w:rPr>
        <w:t>linkages</w:t>
      </w:r>
      <w:r w:rsidRPr="00924393">
        <w:rPr>
          <w:rFonts w:ascii="Calibri" w:hAnsi="Calibri"/>
          <w:szCs w:val="22"/>
        </w:rPr>
        <w:t xml:space="preserve"> and gaps, if any, conducive to inter-firm collaboration and potential for positive coordination, resource dependency and </w:t>
      </w:r>
      <w:r w:rsidRPr="00924393">
        <w:rPr>
          <w:rFonts w:ascii="Calibri" w:hAnsi="Calibri"/>
          <w:b/>
          <w:szCs w:val="22"/>
        </w:rPr>
        <w:t xml:space="preserve">synergy </w:t>
      </w:r>
      <w:r w:rsidRPr="00924393">
        <w:rPr>
          <w:rFonts w:ascii="Calibri" w:hAnsi="Calibri"/>
          <w:szCs w:val="22"/>
        </w:rPr>
        <w:t xml:space="preserve">with donors and government will also be assessed. </w:t>
      </w:r>
    </w:p>
    <w:p w14:paraId="35AB43EC" w14:textId="10749D94" w:rsidR="006A4A21" w:rsidRPr="00BA0298" w:rsidRDefault="006A4A21" w:rsidP="00924393">
      <w:pPr>
        <w:pStyle w:val="Heading2"/>
        <w:numPr>
          <w:ilvl w:val="1"/>
          <w:numId w:val="9"/>
        </w:numPr>
        <w:rPr>
          <w:rFonts w:asciiTheme="minorHAnsi" w:hAnsiTheme="minorHAnsi" w:cstheme="minorHAnsi"/>
          <w:color w:val="2F5496"/>
          <w:szCs w:val="24"/>
          <w:lang w:eastAsia="de-DE"/>
        </w:rPr>
      </w:pPr>
      <w:r w:rsidRPr="00BA0298">
        <w:rPr>
          <w:rFonts w:asciiTheme="minorHAnsi" w:hAnsiTheme="minorHAnsi" w:cstheme="minorHAnsi"/>
          <w:color w:val="2F5496"/>
          <w:szCs w:val="24"/>
          <w:lang w:eastAsia="de-DE"/>
        </w:rPr>
        <w:t>Implementation process</w:t>
      </w:r>
    </w:p>
    <w:p w14:paraId="59675617" w14:textId="7717C996" w:rsidR="006D2CE5" w:rsidRPr="00BA0298" w:rsidRDefault="00623E47" w:rsidP="006D2CE5">
      <w:pPr>
        <w:pStyle w:val="BodyText"/>
        <w:rPr>
          <w:rFonts w:ascii="Calibri" w:hAnsi="Calibri"/>
        </w:rPr>
      </w:pPr>
      <w:r w:rsidRPr="00BA0298">
        <w:rPr>
          <w:rFonts w:ascii="Calibri" w:hAnsi="Calibri"/>
        </w:rPr>
        <w:t>T</w:t>
      </w:r>
      <w:r w:rsidR="006D2CE5" w:rsidRPr="00BA0298">
        <w:rPr>
          <w:rFonts w:ascii="Calibri" w:hAnsi="Calibri"/>
        </w:rPr>
        <w:t xml:space="preserve">he study </w:t>
      </w:r>
      <w:r w:rsidRPr="00BA0298">
        <w:rPr>
          <w:rFonts w:ascii="Calibri" w:hAnsi="Calibri"/>
        </w:rPr>
        <w:t>is expected to be</w:t>
      </w:r>
      <w:r w:rsidR="006D2CE5" w:rsidRPr="00BA0298">
        <w:rPr>
          <w:rFonts w:ascii="Calibri" w:hAnsi="Calibri"/>
        </w:rPr>
        <w:t xml:space="preserve"> conducted in three phases:</w:t>
      </w:r>
    </w:p>
    <w:p w14:paraId="6C5E95BB" w14:textId="5D62FCB7" w:rsidR="006D2CE5" w:rsidRPr="00BA0298" w:rsidRDefault="006D2CE5" w:rsidP="006D2CE5">
      <w:pPr>
        <w:pStyle w:val="ListBullet"/>
        <w:numPr>
          <w:ilvl w:val="0"/>
          <w:numId w:val="2"/>
        </w:numPr>
        <w:ind w:left="340" w:hanging="340"/>
        <w:rPr>
          <w:rFonts w:ascii="Calibri" w:hAnsi="Calibri"/>
        </w:rPr>
      </w:pPr>
      <w:r w:rsidRPr="00BA0298">
        <w:rPr>
          <w:rFonts w:ascii="Calibri" w:hAnsi="Calibri"/>
        </w:rPr>
        <w:lastRenderedPageBreak/>
        <w:t>In-depth desk research conducted during the</w:t>
      </w:r>
      <w:r w:rsidR="00574B27" w:rsidRPr="00BA0298">
        <w:rPr>
          <w:rFonts w:ascii="Calibri" w:hAnsi="Calibri"/>
        </w:rPr>
        <w:t xml:space="preserve"> first </w:t>
      </w:r>
      <w:r w:rsidR="006A4A21" w:rsidRPr="00BA0298">
        <w:rPr>
          <w:rFonts w:ascii="Calibri" w:hAnsi="Calibri"/>
        </w:rPr>
        <w:t>1</w:t>
      </w:r>
      <w:r w:rsidRPr="00BA0298">
        <w:rPr>
          <w:rFonts w:ascii="Calibri" w:hAnsi="Calibri"/>
        </w:rPr>
        <w:t xml:space="preserve"> month, in which the statistical data of </w:t>
      </w:r>
      <w:r w:rsidR="00574B27" w:rsidRPr="00BA0298">
        <w:rPr>
          <w:rFonts w:ascii="Calibri" w:hAnsi="Calibri"/>
        </w:rPr>
        <w:t>the 2 municipalities</w:t>
      </w:r>
      <w:r w:rsidRPr="00BA0298">
        <w:rPr>
          <w:rFonts w:ascii="Calibri" w:hAnsi="Calibri"/>
        </w:rPr>
        <w:t xml:space="preserve"> of </w:t>
      </w:r>
      <w:r w:rsidR="00574B27" w:rsidRPr="00BA0298">
        <w:rPr>
          <w:rFonts w:ascii="Calibri" w:hAnsi="Calibri"/>
        </w:rPr>
        <w:t>Jashore and Shibganj a</w:t>
      </w:r>
      <w:r w:rsidRPr="00BA0298">
        <w:rPr>
          <w:rFonts w:ascii="Calibri" w:hAnsi="Calibri"/>
        </w:rPr>
        <w:t xml:space="preserve">re examined and aggregated </w:t>
      </w:r>
      <w:r w:rsidR="00574B27" w:rsidRPr="00BA0298">
        <w:rPr>
          <w:rFonts w:ascii="Calibri" w:hAnsi="Calibri"/>
        </w:rPr>
        <w:t>showing</w:t>
      </w:r>
      <w:r w:rsidRPr="00BA0298">
        <w:rPr>
          <w:rFonts w:ascii="Calibri" w:hAnsi="Calibri"/>
        </w:rPr>
        <w:t xml:space="preserve"> the most important growth areas;</w:t>
      </w:r>
    </w:p>
    <w:p w14:paraId="03A31DEC" w14:textId="48D6D5E0" w:rsidR="006D2CE5" w:rsidRPr="00BA0298" w:rsidRDefault="006D2CE5" w:rsidP="006D2CE5">
      <w:pPr>
        <w:pStyle w:val="ListBullet"/>
        <w:numPr>
          <w:ilvl w:val="0"/>
          <w:numId w:val="2"/>
        </w:numPr>
        <w:ind w:left="340" w:hanging="340"/>
        <w:rPr>
          <w:rFonts w:ascii="Calibri" w:hAnsi="Calibri"/>
        </w:rPr>
      </w:pPr>
      <w:r w:rsidRPr="00BA0298">
        <w:rPr>
          <w:rFonts w:ascii="Calibri" w:hAnsi="Calibri"/>
        </w:rPr>
        <w:t xml:space="preserve">Field research </w:t>
      </w:r>
      <w:r w:rsidR="00574B27" w:rsidRPr="00BA0298">
        <w:rPr>
          <w:rFonts w:ascii="Calibri" w:hAnsi="Calibri"/>
        </w:rPr>
        <w:t>to be</w:t>
      </w:r>
      <w:r w:rsidRPr="00BA0298">
        <w:rPr>
          <w:rFonts w:ascii="Calibri" w:hAnsi="Calibri"/>
        </w:rPr>
        <w:t xml:space="preserve"> conducted during </w:t>
      </w:r>
      <w:r w:rsidR="00574B27" w:rsidRPr="00BA0298">
        <w:rPr>
          <w:rFonts w:ascii="Calibri" w:hAnsi="Calibri"/>
        </w:rPr>
        <w:t xml:space="preserve">the </w:t>
      </w:r>
      <w:r w:rsidR="001D6005" w:rsidRPr="00BA0298">
        <w:rPr>
          <w:rFonts w:ascii="Calibri" w:hAnsi="Calibri"/>
        </w:rPr>
        <w:t xml:space="preserve">1st and </w:t>
      </w:r>
      <w:r w:rsidR="006A4A21" w:rsidRPr="00BA0298">
        <w:rPr>
          <w:rFonts w:ascii="Calibri" w:hAnsi="Calibri"/>
        </w:rPr>
        <w:t>2nd</w:t>
      </w:r>
      <w:r w:rsidR="00574B27" w:rsidRPr="00BA0298">
        <w:rPr>
          <w:rFonts w:ascii="Calibri" w:hAnsi="Calibri"/>
        </w:rPr>
        <w:t xml:space="preserve"> month</w:t>
      </w:r>
      <w:r w:rsidRPr="00BA0298">
        <w:rPr>
          <w:rFonts w:ascii="Calibri" w:hAnsi="Calibri"/>
        </w:rPr>
        <w:t xml:space="preserve"> in</w:t>
      </w:r>
      <w:r w:rsidR="00FB060D" w:rsidRPr="00BA0298">
        <w:rPr>
          <w:rFonts w:ascii="Calibri" w:hAnsi="Calibri"/>
        </w:rPr>
        <w:t xml:space="preserve"> </w:t>
      </w:r>
      <w:r w:rsidR="001D6005" w:rsidRPr="00BA0298">
        <w:rPr>
          <w:rFonts w:ascii="Calibri" w:hAnsi="Calibri"/>
        </w:rPr>
        <w:t xml:space="preserve">the 2 </w:t>
      </w:r>
      <w:r w:rsidR="00FB060D" w:rsidRPr="00BA0298">
        <w:rPr>
          <w:rFonts w:ascii="Calibri" w:hAnsi="Calibri"/>
        </w:rPr>
        <w:t>municipalities</w:t>
      </w:r>
      <w:r w:rsidR="001D6005" w:rsidRPr="00BA0298">
        <w:rPr>
          <w:rFonts w:ascii="Calibri" w:hAnsi="Calibri"/>
        </w:rPr>
        <w:t xml:space="preserve"> and</w:t>
      </w:r>
      <w:r w:rsidRPr="00BA0298">
        <w:rPr>
          <w:rFonts w:ascii="Calibri" w:hAnsi="Calibri"/>
        </w:rPr>
        <w:t xml:space="preserve"> </w:t>
      </w:r>
      <w:r w:rsidR="00574B27" w:rsidRPr="00BA0298">
        <w:rPr>
          <w:rFonts w:ascii="Calibri" w:hAnsi="Calibri"/>
        </w:rPr>
        <w:t>the major cities (Dhaka</w:t>
      </w:r>
      <w:r w:rsidRPr="00BA0298">
        <w:rPr>
          <w:rFonts w:ascii="Calibri" w:hAnsi="Calibri"/>
        </w:rPr>
        <w:t xml:space="preserve">, </w:t>
      </w:r>
      <w:r w:rsidR="00BA0298">
        <w:rPr>
          <w:rFonts w:ascii="Calibri" w:hAnsi="Calibri"/>
        </w:rPr>
        <w:t>Chattogram</w:t>
      </w:r>
      <w:r w:rsidRPr="00BA0298">
        <w:rPr>
          <w:rFonts w:ascii="Calibri" w:hAnsi="Calibri"/>
        </w:rPr>
        <w:t>) narrow</w:t>
      </w:r>
      <w:r w:rsidR="001D6005" w:rsidRPr="00BA0298">
        <w:rPr>
          <w:rFonts w:ascii="Calibri" w:hAnsi="Calibri"/>
        </w:rPr>
        <w:t>ing</w:t>
      </w:r>
      <w:r w:rsidRPr="00BA0298">
        <w:rPr>
          <w:rFonts w:ascii="Calibri" w:hAnsi="Calibri"/>
        </w:rPr>
        <w:t xml:space="preserve"> down the number of potential sectors based on the buyers’ assessment of firms’ capacity and performance to meet the changing demand, and on the assessment of industry capacity to meet requirements in volume and quantity; and</w:t>
      </w:r>
    </w:p>
    <w:p w14:paraId="23BFAB4C" w14:textId="23B3AC7B" w:rsidR="006D2CE5" w:rsidRDefault="006D2CE5" w:rsidP="006D2CE5">
      <w:pPr>
        <w:pStyle w:val="ListBullet"/>
        <w:numPr>
          <w:ilvl w:val="0"/>
          <w:numId w:val="2"/>
        </w:numPr>
        <w:ind w:left="340" w:hanging="340"/>
        <w:rPr>
          <w:rFonts w:ascii="Calibri" w:hAnsi="Calibri"/>
        </w:rPr>
      </w:pPr>
      <w:r w:rsidRPr="00BA0298">
        <w:rPr>
          <w:rFonts w:ascii="Calibri" w:hAnsi="Calibri"/>
        </w:rPr>
        <w:t xml:space="preserve">In the 3rd phase, </w:t>
      </w:r>
      <w:r w:rsidR="00574B27" w:rsidRPr="00BA0298">
        <w:rPr>
          <w:rFonts w:ascii="Calibri" w:hAnsi="Calibri"/>
        </w:rPr>
        <w:t xml:space="preserve">for selected sectors/ products </w:t>
      </w:r>
      <w:r w:rsidRPr="00BA0298">
        <w:rPr>
          <w:rFonts w:ascii="Calibri" w:hAnsi="Calibri"/>
        </w:rPr>
        <w:t xml:space="preserve">a comparison between current and potential global demand and current capacities and structures </w:t>
      </w:r>
      <w:r w:rsidR="00574B27" w:rsidRPr="00BA0298">
        <w:rPr>
          <w:rFonts w:ascii="Calibri" w:hAnsi="Calibri"/>
        </w:rPr>
        <w:t>to be</w:t>
      </w:r>
      <w:r w:rsidRPr="00BA0298">
        <w:rPr>
          <w:rFonts w:ascii="Calibri" w:hAnsi="Calibri"/>
        </w:rPr>
        <w:t xml:space="preserve"> conducted. The identified performances and shortcomings </w:t>
      </w:r>
      <w:r w:rsidR="00574B27" w:rsidRPr="00BA0298">
        <w:rPr>
          <w:rFonts w:ascii="Calibri" w:hAnsi="Calibri"/>
        </w:rPr>
        <w:t>to be</w:t>
      </w:r>
      <w:r w:rsidRPr="00BA0298">
        <w:rPr>
          <w:rFonts w:ascii="Calibri" w:hAnsi="Calibri"/>
        </w:rPr>
        <w:t xml:space="preserve"> presented in a feedback workshop </w:t>
      </w:r>
      <w:r w:rsidR="00574B27" w:rsidRPr="00BA0298">
        <w:rPr>
          <w:rFonts w:ascii="Calibri" w:hAnsi="Calibri"/>
        </w:rPr>
        <w:t xml:space="preserve">at the end of the </w:t>
      </w:r>
      <w:r w:rsidR="006A4A21" w:rsidRPr="00BA0298">
        <w:rPr>
          <w:rFonts w:ascii="Calibri" w:hAnsi="Calibri"/>
        </w:rPr>
        <w:t xml:space="preserve">3rd </w:t>
      </w:r>
      <w:r w:rsidR="00574B27" w:rsidRPr="00BA0298">
        <w:rPr>
          <w:rFonts w:ascii="Calibri" w:hAnsi="Calibri"/>
        </w:rPr>
        <w:t>month</w:t>
      </w:r>
      <w:r w:rsidRPr="00BA0298">
        <w:rPr>
          <w:rFonts w:ascii="Calibri" w:hAnsi="Calibri"/>
        </w:rPr>
        <w:t xml:space="preserve">. </w:t>
      </w:r>
    </w:p>
    <w:p w14:paraId="1798EFC4" w14:textId="77777777" w:rsidR="00C0197F" w:rsidRPr="00C0197F" w:rsidRDefault="00C0197F" w:rsidP="00C0197F">
      <w:pPr>
        <w:pStyle w:val="Heading2"/>
        <w:numPr>
          <w:ilvl w:val="1"/>
          <w:numId w:val="9"/>
        </w:numPr>
        <w:rPr>
          <w:rFonts w:asciiTheme="minorHAnsi" w:hAnsiTheme="minorHAnsi" w:cstheme="minorHAnsi"/>
          <w:color w:val="2F5496"/>
          <w:szCs w:val="24"/>
          <w:lang w:eastAsia="de-DE"/>
        </w:rPr>
      </w:pPr>
      <w:r w:rsidRPr="00C0197F">
        <w:rPr>
          <w:rFonts w:asciiTheme="minorHAnsi" w:hAnsiTheme="minorHAnsi" w:cstheme="minorHAnsi"/>
          <w:color w:val="2F5496"/>
          <w:szCs w:val="24"/>
          <w:lang w:eastAsia="de-DE"/>
        </w:rPr>
        <w:t>Approach</w:t>
      </w:r>
    </w:p>
    <w:p w14:paraId="6132F33D" w14:textId="12BCFC35" w:rsidR="00C0197F" w:rsidRPr="00237302" w:rsidRDefault="00C0197F" w:rsidP="00C0197F">
      <w:pPr>
        <w:autoSpaceDE w:val="0"/>
        <w:autoSpaceDN w:val="0"/>
        <w:adjustRightInd w:val="0"/>
        <w:spacing w:after="120"/>
        <w:jc w:val="both"/>
        <w:rPr>
          <w:rFonts w:cstheme="minorHAnsi"/>
          <w:color w:val="000000" w:themeColor="text1"/>
          <w:lang w:val="en-GB"/>
        </w:rPr>
      </w:pPr>
      <w:r w:rsidRPr="00237302">
        <w:rPr>
          <w:rFonts w:cstheme="minorHAnsi"/>
          <w:color w:val="000000" w:themeColor="text1"/>
          <w:lang w:val="en-GB"/>
        </w:rPr>
        <w:t xml:space="preserve">This </w:t>
      </w:r>
      <w:r>
        <w:rPr>
          <w:rFonts w:cstheme="minorHAnsi"/>
          <w:color w:val="000000" w:themeColor="text1"/>
          <w:lang w:val="en-GB"/>
        </w:rPr>
        <w:t>study</w:t>
      </w:r>
      <w:r w:rsidRPr="00237302">
        <w:rPr>
          <w:rFonts w:cstheme="minorHAnsi"/>
          <w:color w:val="000000" w:themeColor="text1"/>
          <w:lang w:val="en-GB"/>
        </w:rPr>
        <w:t xml:space="preserve"> will employ mixed method approach—both quantitative and qualitative and will triangulate data gathered from different sources including secondary literature, sample questionnaire survey, focus group discussions and key-informant interviews. </w:t>
      </w:r>
    </w:p>
    <w:p w14:paraId="7AAA5E79" w14:textId="77777777" w:rsidR="00C0197F" w:rsidRDefault="00C0197F" w:rsidP="00C0197F">
      <w:pPr>
        <w:pStyle w:val="BodyText"/>
      </w:pPr>
      <w:r w:rsidRPr="00693EB4">
        <w:t xml:space="preserve">Although the objective of this assignment is to identify the sub-sectors/economic areas of </w:t>
      </w:r>
      <w:r>
        <w:t>the municipalities</w:t>
      </w:r>
      <w:r w:rsidRPr="00693EB4">
        <w:t xml:space="preserve"> having </w:t>
      </w:r>
      <w:r>
        <w:t xml:space="preserve">a </w:t>
      </w:r>
      <w:r w:rsidRPr="00693EB4">
        <w:t>potential competitive edge in global markets,</w:t>
      </w:r>
      <w:r>
        <w:t xml:space="preserve"> insofar as </w:t>
      </w:r>
      <w:r w:rsidRPr="00693EB4">
        <w:t xml:space="preserve">the consultants </w:t>
      </w:r>
      <w:proofErr w:type="gramStart"/>
      <w:r>
        <w:t>a</w:t>
      </w:r>
      <w:r w:rsidRPr="00693EB4">
        <w:t>re able to</w:t>
      </w:r>
      <w:proofErr w:type="gramEnd"/>
      <w:r w:rsidRPr="00693EB4">
        <w:t xml:space="preserve"> obtain </w:t>
      </w:r>
      <w:r>
        <w:t xml:space="preserve">sufficient </w:t>
      </w:r>
      <w:r w:rsidRPr="00693EB4">
        <w:t>data on the newly emerging sub-sectors.</w:t>
      </w:r>
    </w:p>
    <w:p w14:paraId="74F736B3" w14:textId="77777777" w:rsidR="00C0197F" w:rsidRPr="00C0197F" w:rsidRDefault="00C0197F" w:rsidP="00C0197F">
      <w:pPr>
        <w:pStyle w:val="BodyText"/>
        <w:rPr>
          <w:rFonts w:ascii="Calibri" w:hAnsi="Calibri"/>
        </w:rPr>
      </w:pPr>
      <w:r w:rsidRPr="00C0197F">
        <w:rPr>
          <w:rFonts w:ascii="Calibri" w:hAnsi="Calibri"/>
        </w:rPr>
        <w:t>Consultants will not come up with technical solutions for very specific sector-problems. This is basically up to the stakeholders involved in those sectors and the sector experts consulting them. The project is facilitating the process of identifying economic potentials and feeding them into the strategy formulation process without finding remedies for every sector problem.</w:t>
      </w:r>
    </w:p>
    <w:p w14:paraId="4AFA5CD9" w14:textId="77777777" w:rsidR="00C0197F" w:rsidRPr="00C0197F" w:rsidRDefault="00C0197F" w:rsidP="00C0197F">
      <w:pPr>
        <w:pStyle w:val="BodyText"/>
        <w:rPr>
          <w:rFonts w:ascii="Calibri" w:hAnsi="Calibri"/>
        </w:rPr>
      </w:pPr>
      <w:r w:rsidRPr="00C0197F">
        <w:rPr>
          <w:rFonts w:ascii="Calibri" w:hAnsi="Calibri"/>
        </w:rPr>
        <w:t xml:space="preserve">Quality of the study will depend on the statistical trade data of the municipalities / districts. As the consultant will look for data over a period of 5 years a general trend should be visible. </w:t>
      </w:r>
    </w:p>
    <w:p w14:paraId="01C8D95C" w14:textId="77777777" w:rsidR="00C0197F" w:rsidRPr="00C0197F" w:rsidRDefault="00C0197F" w:rsidP="00C0197F">
      <w:pPr>
        <w:pStyle w:val="BodyText"/>
        <w:rPr>
          <w:rFonts w:ascii="Calibri" w:hAnsi="Calibri"/>
        </w:rPr>
      </w:pPr>
      <w:r w:rsidRPr="00C0197F">
        <w:rPr>
          <w:rFonts w:ascii="Calibri" w:hAnsi="Calibri"/>
        </w:rPr>
        <w:t xml:space="preserve">Other statistical data such as number of enterprises, employment or investment by sub-sector should be very useful for the assessment of the future competitiveness and potential of various sub-sectors. </w:t>
      </w:r>
    </w:p>
    <w:p w14:paraId="49C887E5" w14:textId="084D377E" w:rsidR="006A4A21" w:rsidRPr="00C25E3E" w:rsidRDefault="006A4A21" w:rsidP="00924393">
      <w:pPr>
        <w:pStyle w:val="Heading2"/>
        <w:numPr>
          <w:ilvl w:val="1"/>
          <w:numId w:val="9"/>
        </w:numPr>
        <w:rPr>
          <w:rFonts w:asciiTheme="minorHAnsi" w:hAnsiTheme="minorHAnsi" w:cstheme="minorHAnsi"/>
          <w:color w:val="2F5496"/>
          <w:szCs w:val="24"/>
          <w:lang w:eastAsia="de-DE"/>
        </w:rPr>
      </w:pPr>
      <w:r w:rsidRPr="00C25E3E">
        <w:rPr>
          <w:rFonts w:asciiTheme="minorHAnsi" w:hAnsiTheme="minorHAnsi" w:cstheme="minorHAnsi"/>
          <w:color w:val="2F5496"/>
          <w:szCs w:val="24"/>
          <w:lang w:eastAsia="de-DE"/>
        </w:rPr>
        <w:t>Propo</w:t>
      </w:r>
      <w:r w:rsidR="009D35FA" w:rsidRPr="00C25E3E">
        <w:rPr>
          <w:rFonts w:asciiTheme="minorHAnsi" w:hAnsiTheme="minorHAnsi" w:cstheme="minorHAnsi"/>
          <w:color w:val="2F5496"/>
          <w:szCs w:val="24"/>
          <w:lang w:eastAsia="de-DE"/>
        </w:rPr>
        <w:t>sed Methodology</w:t>
      </w:r>
    </w:p>
    <w:p w14:paraId="33C665FC" w14:textId="77777777" w:rsidR="00BA0298" w:rsidRPr="00924393" w:rsidRDefault="00BA0298" w:rsidP="00BA0298">
      <w:pPr>
        <w:pStyle w:val="BodyText"/>
        <w:rPr>
          <w:rFonts w:ascii="Calibri" w:hAnsi="Calibri"/>
          <w:szCs w:val="22"/>
        </w:rPr>
      </w:pPr>
      <w:r w:rsidRPr="00924393">
        <w:rPr>
          <w:rFonts w:ascii="Calibri" w:hAnsi="Calibri"/>
          <w:szCs w:val="22"/>
        </w:rPr>
        <w:t xml:space="preserve">As domestic trade data are not available at municipality level the study will essentially rely on export data and thus on the global market perspective (Meyer-Stamer, 2000). Buyers and customers from Dhaka, </w:t>
      </w:r>
      <w:r>
        <w:rPr>
          <w:rFonts w:ascii="Calibri" w:hAnsi="Calibri"/>
          <w:szCs w:val="22"/>
        </w:rPr>
        <w:t>Chattogram</w:t>
      </w:r>
      <w:r w:rsidRPr="00924393">
        <w:rPr>
          <w:rFonts w:ascii="Calibri" w:hAnsi="Calibri"/>
          <w:szCs w:val="22"/>
        </w:rPr>
        <w:t xml:space="preserve"> or foreign buyers, will also be approached to find out if the producers of the 2 municipalities understand and meet their more sophisticated requirements and so-doing upgrade their production.</w:t>
      </w:r>
    </w:p>
    <w:p w14:paraId="5D43482A" w14:textId="77777777" w:rsidR="00BA0298" w:rsidRPr="00924393" w:rsidRDefault="00BA0298" w:rsidP="00BA0298">
      <w:pPr>
        <w:pStyle w:val="BodyText"/>
        <w:rPr>
          <w:rFonts w:ascii="Calibri" w:hAnsi="Calibri"/>
          <w:szCs w:val="22"/>
        </w:rPr>
      </w:pPr>
      <w:r w:rsidRPr="00924393">
        <w:rPr>
          <w:rFonts w:ascii="Calibri" w:hAnsi="Calibri"/>
          <w:szCs w:val="22"/>
        </w:rPr>
        <w:t xml:space="preserve">The selection of the subsectors will also be determined by the </w:t>
      </w:r>
      <w:r w:rsidRPr="00924393">
        <w:rPr>
          <w:rFonts w:ascii="Calibri" w:hAnsi="Calibri"/>
          <w:b/>
          <w:szCs w:val="22"/>
        </w:rPr>
        <w:t>higher potential value-added</w:t>
      </w:r>
      <w:r w:rsidRPr="00924393">
        <w:rPr>
          <w:rFonts w:ascii="Calibri" w:hAnsi="Calibri"/>
          <w:szCs w:val="22"/>
        </w:rPr>
        <w:t xml:space="preserve"> activities in economic areas like food processing, horticulture… and in the cities light and automotive industries, handicrafts, with a view on service/product and process innovation. </w:t>
      </w:r>
    </w:p>
    <w:p w14:paraId="0B1B3DCE" w14:textId="475221C2" w:rsidR="006D2CE5" w:rsidRDefault="006D2CE5" w:rsidP="006D2CE5">
      <w:pPr>
        <w:pStyle w:val="ListBullet"/>
        <w:rPr>
          <w:rFonts w:ascii="Calibri" w:hAnsi="Calibri"/>
        </w:rPr>
      </w:pPr>
      <w:r w:rsidRPr="00C0197F">
        <w:rPr>
          <w:rFonts w:ascii="Calibri" w:hAnsi="Calibri"/>
        </w:rPr>
        <w:t xml:space="preserve">The following </w:t>
      </w:r>
      <w:r w:rsidR="00476C24" w:rsidRPr="00C0197F">
        <w:rPr>
          <w:rFonts w:ascii="Calibri" w:hAnsi="Calibri"/>
        </w:rPr>
        <w:t>table</w:t>
      </w:r>
      <w:r w:rsidRPr="00C0197F">
        <w:rPr>
          <w:rFonts w:ascii="Calibri" w:hAnsi="Calibri"/>
        </w:rPr>
        <w:t xml:space="preserve"> summarizes the different steps of the economic potential study.</w:t>
      </w:r>
    </w:p>
    <w:p w14:paraId="34E5F501" w14:textId="77777777" w:rsidR="001E49E9" w:rsidRPr="00C0197F" w:rsidRDefault="001E49E9" w:rsidP="006D2CE5">
      <w:pPr>
        <w:pStyle w:val="ListBullet"/>
        <w:rPr>
          <w:rFonts w:ascii="Calibri" w:hAnsi="Calibri"/>
        </w:rPr>
      </w:pPr>
    </w:p>
    <w:tbl>
      <w:tblPr>
        <w:tblStyle w:val="TableGrid"/>
        <w:tblW w:w="9645" w:type="dxa"/>
        <w:tblInd w:w="340" w:type="dxa"/>
        <w:tblLook w:val="04A0" w:firstRow="1" w:lastRow="0" w:firstColumn="1" w:lastColumn="0" w:noHBand="0" w:noVBand="1"/>
      </w:tblPr>
      <w:tblGrid>
        <w:gridCol w:w="2175"/>
        <w:gridCol w:w="7470"/>
      </w:tblGrid>
      <w:tr w:rsidR="00476C24" w14:paraId="2CC4F7AB" w14:textId="77777777" w:rsidTr="00476C24">
        <w:tc>
          <w:tcPr>
            <w:tcW w:w="9645" w:type="dxa"/>
            <w:gridSpan w:val="2"/>
          </w:tcPr>
          <w:p w14:paraId="4E2D22B8" w14:textId="04D277C4" w:rsidR="00476C24" w:rsidRPr="00C0197F" w:rsidRDefault="00C0197F" w:rsidP="00476C24">
            <w:pPr>
              <w:pStyle w:val="ListBullet"/>
              <w:ind w:left="0" w:firstLine="0"/>
              <w:jc w:val="center"/>
              <w:rPr>
                <w:rFonts w:ascii="Calibri" w:hAnsi="Calibri"/>
                <w:b/>
                <w:sz w:val="28"/>
              </w:rPr>
            </w:pPr>
            <w:r w:rsidRPr="00C0197F">
              <w:rPr>
                <w:rFonts w:ascii="Calibri" w:hAnsi="Calibri"/>
                <w:b/>
                <w:sz w:val="28"/>
              </w:rPr>
              <w:lastRenderedPageBreak/>
              <w:t>LED Ja</w:t>
            </w:r>
            <w:r w:rsidR="00476C24" w:rsidRPr="00C0197F">
              <w:rPr>
                <w:rFonts w:ascii="Calibri" w:hAnsi="Calibri"/>
                <w:b/>
                <w:sz w:val="28"/>
              </w:rPr>
              <w:t>shore and Shibganj</w:t>
            </w:r>
          </w:p>
          <w:p w14:paraId="4BDEDCE3" w14:textId="66A58E2A" w:rsidR="00476C24" w:rsidRDefault="00476C24" w:rsidP="00476C24">
            <w:pPr>
              <w:pStyle w:val="ListBullet"/>
              <w:ind w:left="0" w:firstLine="0"/>
              <w:jc w:val="center"/>
            </w:pPr>
            <w:r w:rsidRPr="00C0197F">
              <w:rPr>
                <w:rFonts w:ascii="Calibri" w:hAnsi="Calibri"/>
                <w:b/>
                <w:sz w:val="28"/>
              </w:rPr>
              <w:t>Local economic potential study (Methodology)</w:t>
            </w:r>
          </w:p>
        </w:tc>
      </w:tr>
      <w:tr w:rsidR="00476C24" w14:paraId="24D0CD70" w14:textId="77777777" w:rsidTr="00476C24">
        <w:tc>
          <w:tcPr>
            <w:tcW w:w="2175" w:type="dxa"/>
            <w:vMerge w:val="restart"/>
          </w:tcPr>
          <w:p w14:paraId="1B5E1ABD" w14:textId="1FBD1EDF" w:rsidR="00476C24" w:rsidRPr="00C0197F" w:rsidRDefault="00476C24" w:rsidP="006D51FE">
            <w:pPr>
              <w:pStyle w:val="ListBullet"/>
              <w:numPr>
                <w:ilvl w:val="0"/>
                <w:numId w:val="3"/>
              </w:numPr>
              <w:rPr>
                <w:rFonts w:ascii="Calibri" w:hAnsi="Calibri"/>
                <w:b/>
                <w:sz w:val="24"/>
              </w:rPr>
            </w:pPr>
            <w:r w:rsidRPr="00C0197F">
              <w:rPr>
                <w:rFonts w:ascii="Calibri" w:hAnsi="Calibri"/>
                <w:b/>
                <w:sz w:val="24"/>
              </w:rPr>
              <w:t xml:space="preserve">In-depth desk research </w:t>
            </w:r>
          </w:p>
        </w:tc>
        <w:tc>
          <w:tcPr>
            <w:tcW w:w="7470" w:type="dxa"/>
          </w:tcPr>
          <w:p w14:paraId="0434804F" w14:textId="37CED849" w:rsidR="00476C24" w:rsidRPr="00C0197F" w:rsidRDefault="00476C24" w:rsidP="006D2CE5">
            <w:pPr>
              <w:pStyle w:val="ListBullet"/>
              <w:ind w:left="0" w:firstLine="0"/>
              <w:rPr>
                <w:rFonts w:ascii="Calibri" w:hAnsi="Calibri"/>
              </w:rPr>
            </w:pPr>
            <w:r w:rsidRPr="00C0197F">
              <w:rPr>
                <w:rFonts w:ascii="Calibri" w:hAnsi="Calibri"/>
              </w:rPr>
              <w:t>Identification of 3-4 existing and emerging sub-sectors with a high trading volume / added value</w:t>
            </w:r>
          </w:p>
        </w:tc>
      </w:tr>
      <w:tr w:rsidR="00476C24" w14:paraId="733264A5" w14:textId="77777777" w:rsidTr="00476C24">
        <w:tc>
          <w:tcPr>
            <w:tcW w:w="2175" w:type="dxa"/>
            <w:vMerge/>
          </w:tcPr>
          <w:p w14:paraId="79661288" w14:textId="7B9482DC" w:rsidR="00476C24" w:rsidRPr="00C0197F" w:rsidRDefault="00476C24" w:rsidP="00045DB6">
            <w:pPr>
              <w:pStyle w:val="ListBullet"/>
              <w:ind w:left="720" w:firstLine="0"/>
              <w:rPr>
                <w:rFonts w:ascii="Calibri" w:hAnsi="Calibri"/>
                <w:b/>
                <w:sz w:val="24"/>
              </w:rPr>
            </w:pPr>
          </w:p>
        </w:tc>
        <w:tc>
          <w:tcPr>
            <w:tcW w:w="7470" w:type="dxa"/>
          </w:tcPr>
          <w:p w14:paraId="5BE1EB3C" w14:textId="53E4BDBA" w:rsidR="00476C24" w:rsidRPr="00C0197F" w:rsidRDefault="00476C24" w:rsidP="006D2CE5">
            <w:pPr>
              <w:pStyle w:val="ListBullet"/>
              <w:ind w:left="0" w:firstLine="0"/>
              <w:rPr>
                <w:rFonts w:ascii="Calibri" w:hAnsi="Calibri"/>
              </w:rPr>
            </w:pPr>
            <w:r w:rsidRPr="00C0197F">
              <w:rPr>
                <w:rFonts w:ascii="Calibri" w:hAnsi="Calibri"/>
              </w:rPr>
              <w:t>Identification of 3-5 products and services with a stable growth traded over the last 5 years</w:t>
            </w:r>
          </w:p>
        </w:tc>
      </w:tr>
      <w:tr w:rsidR="00476C24" w14:paraId="040BD949" w14:textId="77777777" w:rsidTr="00476C24">
        <w:trPr>
          <w:trHeight w:val="629"/>
        </w:trPr>
        <w:tc>
          <w:tcPr>
            <w:tcW w:w="2175" w:type="dxa"/>
            <w:vMerge/>
          </w:tcPr>
          <w:p w14:paraId="6F4BF869" w14:textId="77777777" w:rsidR="00476C24" w:rsidRPr="00C0197F" w:rsidRDefault="00476C24" w:rsidP="006D2CE5">
            <w:pPr>
              <w:pStyle w:val="ListBullet"/>
              <w:ind w:left="0" w:firstLine="0"/>
              <w:rPr>
                <w:rFonts w:ascii="Calibri" w:hAnsi="Calibri"/>
                <w:b/>
                <w:sz w:val="24"/>
              </w:rPr>
            </w:pPr>
          </w:p>
        </w:tc>
        <w:tc>
          <w:tcPr>
            <w:tcW w:w="7470" w:type="dxa"/>
          </w:tcPr>
          <w:p w14:paraId="5085D8B1" w14:textId="5DA7DF5E" w:rsidR="00476C24" w:rsidRPr="00C0197F" w:rsidRDefault="00476C24" w:rsidP="006D2CE5">
            <w:pPr>
              <w:pStyle w:val="ListBullet"/>
              <w:ind w:left="0" w:firstLine="0"/>
              <w:rPr>
                <w:rFonts w:ascii="Calibri" w:hAnsi="Calibri"/>
              </w:rPr>
            </w:pPr>
            <w:r w:rsidRPr="00C0197F">
              <w:rPr>
                <w:rFonts w:ascii="Calibri" w:hAnsi="Calibri"/>
              </w:rPr>
              <w:t>Identification of 2-3 products which appear nationally and internationally competitive and are among the priorities of the 2 municipalities</w:t>
            </w:r>
          </w:p>
        </w:tc>
      </w:tr>
      <w:tr w:rsidR="00476C24" w14:paraId="2EC3E0CE" w14:textId="77777777" w:rsidTr="00476C24">
        <w:tc>
          <w:tcPr>
            <w:tcW w:w="2175" w:type="dxa"/>
            <w:vMerge w:val="restart"/>
          </w:tcPr>
          <w:p w14:paraId="559B7EFD" w14:textId="552C1D2A" w:rsidR="00476C24" w:rsidRPr="00C0197F" w:rsidRDefault="00476C24" w:rsidP="00C0197F">
            <w:pPr>
              <w:pStyle w:val="CommentText"/>
              <w:numPr>
                <w:ilvl w:val="0"/>
                <w:numId w:val="3"/>
              </w:numPr>
              <w:rPr>
                <w:rFonts w:ascii="Calibri" w:hAnsi="Calibri"/>
                <w:b/>
                <w:sz w:val="24"/>
              </w:rPr>
            </w:pPr>
            <w:r w:rsidRPr="00C0197F">
              <w:rPr>
                <w:rFonts w:ascii="Calibri" w:hAnsi="Calibri"/>
                <w:b/>
                <w:sz w:val="24"/>
              </w:rPr>
              <w:t xml:space="preserve">Field </w:t>
            </w:r>
            <w:proofErr w:type="gramStart"/>
            <w:r w:rsidRPr="00C0197F">
              <w:rPr>
                <w:rFonts w:ascii="Calibri" w:hAnsi="Calibri"/>
                <w:b/>
                <w:sz w:val="24"/>
              </w:rPr>
              <w:t xml:space="preserve">research </w:t>
            </w:r>
            <w:r w:rsidR="00C0197F">
              <w:rPr>
                <w:rFonts w:ascii="Calibri" w:hAnsi="Calibri"/>
                <w:b/>
                <w:sz w:val="24"/>
              </w:rPr>
              <w:t xml:space="preserve"> </w:t>
            </w:r>
            <w:r w:rsidR="00C0197F" w:rsidRPr="00C0197F">
              <w:rPr>
                <w:rFonts w:ascii="Calibri" w:hAnsi="Calibri"/>
                <w:sz w:val="24"/>
              </w:rPr>
              <w:t>(</w:t>
            </w:r>
            <w:proofErr w:type="gramEnd"/>
            <w:r w:rsidR="00C0197F">
              <w:t>methodology will be determined in consultation with the selected firm and municipality body)</w:t>
            </w:r>
          </w:p>
        </w:tc>
        <w:tc>
          <w:tcPr>
            <w:tcW w:w="7470" w:type="dxa"/>
          </w:tcPr>
          <w:p w14:paraId="496395F6" w14:textId="361E8727" w:rsidR="00476C24" w:rsidRPr="00C0197F" w:rsidRDefault="00476C24" w:rsidP="006D2CE5">
            <w:pPr>
              <w:pStyle w:val="ListBullet"/>
              <w:ind w:left="0" w:firstLine="0"/>
              <w:rPr>
                <w:rFonts w:ascii="Calibri" w:hAnsi="Calibri"/>
              </w:rPr>
            </w:pPr>
            <w:r w:rsidRPr="00C0197F">
              <w:rPr>
                <w:rFonts w:ascii="Calibri" w:hAnsi="Calibri"/>
              </w:rPr>
              <w:t xml:space="preserve">Assessment of the competitiveness of the 2-3 products based on the assessment of the </w:t>
            </w:r>
            <w:r w:rsidRPr="00C0197F">
              <w:rPr>
                <w:rFonts w:ascii="Calibri" w:hAnsi="Calibri"/>
                <w:i/>
              </w:rPr>
              <w:t>Critical Success Factors</w:t>
            </w:r>
            <w:r w:rsidRPr="00C0197F">
              <w:rPr>
                <w:rFonts w:ascii="Calibri" w:hAnsi="Calibri"/>
              </w:rPr>
              <w:t xml:space="preserve">  </w:t>
            </w:r>
          </w:p>
        </w:tc>
      </w:tr>
      <w:tr w:rsidR="00476C24" w14:paraId="256DD52D" w14:textId="77777777" w:rsidTr="00476C24">
        <w:tc>
          <w:tcPr>
            <w:tcW w:w="2175" w:type="dxa"/>
            <w:vMerge/>
          </w:tcPr>
          <w:p w14:paraId="2B93FD67" w14:textId="77777777" w:rsidR="00476C24" w:rsidRPr="00C0197F" w:rsidRDefault="00476C24" w:rsidP="006D2CE5">
            <w:pPr>
              <w:pStyle w:val="ListBullet"/>
              <w:ind w:left="0" w:firstLine="0"/>
              <w:rPr>
                <w:rFonts w:ascii="Calibri" w:hAnsi="Calibri"/>
                <w:b/>
                <w:sz w:val="24"/>
              </w:rPr>
            </w:pPr>
          </w:p>
        </w:tc>
        <w:tc>
          <w:tcPr>
            <w:tcW w:w="7470" w:type="dxa"/>
          </w:tcPr>
          <w:p w14:paraId="676D2598" w14:textId="4C7E79A3" w:rsidR="00476C24" w:rsidRPr="00C0197F" w:rsidRDefault="00476C24" w:rsidP="006D2CE5">
            <w:pPr>
              <w:pStyle w:val="ListBullet"/>
              <w:ind w:left="0" w:firstLine="0"/>
              <w:rPr>
                <w:rFonts w:ascii="Calibri" w:hAnsi="Calibri"/>
              </w:rPr>
            </w:pPr>
            <w:r w:rsidRPr="00C0197F">
              <w:rPr>
                <w:rFonts w:ascii="Calibri" w:hAnsi="Calibri"/>
              </w:rPr>
              <w:t xml:space="preserve">Assessment of the institutional and policy framework, including the supporting industries </w:t>
            </w:r>
          </w:p>
        </w:tc>
      </w:tr>
      <w:tr w:rsidR="00476C24" w14:paraId="71E9C20D" w14:textId="77777777" w:rsidTr="00476C24">
        <w:tc>
          <w:tcPr>
            <w:tcW w:w="2175" w:type="dxa"/>
            <w:vMerge/>
          </w:tcPr>
          <w:p w14:paraId="0197D4A0" w14:textId="77777777" w:rsidR="00476C24" w:rsidRPr="00C0197F" w:rsidRDefault="00476C24" w:rsidP="006D2CE5">
            <w:pPr>
              <w:pStyle w:val="ListBullet"/>
              <w:ind w:left="0" w:firstLine="0"/>
              <w:rPr>
                <w:rFonts w:ascii="Calibri" w:hAnsi="Calibri"/>
                <w:b/>
                <w:sz w:val="24"/>
              </w:rPr>
            </w:pPr>
          </w:p>
        </w:tc>
        <w:tc>
          <w:tcPr>
            <w:tcW w:w="7470" w:type="dxa"/>
          </w:tcPr>
          <w:p w14:paraId="38C4B739" w14:textId="5AED7CEF" w:rsidR="00476C24" w:rsidRPr="00C0197F" w:rsidRDefault="00476C24" w:rsidP="006D2CE5">
            <w:pPr>
              <w:pStyle w:val="ListBullet"/>
              <w:ind w:left="0" w:firstLine="0"/>
              <w:rPr>
                <w:rFonts w:ascii="Calibri" w:hAnsi="Calibri"/>
              </w:rPr>
            </w:pPr>
            <w:r w:rsidRPr="00C0197F">
              <w:rPr>
                <w:rFonts w:ascii="Calibri" w:hAnsi="Calibri"/>
              </w:rPr>
              <w:t xml:space="preserve">Initial identification of linkages to exporters and international buyers </w:t>
            </w:r>
          </w:p>
        </w:tc>
      </w:tr>
      <w:tr w:rsidR="00476C24" w14:paraId="7B1F3D6A" w14:textId="77777777" w:rsidTr="00476C24">
        <w:tc>
          <w:tcPr>
            <w:tcW w:w="2175" w:type="dxa"/>
            <w:vMerge w:val="restart"/>
          </w:tcPr>
          <w:p w14:paraId="2FC64F1B" w14:textId="42ABC7D3" w:rsidR="00476C24" w:rsidRPr="00C0197F" w:rsidRDefault="006A4A21" w:rsidP="00705988">
            <w:pPr>
              <w:pStyle w:val="ListBullet"/>
              <w:numPr>
                <w:ilvl w:val="0"/>
                <w:numId w:val="3"/>
              </w:numPr>
              <w:rPr>
                <w:rFonts w:ascii="Calibri" w:hAnsi="Calibri"/>
                <w:b/>
                <w:sz w:val="24"/>
              </w:rPr>
            </w:pPr>
            <w:r w:rsidRPr="00C0197F">
              <w:rPr>
                <w:rFonts w:ascii="Calibri" w:hAnsi="Calibri"/>
                <w:b/>
                <w:sz w:val="24"/>
              </w:rPr>
              <w:t>R</w:t>
            </w:r>
            <w:r w:rsidR="00476C24" w:rsidRPr="00C0197F">
              <w:rPr>
                <w:rFonts w:ascii="Calibri" w:hAnsi="Calibri"/>
                <w:b/>
                <w:sz w:val="24"/>
              </w:rPr>
              <w:t>eporting</w:t>
            </w:r>
          </w:p>
        </w:tc>
        <w:tc>
          <w:tcPr>
            <w:tcW w:w="7470" w:type="dxa"/>
          </w:tcPr>
          <w:p w14:paraId="65D58550" w14:textId="41F49B67" w:rsidR="00476C24" w:rsidRPr="00C0197F" w:rsidRDefault="00476C24" w:rsidP="006D2CE5">
            <w:pPr>
              <w:pStyle w:val="ListBullet"/>
              <w:ind w:left="0" w:firstLine="0"/>
              <w:rPr>
                <w:rFonts w:ascii="Calibri" w:hAnsi="Calibri"/>
              </w:rPr>
            </w:pPr>
            <w:r w:rsidRPr="00C0197F">
              <w:rPr>
                <w:rFonts w:ascii="Calibri" w:hAnsi="Calibri"/>
              </w:rPr>
              <w:t>Compiled analysis of the international competitiveness of products and subsectors</w:t>
            </w:r>
          </w:p>
        </w:tc>
      </w:tr>
      <w:tr w:rsidR="00476C24" w14:paraId="2802DD65" w14:textId="77777777" w:rsidTr="00476C24">
        <w:trPr>
          <w:trHeight w:val="287"/>
        </w:trPr>
        <w:tc>
          <w:tcPr>
            <w:tcW w:w="2175" w:type="dxa"/>
            <w:vMerge/>
          </w:tcPr>
          <w:p w14:paraId="58B38CD9" w14:textId="77777777" w:rsidR="00476C24" w:rsidRPr="00C0197F" w:rsidRDefault="00476C24" w:rsidP="006D2CE5">
            <w:pPr>
              <w:pStyle w:val="ListBullet"/>
              <w:ind w:left="0" w:firstLine="0"/>
              <w:rPr>
                <w:rFonts w:ascii="Calibri" w:hAnsi="Calibri"/>
              </w:rPr>
            </w:pPr>
          </w:p>
        </w:tc>
        <w:tc>
          <w:tcPr>
            <w:tcW w:w="7470" w:type="dxa"/>
          </w:tcPr>
          <w:p w14:paraId="7B2F4083" w14:textId="307BAADD" w:rsidR="00476C24" w:rsidRPr="00C0197F" w:rsidRDefault="00476C24" w:rsidP="006D2CE5">
            <w:pPr>
              <w:pStyle w:val="ListBullet"/>
              <w:ind w:left="0" w:firstLine="0"/>
              <w:rPr>
                <w:rFonts w:ascii="Calibri" w:hAnsi="Calibri"/>
              </w:rPr>
            </w:pPr>
            <w:r w:rsidRPr="00C0197F">
              <w:rPr>
                <w:rFonts w:ascii="Calibri" w:hAnsi="Calibri"/>
              </w:rPr>
              <w:t>Initial recommendation for the 2 municipalities in designing interventions in broad lines.</w:t>
            </w:r>
          </w:p>
        </w:tc>
      </w:tr>
    </w:tbl>
    <w:p w14:paraId="78841287" w14:textId="77777777" w:rsidR="006D2CE5" w:rsidRDefault="006D2CE5" w:rsidP="006D2CE5">
      <w:pPr>
        <w:pStyle w:val="ListBullet"/>
      </w:pPr>
    </w:p>
    <w:p w14:paraId="666B9B2A" w14:textId="77777777" w:rsidR="006D2CE5" w:rsidRPr="00C0197F" w:rsidRDefault="006D2CE5" w:rsidP="00924393">
      <w:pPr>
        <w:pStyle w:val="Heading2"/>
        <w:numPr>
          <w:ilvl w:val="1"/>
          <w:numId w:val="9"/>
        </w:numPr>
        <w:rPr>
          <w:rFonts w:asciiTheme="minorHAnsi" w:hAnsiTheme="minorHAnsi" w:cstheme="minorHAnsi"/>
          <w:color w:val="2F5496"/>
          <w:szCs w:val="24"/>
          <w:lang w:eastAsia="de-DE"/>
        </w:rPr>
      </w:pPr>
      <w:bookmarkStart w:id="4" w:name="_Toc173816084"/>
      <w:bookmarkStart w:id="5" w:name="_Toc144540164"/>
      <w:bookmarkStart w:id="6" w:name="_Toc144540165"/>
      <w:bookmarkStart w:id="7" w:name="_Toc144268231"/>
      <w:bookmarkStart w:id="8" w:name="_Toc144540166"/>
      <w:bookmarkStart w:id="9" w:name="_Toc172269535"/>
      <w:bookmarkStart w:id="10" w:name="_Toc172269623"/>
      <w:bookmarkStart w:id="11" w:name="_Toc173818684"/>
      <w:bookmarkEnd w:id="4"/>
      <w:bookmarkEnd w:id="5"/>
      <w:bookmarkEnd w:id="6"/>
      <w:bookmarkEnd w:id="7"/>
      <w:bookmarkEnd w:id="8"/>
      <w:r w:rsidRPr="00C0197F">
        <w:rPr>
          <w:rFonts w:asciiTheme="minorHAnsi" w:hAnsiTheme="minorHAnsi" w:cstheme="minorHAnsi"/>
          <w:color w:val="2F5496"/>
          <w:szCs w:val="24"/>
          <w:lang w:eastAsia="de-DE"/>
        </w:rPr>
        <w:t>Structure of the Study Report</w:t>
      </w:r>
      <w:bookmarkEnd w:id="9"/>
      <w:bookmarkEnd w:id="10"/>
      <w:bookmarkEnd w:id="11"/>
    </w:p>
    <w:p w14:paraId="492C9477" w14:textId="77777777" w:rsidR="006D2CE5" w:rsidRPr="00C0197F" w:rsidRDefault="006D2CE5" w:rsidP="006D2CE5">
      <w:pPr>
        <w:pStyle w:val="BodyText"/>
        <w:rPr>
          <w:rFonts w:asciiTheme="minorHAnsi" w:hAnsiTheme="minorHAnsi"/>
        </w:rPr>
      </w:pPr>
      <w:r w:rsidRPr="00C0197F">
        <w:rPr>
          <w:rFonts w:asciiTheme="minorHAnsi" w:hAnsiTheme="minorHAnsi"/>
        </w:rPr>
        <w:t>This report is structured into five main sections:</w:t>
      </w:r>
    </w:p>
    <w:p w14:paraId="4E487CE2" w14:textId="77777777" w:rsidR="006D2CE5" w:rsidRPr="00C0197F" w:rsidRDefault="006D2CE5" w:rsidP="006D2CE5">
      <w:pPr>
        <w:pStyle w:val="ListBullet"/>
        <w:numPr>
          <w:ilvl w:val="0"/>
          <w:numId w:val="2"/>
        </w:numPr>
        <w:ind w:left="340" w:hanging="340"/>
        <w:rPr>
          <w:rFonts w:asciiTheme="minorHAnsi" w:hAnsiTheme="minorHAnsi"/>
        </w:rPr>
      </w:pPr>
      <w:r w:rsidRPr="00C0197F">
        <w:rPr>
          <w:rFonts w:asciiTheme="minorHAnsi" w:hAnsiTheme="minorHAnsi"/>
        </w:rPr>
        <w:t>Section 1 introduces the background of the study;</w:t>
      </w:r>
    </w:p>
    <w:p w14:paraId="4DEBDA45" w14:textId="202D2C15" w:rsidR="006D2CE5" w:rsidRPr="00C0197F" w:rsidRDefault="006D2CE5" w:rsidP="006D2CE5">
      <w:pPr>
        <w:pStyle w:val="ListBullet"/>
        <w:numPr>
          <w:ilvl w:val="0"/>
          <w:numId w:val="2"/>
        </w:numPr>
        <w:ind w:left="340" w:hanging="340"/>
        <w:rPr>
          <w:rFonts w:asciiTheme="minorHAnsi" w:hAnsiTheme="minorHAnsi"/>
        </w:rPr>
      </w:pPr>
      <w:r w:rsidRPr="00C0197F">
        <w:rPr>
          <w:rFonts w:asciiTheme="minorHAnsi" w:hAnsiTheme="minorHAnsi"/>
        </w:rPr>
        <w:t xml:space="preserve">Section 2 presents the selection of sectors for </w:t>
      </w:r>
      <w:r w:rsidR="00FF0864" w:rsidRPr="00C0197F">
        <w:rPr>
          <w:rFonts w:asciiTheme="minorHAnsi" w:hAnsiTheme="minorHAnsi"/>
        </w:rPr>
        <w:t>the 2 municipalities</w:t>
      </w:r>
      <w:r w:rsidRPr="00C0197F">
        <w:rPr>
          <w:rFonts w:asciiTheme="minorHAnsi" w:hAnsiTheme="minorHAnsi"/>
        </w:rPr>
        <w:t>;</w:t>
      </w:r>
    </w:p>
    <w:p w14:paraId="6C215FAE" w14:textId="77777777" w:rsidR="006D2CE5" w:rsidRPr="00C0197F" w:rsidRDefault="006D2CE5" w:rsidP="006D2CE5">
      <w:pPr>
        <w:pStyle w:val="ListBullet"/>
        <w:numPr>
          <w:ilvl w:val="0"/>
          <w:numId w:val="2"/>
        </w:numPr>
        <w:ind w:left="340" w:hanging="340"/>
        <w:rPr>
          <w:rFonts w:asciiTheme="minorHAnsi" w:hAnsiTheme="minorHAnsi"/>
        </w:rPr>
      </w:pPr>
      <w:r w:rsidRPr="00C0197F">
        <w:rPr>
          <w:rFonts w:asciiTheme="minorHAnsi" w:hAnsiTheme="minorHAnsi"/>
        </w:rPr>
        <w:t>Section 3 defines the critical success factors for the selected sub-sectors;</w:t>
      </w:r>
    </w:p>
    <w:p w14:paraId="57609583" w14:textId="12929964" w:rsidR="006D2CE5" w:rsidRPr="00C0197F" w:rsidRDefault="006D2CE5" w:rsidP="006D2CE5">
      <w:pPr>
        <w:pStyle w:val="ListBullet"/>
        <w:numPr>
          <w:ilvl w:val="0"/>
          <w:numId w:val="2"/>
        </w:numPr>
        <w:ind w:left="340" w:hanging="340"/>
        <w:rPr>
          <w:rFonts w:asciiTheme="minorHAnsi" w:hAnsiTheme="minorHAnsi"/>
        </w:rPr>
      </w:pPr>
      <w:r w:rsidRPr="00C0197F">
        <w:rPr>
          <w:rFonts w:asciiTheme="minorHAnsi" w:hAnsiTheme="minorHAnsi"/>
        </w:rPr>
        <w:t>Section 4 discusses the main findings</w:t>
      </w:r>
      <w:r w:rsidR="00E23996" w:rsidRPr="00C0197F">
        <w:rPr>
          <w:rFonts w:asciiTheme="minorHAnsi" w:hAnsiTheme="minorHAnsi"/>
        </w:rPr>
        <w:t>, including gender and social inclusion issues,</w:t>
      </w:r>
      <w:r w:rsidRPr="00C0197F">
        <w:rPr>
          <w:rFonts w:asciiTheme="minorHAnsi" w:hAnsiTheme="minorHAnsi"/>
        </w:rPr>
        <w:t xml:space="preserve"> and conclusions for </w:t>
      </w:r>
      <w:r w:rsidR="00FF0864" w:rsidRPr="00C0197F">
        <w:rPr>
          <w:rFonts w:asciiTheme="minorHAnsi" w:hAnsiTheme="minorHAnsi"/>
        </w:rPr>
        <w:t>the 2 municipalities</w:t>
      </w:r>
      <w:r w:rsidRPr="00C0197F">
        <w:rPr>
          <w:rFonts w:asciiTheme="minorHAnsi" w:hAnsiTheme="minorHAnsi"/>
        </w:rPr>
        <w:t>, based on the results of the interviews and on literature review</w:t>
      </w:r>
    </w:p>
    <w:p w14:paraId="2F54B3CF" w14:textId="1A00190A" w:rsidR="006D2CE5" w:rsidRPr="00C0197F" w:rsidRDefault="006D2CE5" w:rsidP="006D2CE5">
      <w:pPr>
        <w:pStyle w:val="ListBullet"/>
        <w:numPr>
          <w:ilvl w:val="0"/>
          <w:numId w:val="2"/>
        </w:numPr>
        <w:ind w:left="340" w:hanging="340"/>
        <w:rPr>
          <w:rFonts w:asciiTheme="minorHAnsi" w:hAnsiTheme="minorHAnsi"/>
        </w:rPr>
      </w:pPr>
      <w:r w:rsidRPr="00C0197F">
        <w:rPr>
          <w:rFonts w:asciiTheme="minorHAnsi" w:hAnsiTheme="minorHAnsi"/>
        </w:rPr>
        <w:t xml:space="preserve">Section 5 summarizes the recommendations of interviewees and workshop participants and provides </w:t>
      </w:r>
      <w:proofErr w:type="gramStart"/>
      <w:r w:rsidRPr="00C0197F">
        <w:rPr>
          <w:rFonts w:asciiTheme="minorHAnsi" w:hAnsiTheme="minorHAnsi"/>
        </w:rPr>
        <w:t>a final conclusion</w:t>
      </w:r>
      <w:proofErr w:type="gramEnd"/>
    </w:p>
    <w:p w14:paraId="10CD52FA" w14:textId="38DEC096" w:rsidR="0047627E" w:rsidRPr="00C0197F" w:rsidRDefault="0047627E" w:rsidP="006D2CE5">
      <w:pPr>
        <w:pStyle w:val="ListBullet"/>
        <w:numPr>
          <w:ilvl w:val="0"/>
          <w:numId w:val="2"/>
        </w:numPr>
        <w:ind w:left="340" w:hanging="340"/>
        <w:rPr>
          <w:rFonts w:asciiTheme="minorHAnsi" w:hAnsiTheme="minorHAnsi"/>
        </w:rPr>
      </w:pPr>
      <w:r w:rsidRPr="00C0197F">
        <w:rPr>
          <w:rFonts w:asciiTheme="minorHAnsi" w:hAnsiTheme="minorHAnsi"/>
        </w:rPr>
        <w:t xml:space="preserve">Annexes with list of research tools (questionnaires, etc.), people interviewed, documented interviews and photographs (if possible) taken during field research </w:t>
      </w:r>
    </w:p>
    <w:p w14:paraId="6FDD8143" w14:textId="585B0B5B" w:rsidR="002D7143" w:rsidRPr="001E49E9" w:rsidRDefault="00D61CC9" w:rsidP="001E49E9">
      <w:pPr>
        <w:pStyle w:val="ListParagraph"/>
        <w:numPr>
          <w:ilvl w:val="0"/>
          <w:numId w:val="9"/>
        </w:numPr>
        <w:rPr>
          <w:b/>
          <w:sz w:val="32"/>
          <w:lang w:eastAsia="de-DE"/>
        </w:rPr>
      </w:pPr>
      <w:r w:rsidRPr="001E49E9">
        <w:rPr>
          <w:b/>
          <w:sz w:val="32"/>
          <w:lang w:eastAsia="de-DE"/>
        </w:rPr>
        <w:lastRenderedPageBreak/>
        <w:t>The Study on Future Scenarios for Jashore and Shibganj</w:t>
      </w:r>
    </w:p>
    <w:p w14:paraId="1FB4D7CF" w14:textId="77777777" w:rsidR="002D7143" w:rsidRPr="00C0197F" w:rsidRDefault="002D7143" w:rsidP="00924393">
      <w:pPr>
        <w:pStyle w:val="Heading2"/>
        <w:numPr>
          <w:ilvl w:val="1"/>
          <w:numId w:val="9"/>
        </w:numPr>
        <w:rPr>
          <w:rFonts w:asciiTheme="minorHAnsi" w:hAnsiTheme="minorHAnsi" w:cstheme="minorHAnsi"/>
          <w:color w:val="2F5496"/>
          <w:szCs w:val="24"/>
          <w:lang w:eastAsia="de-DE"/>
        </w:rPr>
      </w:pPr>
      <w:r w:rsidRPr="00C0197F">
        <w:rPr>
          <w:rFonts w:asciiTheme="minorHAnsi" w:hAnsiTheme="minorHAnsi" w:cstheme="minorHAnsi"/>
          <w:color w:val="2F5496"/>
          <w:szCs w:val="24"/>
          <w:lang w:eastAsia="de-DE"/>
        </w:rPr>
        <w:t>Rationale</w:t>
      </w:r>
    </w:p>
    <w:p w14:paraId="77C7EC66" w14:textId="77777777" w:rsidR="002D7143" w:rsidRDefault="002D7143" w:rsidP="00D61CC9">
      <w:pPr>
        <w:pStyle w:val="ListParagraph"/>
        <w:ind w:left="0"/>
      </w:pPr>
      <w:r>
        <w:t xml:space="preserve">Future scenarios are developed </w:t>
      </w:r>
    </w:p>
    <w:p w14:paraId="4BC4FAD7" w14:textId="77777777" w:rsidR="002D7143" w:rsidRPr="00614AD4" w:rsidRDefault="002D7143" w:rsidP="00D61CC9">
      <w:pPr>
        <w:pStyle w:val="ListParagraph"/>
        <w:numPr>
          <w:ilvl w:val="2"/>
          <w:numId w:val="6"/>
        </w:numPr>
        <w:ind w:left="360"/>
        <w:rPr>
          <w:i/>
        </w:rPr>
      </w:pPr>
      <w:r w:rsidRPr="00614AD4">
        <w:rPr>
          <w:i/>
        </w:rPr>
        <w:t xml:space="preserve">to </w:t>
      </w:r>
      <w:r>
        <w:rPr>
          <w:i/>
        </w:rPr>
        <w:t>make the key actors aware of</w:t>
      </w:r>
      <w:r w:rsidRPr="00614AD4">
        <w:rPr>
          <w:i/>
        </w:rPr>
        <w:t xml:space="preserve"> their “policy making” decisions,</w:t>
      </w:r>
    </w:p>
    <w:p w14:paraId="5ED7F8A0" w14:textId="608611E8" w:rsidR="002D7143" w:rsidRPr="00614AD4" w:rsidRDefault="002D7143" w:rsidP="00D61CC9">
      <w:pPr>
        <w:pStyle w:val="ListParagraph"/>
        <w:numPr>
          <w:ilvl w:val="2"/>
          <w:numId w:val="6"/>
        </w:numPr>
        <w:ind w:left="360"/>
        <w:rPr>
          <w:i/>
        </w:rPr>
      </w:pPr>
      <w:r w:rsidRPr="00614AD4">
        <w:rPr>
          <w:i/>
        </w:rPr>
        <w:t>to build networks and bring together local actors to work on the vision</w:t>
      </w:r>
      <w:r w:rsidR="00A24B66">
        <w:rPr>
          <w:i/>
        </w:rPr>
        <w:t xml:space="preserve"> of the municipalities</w:t>
      </w:r>
      <w:r w:rsidRPr="00614AD4">
        <w:rPr>
          <w:i/>
        </w:rPr>
        <w:t xml:space="preserve"> </w:t>
      </w:r>
    </w:p>
    <w:p w14:paraId="1E69E8E5" w14:textId="77777777" w:rsidR="002D7143" w:rsidRPr="00614AD4" w:rsidRDefault="002D7143" w:rsidP="00D61CC9">
      <w:pPr>
        <w:pStyle w:val="ListParagraph"/>
        <w:numPr>
          <w:ilvl w:val="2"/>
          <w:numId w:val="6"/>
        </w:numPr>
        <w:ind w:left="360"/>
        <w:rPr>
          <w:i/>
        </w:rPr>
      </w:pPr>
      <w:r w:rsidRPr="00614AD4">
        <w:rPr>
          <w:i/>
        </w:rPr>
        <w:t>to enhance local capabilities for tackling long-term issues</w:t>
      </w:r>
    </w:p>
    <w:p w14:paraId="601859B4" w14:textId="77777777" w:rsidR="002D7143" w:rsidRPr="00614AD4" w:rsidRDefault="002D7143" w:rsidP="00D61CC9">
      <w:pPr>
        <w:pStyle w:val="ListParagraph"/>
        <w:numPr>
          <w:ilvl w:val="2"/>
          <w:numId w:val="6"/>
        </w:numPr>
        <w:ind w:left="360"/>
        <w:rPr>
          <w:i/>
        </w:rPr>
      </w:pPr>
      <w:r w:rsidRPr="00614AD4">
        <w:rPr>
          <w:i/>
        </w:rPr>
        <w:t>to define development strategies</w:t>
      </w:r>
    </w:p>
    <w:p w14:paraId="2136374B" w14:textId="77777777" w:rsidR="002D7143" w:rsidRPr="00C0197F" w:rsidRDefault="002D7143" w:rsidP="00924393">
      <w:pPr>
        <w:pStyle w:val="Heading2"/>
        <w:numPr>
          <w:ilvl w:val="1"/>
          <w:numId w:val="9"/>
        </w:numPr>
        <w:rPr>
          <w:rFonts w:asciiTheme="minorHAnsi" w:hAnsiTheme="minorHAnsi" w:cstheme="minorHAnsi"/>
          <w:color w:val="2F5496"/>
          <w:szCs w:val="24"/>
          <w:lang w:eastAsia="de-DE"/>
        </w:rPr>
      </w:pPr>
      <w:r w:rsidRPr="00C0197F">
        <w:rPr>
          <w:rFonts w:asciiTheme="minorHAnsi" w:hAnsiTheme="minorHAnsi" w:cstheme="minorHAnsi"/>
          <w:color w:val="2F5496"/>
          <w:szCs w:val="24"/>
          <w:lang w:eastAsia="de-DE"/>
        </w:rPr>
        <w:t>Study and Presentation (workshop)</w:t>
      </w:r>
    </w:p>
    <w:p w14:paraId="3D20AA5C" w14:textId="77777777" w:rsidR="00D61CC9" w:rsidRPr="00C0197F" w:rsidRDefault="002D7143" w:rsidP="00924393">
      <w:pPr>
        <w:pStyle w:val="Heading3"/>
        <w:numPr>
          <w:ilvl w:val="2"/>
          <w:numId w:val="9"/>
        </w:numPr>
        <w:rPr>
          <w:rFonts w:asciiTheme="minorHAnsi" w:hAnsiTheme="minorHAnsi" w:cstheme="minorHAnsi"/>
          <w:color w:val="2F5496"/>
          <w:szCs w:val="24"/>
          <w:lang w:eastAsia="de-DE"/>
        </w:rPr>
      </w:pPr>
      <w:r w:rsidRPr="00C0197F">
        <w:rPr>
          <w:rFonts w:asciiTheme="minorHAnsi" w:hAnsiTheme="minorHAnsi" w:cstheme="minorHAnsi"/>
          <w:color w:val="2F5496"/>
          <w:szCs w:val="24"/>
          <w:lang w:eastAsia="de-DE"/>
        </w:rPr>
        <w:t>Study</w:t>
      </w:r>
    </w:p>
    <w:p w14:paraId="29B04616" w14:textId="476C4996" w:rsidR="00D61CC9" w:rsidRPr="00C0197F" w:rsidRDefault="002D7143" w:rsidP="00924393">
      <w:pPr>
        <w:pStyle w:val="Heading4"/>
        <w:numPr>
          <w:ilvl w:val="3"/>
          <w:numId w:val="9"/>
        </w:numPr>
        <w:rPr>
          <w:rFonts w:ascii="Calibri" w:hAnsi="Calibri"/>
          <w:color w:val="1F4E79" w:themeColor="accent5" w:themeShade="80"/>
          <w:sz w:val="22"/>
        </w:rPr>
      </w:pPr>
      <w:r w:rsidRPr="00C0197F">
        <w:rPr>
          <w:rFonts w:ascii="Calibri" w:hAnsi="Calibri"/>
          <w:color w:val="1F4E79" w:themeColor="accent5" w:themeShade="80"/>
          <w:sz w:val="22"/>
        </w:rPr>
        <w:t xml:space="preserve">Identify and structure likely developments of the local economy of Jashore and Shibganj </w:t>
      </w:r>
      <w:r w:rsidR="00A24B66" w:rsidRPr="00C0197F">
        <w:rPr>
          <w:rFonts w:ascii="Calibri" w:hAnsi="Calibri"/>
          <w:color w:val="1F4E79" w:themeColor="accent5" w:themeShade="80"/>
          <w:sz w:val="22"/>
        </w:rPr>
        <w:t xml:space="preserve">for </w:t>
      </w:r>
      <w:r w:rsidRPr="00C0197F">
        <w:rPr>
          <w:rFonts w:ascii="Calibri" w:hAnsi="Calibri"/>
          <w:color w:val="1F4E79" w:themeColor="accent5" w:themeShade="80"/>
          <w:sz w:val="22"/>
        </w:rPr>
        <w:t xml:space="preserve">the next 10, 15 years (combined knowledge), with stakeholders </w:t>
      </w:r>
    </w:p>
    <w:p w14:paraId="4F361582" w14:textId="1ABEEDAA" w:rsidR="002D7143" w:rsidRPr="00C0197F" w:rsidRDefault="002D7143" w:rsidP="00924393">
      <w:pPr>
        <w:pStyle w:val="Heading7"/>
        <w:numPr>
          <w:ilvl w:val="6"/>
          <w:numId w:val="9"/>
        </w:numPr>
        <w:rPr>
          <w:rFonts w:ascii="Calibri" w:hAnsi="Calibri"/>
          <w:color w:val="1F4E79" w:themeColor="accent5" w:themeShade="80"/>
        </w:rPr>
      </w:pPr>
      <w:r w:rsidRPr="00C0197F">
        <w:rPr>
          <w:rFonts w:ascii="Calibri" w:hAnsi="Calibri"/>
          <w:color w:val="1F4E79" w:themeColor="accent5" w:themeShade="80"/>
        </w:rPr>
        <w:t>Identify critical uncertainties for future development, develop scenarios and assess their implications</w:t>
      </w:r>
    </w:p>
    <w:p w14:paraId="68E3FD08" w14:textId="77777777" w:rsidR="002D7143" w:rsidRPr="00C0197F" w:rsidRDefault="002D7143" w:rsidP="00D61CC9">
      <w:pPr>
        <w:pStyle w:val="ListParagraph"/>
        <w:numPr>
          <w:ilvl w:val="4"/>
          <w:numId w:val="7"/>
        </w:numPr>
        <w:ind w:left="2160"/>
        <w:rPr>
          <w:rFonts w:ascii="Calibri" w:hAnsi="Calibri"/>
          <w:color w:val="1F4E79" w:themeColor="accent5" w:themeShade="80"/>
        </w:rPr>
      </w:pPr>
      <w:r w:rsidRPr="00C0197F">
        <w:rPr>
          <w:rFonts w:ascii="Calibri" w:hAnsi="Calibri"/>
          <w:color w:val="1F4E79" w:themeColor="accent5" w:themeShade="80"/>
        </w:rPr>
        <w:t>Approach</w:t>
      </w:r>
    </w:p>
    <w:p w14:paraId="0D6F0FD3" w14:textId="77777777" w:rsidR="002D7143" w:rsidRPr="00C0197F" w:rsidRDefault="002D7143" w:rsidP="00D61CC9">
      <w:pPr>
        <w:pStyle w:val="ListParagraph"/>
        <w:numPr>
          <w:ilvl w:val="4"/>
          <w:numId w:val="7"/>
        </w:numPr>
        <w:ind w:left="2160"/>
        <w:rPr>
          <w:rFonts w:ascii="Calibri" w:hAnsi="Calibri"/>
          <w:color w:val="1F4E79" w:themeColor="accent5" w:themeShade="80"/>
        </w:rPr>
      </w:pPr>
      <w:r w:rsidRPr="00C0197F">
        <w:rPr>
          <w:rFonts w:ascii="Calibri" w:hAnsi="Calibri"/>
          <w:color w:val="1F4E79" w:themeColor="accent5" w:themeShade="80"/>
        </w:rPr>
        <w:t>Agenda / exercise / sequencing</w:t>
      </w:r>
    </w:p>
    <w:p w14:paraId="78BEC50D" w14:textId="77777777" w:rsidR="002D7143" w:rsidRPr="00C0197F" w:rsidRDefault="002D7143" w:rsidP="00D61CC9">
      <w:pPr>
        <w:pStyle w:val="ListParagraph"/>
        <w:numPr>
          <w:ilvl w:val="4"/>
          <w:numId w:val="7"/>
        </w:numPr>
        <w:ind w:left="2160"/>
        <w:rPr>
          <w:rFonts w:ascii="Calibri" w:hAnsi="Calibri"/>
          <w:color w:val="1F4E79" w:themeColor="accent5" w:themeShade="80"/>
        </w:rPr>
      </w:pPr>
      <w:r w:rsidRPr="00C0197F">
        <w:rPr>
          <w:rFonts w:ascii="Calibri" w:hAnsi="Calibri"/>
          <w:color w:val="1F4E79" w:themeColor="accent5" w:themeShade="80"/>
        </w:rPr>
        <w:t>Guidelines</w:t>
      </w:r>
    </w:p>
    <w:p w14:paraId="499A74CA" w14:textId="00C95225" w:rsidR="002D7143" w:rsidRPr="00C0197F" w:rsidRDefault="002D7143" w:rsidP="00924393">
      <w:pPr>
        <w:pStyle w:val="Heading4"/>
        <w:numPr>
          <w:ilvl w:val="3"/>
          <w:numId w:val="9"/>
        </w:numPr>
        <w:rPr>
          <w:rFonts w:ascii="Calibri" w:hAnsi="Calibri"/>
          <w:color w:val="1F4E79" w:themeColor="accent5" w:themeShade="80"/>
        </w:rPr>
      </w:pPr>
      <w:r w:rsidRPr="00C0197F">
        <w:rPr>
          <w:rFonts w:ascii="Calibri" w:hAnsi="Calibri"/>
          <w:color w:val="1F4E79" w:themeColor="accent5" w:themeShade="80"/>
        </w:rPr>
        <w:t xml:space="preserve">Order perceptions about alternative future </w:t>
      </w:r>
      <w:r w:rsidR="00A24B66" w:rsidRPr="00C0197F">
        <w:rPr>
          <w:rFonts w:ascii="Calibri" w:hAnsi="Calibri"/>
          <w:color w:val="1F4E79" w:themeColor="accent5" w:themeShade="80"/>
        </w:rPr>
        <w:t xml:space="preserve">scenarios / </w:t>
      </w:r>
      <w:r w:rsidRPr="00C0197F">
        <w:rPr>
          <w:rFonts w:ascii="Calibri" w:hAnsi="Calibri"/>
          <w:color w:val="1F4E79" w:themeColor="accent5" w:themeShade="80"/>
        </w:rPr>
        <w:t xml:space="preserve">environments </w:t>
      </w:r>
    </w:p>
    <w:p w14:paraId="457F46F8" w14:textId="46611701" w:rsidR="002D7143" w:rsidRPr="00C0197F" w:rsidRDefault="002D7143" w:rsidP="00924393">
      <w:pPr>
        <w:pStyle w:val="Heading3"/>
        <w:numPr>
          <w:ilvl w:val="2"/>
          <w:numId w:val="9"/>
        </w:numPr>
        <w:rPr>
          <w:rFonts w:ascii="Calibri" w:hAnsi="Calibri"/>
          <w:color w:val="1F4E79" w:themeColor="accent5" w:themeShade="80"/>
        </w:rPr>
      </w:pPr>
      <w:r w:rsidRPr="00C0197F">
        <w:rPr>
          <w:rFonts w:ascii="Calibri" w:hAnsi="Calibri"/>
          <w:color w:val="1F4E79" w:themeColor="accent5" w:themeShade="80"/>
        </w:rPr>
        <w:t>Presentation</w:t>
      </w:r>
    </w:p>
    <w:p w14:paraId="15BC58BC" w14:textId="0EFF1649" w:rsidR="00A24B66" w:rsidRPr="00C0197F" w:rsidRDefault="00A24B66" w:rsidP="00A24B66">
      <w:pPr>
        <w:pStyle w:val="BodyText"/>
        <w:rPr>
          <w:rFonts w:ascii="Calibri" w:hAnsi="Calibri"/>
          <w:color w:val="1F4E79" w:themeColor="accent5" w:themeShade="80"/>
        </w:rPr>
      </w:pPr>
      <w:r w:rsidRPr="00C0197F">
        <w:rPr>
          <w:rFonts w:ascii="Calibri" w:hAnsi="Calibri"/>
          <w:color w:val="1F4E79" w:themeColor="accent5" w:themeShade="80"/>
        </w:rPr>
        <w:t>Develop presentations</w:t>
      </w:r>
    </w:p>
    <w:p w14:paraId="38B7224C" w14:textId="12089B45" w:rsidR="00BE26F7" w:rsidRPr="001E49E9" w:rsidRDefault="00BE26F7" w:rsidP="001E49E9">
      <w:pPr>
        <w:pStyle w:val="ListParagraph"/>
        <w:numPr>
          <w:ilvl w:val="0"/>
          <w:numId w:val="9"/>
        </w:numPr>
        <w:rPr>
          <w:b/>
          <w:sz w:val="32"/>
          <w:lang w:eastAsia="de-DE"/>
        </w:rPr>
      </w:pPr>
      <w:r w:rsidRPr="001E49E9">
        <w:rPr>
          <w:b/>
          <w:sz w:val="32"/>
          <w:lang w:eastAsia="de-DE"/>
        </w:rPr>
        <w:t>Duration of Assignment</w:t>
      </w:r>
    </w:p>
    <w:p w14:paraId="72F4123F" w14:textId="77777777" w:rsidR="001E49E9" w:rsidRDefault="00BE26F7" w:rsidP="001E49E9">
      <w:pPr>
        <w:pStyle w:val="BodyText"/>
        <w:rPr>
          <w:rFonts w:asciiTheme="minorHAnsi" w:hAnsiTheme="minorHAnsi" w:cstheme="minorHAnsi"/>
          <w:szCs w:val="22"/>
        </w:rPr>
      </w:pPr>
      <w:r w:rsidRPr="0058359D">
        <w:rPr>
          <w:rFonts w:asciiTheme="minorHAnsi" w:hAnsiTheme="minorHAnsi" w:cstheme="minorHAnsi"/>
          <w:szCs w:val="22"/>
        </w:rPr>
        <w:t xml:space="preserve">The duration of the assignment is </w:t>
      </w:r>
      <w:r w:rsidR="0006186B">
        <w:rPr>
          <w:rFonts w:asciiTheme="minorHAnsi" w:hAnsiTheme="minorHAnsi" w:cstheme="minorHAnsi"/>
          <w:szCs w:val="22"/>
        </w:rPr>
        <w:t>2</w:t>
      </w:r>
      <w:r w:rsidRPr="0058359D">
        <w:rPr>
          <w:rFonts w:asciiTheme="minorHAnsi" w:hAnsiTheme="minorHAnsi" w:cstheme="minorHAnsi"/>
          <w:szCs w:val="22"/>
        </w:rPr>
        <w:t xml:space="preserve"> months, starting from </w:t>
      </w:r>
      <w:r w:rsidR="0006186B">
        <w:rPr>
          <w:rFonts w:asciiTheme="minorHAnsi" w:hAnsiTheme="minorHAnsi" w:cstheme="minorHAnsi"/>
          <w:szCs w:val="22"/>
        </w:rPr>
        <w:t>01</w:t>
      </w:r>
      <w:r w:rsidRPr="0058359D">
        <w:rPr>
          <w:rFonts w:asciiTheme="minorHAnsi" w:hAnsiTheme="minorHAnsi" w:cstheme="minorHAnsi"/>
          <w:szCs w:val="22"/>
        </w:rPr>
        <w:t xml:space="preserve"> </w:t>
      </w:r>
      <w:r w:rsidR="0006186B">
        <w:rPr>
          <w:rFonts w:asciiTheme="minorHAnsi" w:hAnsiTheme="minorHAnsi" w:cstheme="minorHAnsi"/>
          <w:szCs w:val="22"/>
        </w:rPr>
        <w:t>11</w:t>
      </w:r>
      <w:r w:rsidRPr="0058359D">
        <w:rPr>
          <w:rFonts w:asciiTheme="minorHAnsi" w:hAnsiTheme="minorHAnsi" w:cstheme="minorHAnsi"/>
          <w:szCs w:val="22"/>
        </w:rPr>
        <w:t xml:space="preserve"> to </w:t>
      </w:r>
      <w:r w:rsidR="0006186B">
        <w:rPr>
          <w:rFonts w:asciiTheme="minorHAnsi" w:hAnsiTheme="minorHAnsi" w:cstheme="minorHAnsi"/>
          <w:szCs w:val="22"/>
        </w:rPr>
        <w:t>31</w:t>
      </w:r>
      <w:r w:rsidRPr="0058359D">
        <w:rPr>
          <w:rFonts w:asciiTheme="minorHAnsi" w:hAnsiTheme="minorHAnsi" w:cstheme="minorHAnsi"/>
          <w:szCs w:val="22"/>
        </w:rPr>
        <w:t xml:space="preserve"> </w:t>
      </w:r>
      <w:r w:rsidR="0006186B">
        <w:rPr>
          <w:rFonts w:asciiTheme="minorHAnsi" w:hAnsiTheme="minorHAnsi" w:cstheme="minorHAnsi"/>
          <w:szCs w:val="22"/>
        </w:rPr>
        <w:t>12</w:t>
      </w:r>
      <w:r w:rsidRPr="0058359D">
        <w:rPr>
          <w:rFonts w:asciiTheme="minorHAnsi" w:hAnsiTheme="minorHAnsi" w:cstheme="minorHAnsi"/>
          <w:szCs w:val="22"/>
        </w:rPr>
        <w:t xml:space="preserve"> 2018.</w:t>
      </w:r>
    </w:p>
    <w:p w14:paraId="68367B28" w14:textId="27FB8BAA" w:rsidR="001E49E9" w:rsidRPr="001E49E9" w:rsidRDefault="001E49E9" w:rsidP="001E49E9">
      <w:pPr>
        <w:pStyle w:val="BodyText"/>
        <w:numPr>
          <w:ilvl w:val="0"/>
          <w:numId w:val="9"/>
        </w:numPr>
        <w:rPr>
          <w:rFonts w:asciiTheme="minorHAnsi" w:eastAsiaTheme="minorHAnsi" w:hAnsiTheme="minorHAnsi" w:cstheme="minorBidi"/>
          <w:b/>
          <w:sz w:val="32"/>
          <w:szCs w:val="22"/>
          <w:lang w:val="en-US" w:eastAsia="de-DE"/>
        </w:rPr>
      </w:pPr>
      <w:r w:rsidRPr="001E49E9">
        <w:rPr>
          <w:rFonts w:asciiTheme="minorHAnsi" w:eastAsiaTheme="minorHAnsi" w:hAnsiTheme="minorHAnsi" w:cstheme="minorBidi"/>
          <w:b/>
          <w:sz w:val="32"/>
          <w:szCs w:val="22"/>
          <w:lang w:val="en-US" w:eastAsia="de-DE"/>
        </w:rPr>
        <w:t>Evaluation Criteria</w:t>
      </w:r>
    </w:p>
    <w:p w14:paraId="0D1F8A4C" w14:textId="77777777" w:rsidR="001E49E9" w:rsidRPr="0058359D" w:rsidRDefault="001E49E9" w:rsidP="001E49E9">
      <w:pPr>
        <w:spacing w:after="0"/>
        <w:jc w:val="both"/>
        <w:rPr>
          <w:rFonts w:cstheme="minorHAnsi"/>
        </w:rPr>
      </w:pPr>
      <w:r w:rsidRPr="0058359D">
        <w:rPr>
          <w:rFonts w:cstheme="minorHAnsi"/>
        </w:rPr>
        <w:t xml:space="preserve">Both the technical and financial proposal will be evaluated: </w:t>
      </w:r>
    </w:p>
    <w:p w14:paraId="0E093425" w14:textId="77777777" w:rsidR="001E49E9" w:rsidRPr="0058359D" w:rsidRDefault="001E49E9" w:rsidP="001E49E9">
      <w:pPr>
        <w:spacing w:after="0"/>
        <w:jc w:val="both"/>
        <w:rPr>
          <w:rFonts w:cstheme="minorHAnsi"/>
        </w:rPr>
      </w:pPr>
    </w:p>
    <w:p w14:paraId="12221B34" w14:textId="77777777" w:rsidR="001E49E9" w:rsidRPr="0058359D" w:rsidRDefault="001E49E9" w:rsidP="001E49E9">
      <w:pPr>
        <w:pStyle w:val="ListParagraph"/>
        <w:numPr>
          <w:ilvl w:val="0"/>
          <w:numId w:val="13"/>
        </w:numPr>
        <w:spacing w:after="0"/>
        <w:jc w:val="both"/>
        <w:rPr>
          <w:rFonts w:cstheme="minorHAnsi"/>
        </w:rPr>
      </w:pPr>
      <w:r w:rsidRPr="0058359D">
        <w:rPr>
          <w:rFonts w:cstheme="minorHAnsi"/>
        </w:rPr>
        <w:t>Technical Proposal (carries 70% weight);</w:t>
      </w:r>
    </w:p>
    <w:p w14:paraId="417A505D" w14:textId="77777777" w:rsidR="001E49E9" w:rsidRPr="0058359D" w:rsidRDefault="001E49E9" w:rsidP="001E49E9">
      <w:pPr>
        <w:pStyle w:val="ListParagraph"/>
        <w:numPr>
          <w:ilvl w:val="0"/>
          <w:numId w:val="13"/>
        </w:numPr>
        <w:spacing w:after="0"/>
        <w:jc w:val="both"/>
        <w:rPr>
          <w:rFonts w:cstheme="minorHAnsi"/>
        </w:rPr>
      </w:pPr>
      <w:r w:rsidRPr="0058359D">
        <w:rPr>
          <w:rFonts w:cstheme="minorHAnsi"/>
        </w:rPr>
        <w:t>Financial Proposal (carries 30% weight).</w:t>
      </w:r>
    </w:p>
    <w:p w14:paraId="0C69DBA7" w14:textId="77777777" w:rsidR="001E49E9" w:rsidRPr="0058359D" w:rsidRDefault="001E49E9" w:rsidP="001E49E9">
      <w:pPr>
        <w:spacing w:after="0"/>
        <w:jc w:val="both"/>
        <w:rPr>
          <w:rFonts w:cstheme="minorHAnsi"/>
        </w:rPr>
      </w:pPr>
    </w:p>
    <w:p w14:paraId="541C3D4E" w14:textId="77777777" w:rsidR="001E49E9" w:rsidRPr="0058359D" w:rsidRDefault="001E49E9" w:rsidP="001E49E9">
      <w:pPr>
        <w:spacing w:after="0"/>
        <w:jc w:val="both"/>
        <w:rPr>
          <w:rFonts w:cstheme="minorHAnsi"/>
        </w:rPr>
      </w:pPr>
      <w:r w:rsidRPr="0058359D">
        <w:rPr>
          <w:rFonts w:cstheme="minorHAnsi"/>
        </w:rPr>
        <w:t>The bidder is required to submit a technical proposal which should include:</w:t>
      </w:r>
    </w:p>
    <w:p w14:paraId="5A68B68C" w14:textId="77777777" w:rsidR="001E49E9" w:rsidRPr="0058359D" w:rsidRDefault="001E49E9" w:rsidP="001E49E9">
      <w:pPr>
        <w:spacing w:after="0"/>
        <w:jc w:val="both"/>
        <w:rPr>
          <w:rFonts w:cstheme="minorHAnsi"/>
        </w:rPr>
      </w:pPr>
    </w:p>
    <w:p w14:paraId="7E2FF132" w14:textId="77777777" w:rsidR="001E49E9" w:rsidRPr="0058359D" w:rsidRDefault="001E49E9" w:rsidP="001E49E9">
      <w:pPr>
        <w:numPr>
          <w:ilvl w:val="0"/>
          <w:numId w:val="12"/>
        </w:numPr>
        <w:spacing w:after="0"/>
        <w:contextualSpacing/>
        <w:jc w:val="both"/>
        <w:rPr>
          <w:rFonts w:cstheme="minorHAnsi"/>
          <w:color w:val="000000"/>
        </w:rPr>
      </w:pPr>
      <w:r w:rsidRPr="0058359D">
        <w:rPr>
          <w:rFonts w:cstheme="minorHAnsi"/>
          <w:color w:val="000000"/>
        </w:rPr>
        <w:t xml:space="preserve">Detailed study plan as per requirements stated in </w:t>
      </w:r>
      <w:r w:rsidRPr="0058359D">
        <w:rPr>
          <w:rFonts w:cstheme="minorHAnsi"/>
          <w:i/>
          <w:color w:val="000000"/>
        </w:rPr>
        <w:t xml:space="preserve">Sections 3 and 4. </w:t>
      </w:r>
    </w:p>
    <w:p w14:paraId="1045114A" w14:textId="77777777" w:rsidR="001E49E9" w:rsidRPr="0058359D" w:rsidRDefault="001E49E9" w:rsidP="001E49E9">
      <w:pPr>
        <w:numPr>
          <w:ilvl w:val="0"/>
          <w:numId w:val="12"/>
        </w:numPr>
        <w:spacing w:after="0"/>
        <w:contextualSpacing/>
        <w:jc w:val="both"/>
        <w:rPr>
          <w:rFonts w:cstheme="minorHAnsi"/>
          <w:color w:val="000000"/>
        </w:rPr>
      </w:pPr>
      <w:r w:rsidRPr="0058359D">
        <w:rPr>
          <w:rFonts w:cstheme="minorHAnsi"/>
          <w:color w:val="000000"/>
        </w:rPr>
        <w:t xml:space="preserve">Description of organizational capabilities and related experiences (related reports may be attached to the proposal);  </w:t>
      </w:r>
    </w:p>
    <w:p w14:paraId="44B4FCC1" w14:textId="77777777" w:rsidR="001E49E9" w:rsidRPr="0058359D" w:rsidRDefault="001E49E9" w:rsidP="001E49E9">
      <w:pPr>
        <w:numPr>
          <w:ilvl w:val="0"/>
          <w:numId w:val="12"/>
        </w:numPr>
        <w:spacing w:after="0"/>
        <w:contextualSpacing/>
        <w:jc w:val="both"/>
        <w:rPr>
          <w:rFonts w:cstheme="minorHAnsi"/>
          <w:color w:val="000000"/>
        </w:rPr>
      </w:pPr>
      <w:r w:rsidRPr="0058359D">
        <w:rPr>
          <w:rFonts w:cstheme="minorHAnsi"/>
          <w:color w:val="000000"/>
        </w:rPr>
        <w:lastRenderedPageBreak/>
        <w:t>Proposed team members who will be assigned to this assignment and their competencies to undertake the assignment. The CVs of the proposed personnel should include signed confirmation of their availability for the assignment. The CVs should be submitted as Annex and maximum three pages should be allocated for each CV;</w:t>
      </w:r>
    </w:p>
    <w:p w14:paraId="6E514CC8" w14:textId="77777777" w:rsidR="001E49E9" w:rsidRPr="0058359D" w:rsidRDefault="001E49E9" w:rsidP="001E49E9">
      <w:pPr>
        <w:pStyle w:val="ListParagraph"/>
        <w:numPr>
          <w:ilvl w:val="0"/>
          <w:numId w:val="12"/>
        </w:numPr>
        <w:spacing w:after="0"/>
        <w:jc w:val="both"/>
        <w:rPr>
          <w:rFonts w:cstheme="minorHAnsi"/>
        </w:rPr>
      </w:pPr>
      <w:r w:rsidRPr="0058359D">
        <w:rPr>
          <w:rFonts w:cstheme="minorHAnsi"/>
          <w:color w:val="000000"/>
        </w:rPr>
        <w:t>References: please include names, contact numbers and the main types of services that your organization provides/provided for the current and former clients.</w:t>
      </w:r>
    </w:p>
    <w:p w14:paraId="3FFB783C" w14:textId="77777777" w:rsidR="001E49E9" w:rsidRPr="0058359D" w:rsidRDefault="001E49E9" w:rsidP="001E49E9">
      <w:pPr>
        <w:pStyle w:val="ListParagraph"/>
        <w:spacing w:after="0"/>
        <w:jc w:val="both"/>
        <w:rPr>
          <w:rFonts w:cstheme="minorHAnsi"/>
        </w:rPr>
      </w:pPr>
    </w:p>
    <w:p w14:paraId="2D407F13" w14:textId="40E7F3AF" w:rsidR="001E49E9" w:rsidRPr="0058359D" w:rsidRDefault="001E49E9" w:rsidP="001E49E9">
      <w:pPr>
        <w:spacing w:after="0"/>
        <w:jc w:val="both"/>
        <w:rPr>
          <w:rFonts w:cstheme="minorHAnsi"/>
        </w:rPr>
      </w:pPr>
      <w:r w:rsidRPr="0058359D">
        <w:rPr>
          <w:rFonts w:cstheme="minorHAnsi"/>
        </w:rPr>
        <w:t xml:space="preserve">Along with the technical proposal, the bidder is required to submit a financial proposal, </w:t>
      </w:r>
      <w:r w:rsidRPr="0058359D">
        <w:rPr>
          <w:rFonts w:cstheme="minorHAnsi"/>
          <w:u w:val="single"/>
        </w:rPr>
        <w:t>in a separate envelope</w:t>
      </w:r>
      <w:r w:rsidRPr="0058359D">
        <w:rPr>
          <w:rFonts w:cstheme="minorHAnsi"/>
        </w:rPr>
        <w:t xml:space="preserve">. The financial proposal will be opened only for the agencies scoring </w:t>
      </w:r>
      <w:r w:rsidR="006061AF">
        <w:rPr>
          <w:rFonts w:cstheme="minorHAnsi"/>
        </w:rPr>
        <w:t>5</w:t>
      </w:r>
      <w:r w:rsidRPr="0058359D">
        <w:rPr>
          <w:rFonts w:cstheme="minorHAnsi"/>
        </w:rPr>
        <w:t>0% and above in the technical proposal. The financial proposal would be evaluated based on:</w:t>
      </w:r>
    </w:p>
    <w:p w14:paraId="1E57B73F" w14:textId="77777777" w:rsidR="001E49E9" w:rsidRPr="0058359D" w:rsidRDefault="001E49E9" w:rsidP="001E49E9">
      <w:pPr>
        <w:spacing w:after="0"/>
        <w:jc w:val="both"/>
        <w:rPr>
          <w:rFonts w:cstheme="minorHAnsi"/>
        </w:rPr>
      </w:pPr>
    </w:p>
    <w:p w14:paraId="261DC055" w14:textId="77777777" w:rsidR="001E49E9" w:rsidRPr="0058359D" w:rsidRDefault="001E49E9" w:rsidP="001E49E9">
      <w:pPr>
        <w:pStyle w:val="ListParagraph"/>
        <w:numPr>
          <w:ilvl w:val="0"/>
          <w:numId w:val="14"/>
        </w:numPr>
        <w:spacing w:after="200"/>
        <w:jc w:val="both"/>
        <w:rPr>
          <w:rFonts w:cstheme="minorHAnsi"/>
        </w:rPr>
      </w:pPr>
      <w:r w:rsidRPr="0058359D">
        <w:rPr>
          <w:rFonts w:cstheme="minorHAnsi"/>
        </w:rPr>
        <w:t>Competitiveness of the financial offer;</w:t>
      </w:r>
    </w:p>
    <w:p w14:paraId="5E684B8D" w14:textId="77777777" w:rsidR="001E49E9" w:rsidRPr="0058359D" w:rsidRDefault="001E49E9" w:rsidP="001E49E9">
      <w:pPr>
        <w:pStyle w:val="ListParagraph"/>
        <w:numPr>
          <w:ilvl w:val="0"/>
          <w:numId w:val="14"/>
        </w:numPr>
        <w:spacing w:after="200"/>
        <w:jc w:val="both"/>
        <w:rPr>
          <w:rFonts w:cstheme="minorHAnsi"/>
        </w:rPr>
      </w:pPr>
      <w:r w:rsidRPr="0058359D">
        <w:rPr>
          <w:rFonts w:cstheme="minorHAnsi"/>
        </w:rPr>
        <w:t xml:space="preserve">Relevance and consistency with the technical proposal. </w:t>
      </w:r>
    </w:p>
    <w:p w14:paraId="622755C9" w14:textId="54AFBAB1" w:rsidR="001E49E9" w:rsidRPr="001E49E9" w:rsidRDefault="001E49E9" w:rsidP="001E49E9">
      <w:pPr>
        <w:pStyle w:val="Heading2"/>
        <w:numPr>
          <w:ilvl w:val="1"/>
          <w:numId w:val="9"/>
        </w:numPr>
        <w:rPr>
          <w:rFonts w:asciiTheme="minorHAnsi" w:hAnsiTheme="minorHAnsi" w:cstheme="minorHAnsi"/>
          <w:color w:val="2F5496"/>
          <w:szCs w:val="24"/>
          <w:lang w:eastAsia="de-DE"/>
        </w:rPr>
      </w:pPr>
      <w:r w:rsidRPr="001E49E9">
        <w:rPr>
          <w:rFonts w:asciiTheme="minorHAnsi" w:hAnsiTheme="minorHAnsi" w:cstheme="minorHAnsi"/>
          <w:color w:val="2F5496"/>
          <w:szCs w:val="24"/>
          <w:lang w:eastAsia="de-DE"/>
        </w:rPr>
        <w:t>Scoring of Technical Proposal</w:t>
      </w:r>
    </w:p>
    <w:tbl>
      <w:tblPr>
        <w:tblStyle w:val="TableGrid"/>
        <w:tblW w:w="0" w:type="auto"/>
        <w:tblLook w:val="04A0" w:firstRow="1" w:lastRow="0" w:firstColumn="1" w:lastColumn="0" w:noHBand="0" w:noVBand="1"/>
      </w:tblPr>
      <w:tblGrid>
        <w:gridCol w:w="4405"/>
        <w:gridCol w:w="2610"/>
      </w:tblGrid>
      <w:tr w:rsidR="001E49E9" w:rsidRPr="0058359D" w14:paraId="45C9C8F0" w14:textId="77777777" w:rsidTr="00CF480E">
        <w:tc>
          <w:tcPr>
            <w:tcW w:w="4405" w:type="dxa"/>
          </w:tcPr>
          <w:p w14:paraId="1A12D9A3" w14:textId="77777777" w:rsidR="001E49E9" w:rsidRPr="0058359D" w:rsidRDefault="001E49E9" w:rsidP="00CF480E">
            <w:pPr>
              <w:jc w:val="center"/>
              <w:rPr>
                <w:rFonts w:cstheme="minorHAnsi"/>
                <w:b/>
              </w:rPr>
            </w:pPr>
            <w:r w:rsidRPr="0058359D">
              <w:rPr>
                <w:rFonts w:cstheme="minorHAnsi"/>
                <w:b/>
              </w:rPr>
              <w:t>Criteria</w:t>
            </w:r>
          </w:p>
        </w:tc>
        <w:tc>
          <w:tcPr>
            <w:tcW w:w="2610" w:type="dxa"/>
          </w:tcPr>
          <w:p w14:paraId="6033FEFB" w14:textId="77777777" w:rsidR="001E49E9" w:rsidRPr="0058359D" w:rsidRDefault="001E49E9" w:rsidP="00CF480E">
            <w:pPr>
              <w:jc w:val="center"/>
              <w:rPr>
                <w:rFonts w:cstheme="minorHAnsi"/>
                <w:b/>
              </w:rPr>
            </w:pPr>
            <w:r w:rsidRPr="0058359D">
              <w:rPr>
                <w:rFonts w:cstheme="minorHAnsi"/>
                <w:b/>
              </w:rPr>
              <w:t>Weight</w:t>
            </w:r>
          </w:p>
        </w:tc>
      </w:tr>
      <w:tr w:rsidR="001E49E9" w:rsidRPr="0058359D" w14:paraId="6F226CF4" w14:textId="77777777" w:rsidTr="00CF480E">
        <w:tc>
          <w:tcPr>
            <w:tcW w:w="4405" w:type="dxa"/>
          </w:tcPr>
          <w:p w14:paraId="692E6C49" w14:textId="77777777" w:rsidR="001E49E9" w:rsidRPr="0058359D" w:rsidRDefault="001E49E9" w:rsidP="00CF480E">
            <w:pPr>
              <w:jc w:val="both"/>
              <w:rPr>
                <w:rFonts w:cstheme="minorHAnsi"/>
              </w:rPr>
            </w:pPr>
            <w:r w:rsidRPr="0058359D">
              <w:rPr>
                <w:rFonts w:eastAsia="Times New Roman" w:cstheme="minorHAnsi"/>
                <w:lang w:val="en-GB"/>
              </w:rPr>
              <w:t>Background and experience of the bidder</w:t>
            </w:r>
          </w:p>
        </w:tc>
        <w:tc>
          <w:tcPr>
            <w:tcW w:w="2610" w:type="dxa"/>
          </w:tcPr>
          <w:p w14:paraId="34FD2934" w14:textId="77777777" w:rsidR="001E49E9" w:rsidRPr="0058359D" w:rsidRDefault="001E49E9" w:rsidP="00CF480E">
            <w:pPr>
              <w:jc w:val="center"/>
              <w:rPr>
                <w:rFonts w:cstheme="minorHAnsi"/>
              </w:rPr>
            </w:pPr>
            <w:r w:rsidRPr="0058359D">
              <w:rPr>
                <w:rFonts w:cstheme="minorHAnsi"/>
              </w:rPr>
              <w:t>20</w:t>
            </w:r>
          </w:p>
        </w:tc>
        <w:bookmarkStart w:id="12" w:name="_GoBack"/>
        <w:bookmarkEnd w:id="12"/>
      </w:tr>
      <w:tr w:rsidR="001E49E9" w:rsidRPr="0058359D" w14:paraId="54227621" w14:textId="77777777" w:rsidTr="00CF480E">
        <w:tc>
          <w:tcPr>
            <w:tcW w:w="4405" w:type="dxa"/>
          </w:tcPr>
          <w:p w14:paraId="16BACE45" w14:textId="77777777" w:rsidR="001E49E9" w:rsidRPr="0058359D" w:rsidRDefault="001E49E9" w:rsidP="00CF480E">
            <w:pPr>
              <w:jc w:val="both"/>
              <w:rPr>
                <w:rFonts w:cstheme="minorHAnsi"/>
              </w:rPr>
            </w:pPr>
            <w:r w:rsidRPr="0058359D">
              <w:rPr>
                <w:rFonts w:eastAsia="Times New Roman" w:cstheme="minorHAnsi"/>
                <w:lang w:val="en-GB"/>
              </w:rPr>
              <w:t xml:space="preserve">Profile of the personnel involved in the assignment </w:t>
            </w:r>
          </w:p>
        </w:tc>
        <w:tc>
          <w:tcPr>
            <w:tcW w:w="2610" w:type="dxa"/>
          </w:tcPr>
          <w:p w14:paraId="1787E9D6" w14:textId="77777777" w:rsidR="001E49E9" w:rsidRPr="0058359D" w:rsidRDefault="001E49E9" w:rsidP="00CF480E">
            <w:pPr>
              <w:jc w:val="center"/>
              <w:rPr>
                <w:rFonts w:cstheme="minorHAnsi"/>
              </w:rPr>
            </w:pPr>
            <w:r w:rsidRPr="0058359D">
              <w:rPr>
                <w:rFonts w:cstheme="minorHAnsi"/>
              </w:rPr>
              <w:t>20</w:t>
            </w:r>
          </w:p>
        </w:tc>
      </w:tr>
      <w:tr w:rsidR="001E49E9" w:rsidRPr="0058359D" w14:paraId="1662DEF0" w14:textId="77777777" w:rsidTr="00CF480E">
        <w:tc>
          <w:tcPr>
            <w:tcW w:w="4405" w:type="dxa"/>
          </w:tcPr>
          <w:p w14:paraId="491AC374" w14:textId="77777777" w:rsidR="001E49E9" w:rsidRPr="0058359D" w:rsidRDefault="001E49E9" w:rsidP="00CF480E">
            <w:pPr>
              <w:jc w:val="both"/>
              <w:rPr>
                <w:rFonts w:cstheme="minorHAnsi"/>
              </w:rPr>
            </w:pPr>
            <w:r w:rsidRPr="0058359D">
              <w:rPr>
                <w:rFonts w:eastAsia="Times New Roman" w:cstheme="minorHAnsi"/>
                <w:lang w:val="en-GB"/>
              </w:rPr>
              <w:t>Detail methodology including workplan</w:t>
            </w:r>
          </w:p>
        </w:tc>
        <w:tc>
          <w:tcPr>
            <w:tcW w:w="2610" w:type="dxa"/>
          </w:tcPr>
          <w:p w14:paraId="22C90F76" w14:textId="77777777" w:rsidR="001E49E9" w:rsidRPr="0058359D" w:rsidRDefault="001E49E9" w:rsidP="00CF480E">
            <w:pPr>
              <w:jc w:val="center"/>
              <w:rPr>
                <w:rFonts w:cstheme="minorHAnsi"/>
              </w:rPr>
            </w:pPr>
            <w:r w:rsidRPr="0058359D">
              <w:rPr>
                <w:rFonts w:cstheme="minorHAnsi"/>
              </w:rPr>
              <w:t>30</w:t>
            </w:r>
          </w:p>
        </w:tc>
      </w:tr>
      <w:tr w:rsidR="001E49E9" w:rsidRPr="0058359D" w14:paraId="1A784047" w14:textId="77777777" w:rsidTr="00CF480E">
        <w:tc>
          <w:tcPr>
            <w:tcW w:w="4405" w:type="dxa"/>
          </w:tcPr>
          <w:p w14:paraId="6A0F5216" w14:textId="77777777" w:rsidR="001E49E9" w:rsidRPr="0058359D" w:rsidRDefault="001E49E9" w:rsidP="00CF480E">
            <w:pPr>
              <w:jc w:val="both"/>
              <w:rPr>
                <w:rFonts w:eastAsia="Times New Roman" w:cstheme="minorHAnsi"/>
                <w:lang w:val="en-GB"/>
              </w:rPr>
            </w:pPr>
          </w:p>
        </w:tc>
        <w:tc>
          <w:tcPr>
            <w:tcW w:w="2610" w:type="dxa"/>
          </w:tcPr>
          <w:p w14:paraId="68CCF8F8" w14:textId="77777777" w:rsidR="001E49E9" w:rsidRPr="0058359D" w:rsidRDefault="001E49E9" w:rsidP="00CF480E">
            <w:pPr>
              <w:jc w:val="center"/>
              <w:rPr>
                <w:rFonts w:cstheme="minorHAnsi"/>
              </w:rPr>
            </w:pPr>
          </w:p>
        </w:tc>
      </w:tr>
      <w:tr w:rsidR="001E49E9" w:rsidRPr="0058359D" w14:paraId="29E9719D" w14:textId="77777777" w:rsidTr="00CF480E">
        <w:tc>
          <w:tcPr>
            <w:tcW w:w="4405" w:type="dxa"/>
          </w:tcPr>
          <w:p w14:paraId="124692C7" w14:textId="77777777" w:rsidR="001E49E9" w:rsidRPr="004828DD" w:rsidRDefault="001E49E9" w:rsidP="00CF480E">
            <w:pPr>
              <w:jc w:val="both"/>
              <w:rPr>
                <w:rFonts w:eastAsia="Times New Roman" w:cstheme="minorHAnsi"/>
                <w:b/>
                <w:lang w:val="en-GB"/>
              </w:rPr>
            </w:pPr>
            <w:r w:rsidRPr="004828DD">
              <w:rPr>
                <w:rFonts w:eastAsia="Times New Roman" w:cstheme="minorHAnsi"/>
                <w:b/>
                <w:lang w:val="en-GB"/>
              </w:rPr>
              <w:t>Total</w:t>
            </w:r>
          </w:p>
        </w:tc>
        <w:tc>
          <w:tcPr>
            <w:tcW w:w="2610" w:type="dxa"/>
          </w:tcPr>
          <w:p w14:paraId="38798B80" w14:textId="77777777" w:rsidR="001E49E9" w:rsidRPr="004828DD" w:rsidRDefault="001E49E9" w:rsidP="00CF480E">
            <w:pPr>
              <w:jc w:val="center"/>
              <w:rPr>
                <w:rFonts w:cstheme="minorHAnsi"/>
                <w:b/>
              </w:rPr>
            </w:pPr>
            <w:r w:rsidRPr="004828DD">
              <w:rPr>
                <w:rFonts w:cstheme="minorHAnsi"/>
                <w:b/>
              </w:rPr>
              <w:t>70</w:t>
            </w:r>
          </w:p>
        </w:tc>
      </w:tr>
    </w:tbl>
    <w:p w14:paraId="7BB84BC7" w14:textId="77777777" w:rsidR="001E49E9" w:rsidRPr="0058359D" w:rsidRDefault="001E49E9" w:rsidP="001E49E9">
      <w:pPr>
        <w:spacing w:after="0"/>
        <w:jc w:val="both"/>
        <w:rPr>
          <w:rFonts w:cstheme="minorHAnsi"/>
        </w:rPr>
      </w:pPr>
    </w:p>
    <w:p w14:paraId="684016E3" w14:textId="12BC8753" w:rsidR="001E49E9" w:rsidRPr="001E49E9" w:rsidRDefault="001E49E9" w:rsidP="001E49E9">
      <w:pPr>
        <w:pStyle w:val="Heading2"/>
        <w:numPr>
          <w:ilvl w:val="1"/>
          <w:numId w:val="9"/>
        </w:numPr>
        <w:rPr>
          <w:rFonts w:asciiTheme="minorHAnsi" w:hAnsiTheme="minorHAnsi" w:cstheme="minorHAnsi"/>
          <w:color w:val="2F5496"/>
          <w:szCs w:val="24"/>
          <w:lang w:eastAsia="de-DE"/>
        </w:rPr>
      </w:pPr>
      <w:r w:rsidRPr="001E49E9">
        <w:rPr>
          <w:rFonts w:asciiTheme="minorHAnsi" w:hAnsiTheme="minorHAnsi" w:cstheme="minorHAnsi"/>
          <w:color w:val="2F5496"/>
          <w:szCs w:val="24"/>
          <w:lang w:eastAsia="de-DE"/>
        </w:rPr>
        <w:t>Selection</w:t>
      </w:r>
    </w:p>
    <w:p w14:paraId="7DBAFD92" w14:textId="77777777" w:rsidR="001E49E9" w:rsidRPr="0058359D" w:rsidRDefault="001E49E9" w:rsidP="001E49E9">
      <w:pPr>
        <w:spacing w:after="0"/>
        <w:jc w:val="both"/>
        <w:rPr>
          <w:rFonts w:eastAsia="Calibri" w:cstheme="minorHAnsi"/>
        </w:rPr>
      </w:pPr>
      <w:r w:rsidRPr="0058359D">
        <w:rPr>
          <w:rFonts w:eastAsia="Calibri" w:cstheme="minorHAnsi"/>
        </w:rPr>
        <w:t>The selection of the potential firm will be based on</w:t>
      </w:r>
      <w:r w:rsidRPr="0058359D">
        <w:rPr>
          <w:rFonts w:eastAsia="Calibri" w:cstheme="minorHAnsi"/>
          <w:vertAlign w:val="superscript"/>
        </w:rPr>
        <w:footnoteReference w:id="1"/>
      </w:r>
      <w:r w:rsidRPr="0058359D">
        <w:rPr>
          <w:rFonts w:eastAsia="Calibri" w:cstheme="minorHAnsi"/>
        </w:rPr>
        <w:t xml:space="preserve">: </w:t>
      </w:r>
    </w:p>
    <w:p w14:paraId="099EB497" w14:textId="4DA82278" w:rsidR="001E49E9" w:rsidRPr="0058359D" w:rsidRDefault="001E49E9" w:rsidP="001E49E9">
      <w:pPr>
        <w:numPr>
          <w:ilvl w:val="0"/>
          <w:numId w:val="15"/>
        </w:numPr>
        <w:spacing w:after="200"/>
        <w:contextualSpacing/>
        <w:jc w:val="both"/>
        <w:rPr>
          <w:rFonts w:eastAsia="Calibri" w:cstheme="minorHAnsi"/>
        </w:rPr>
      </w:pPr>
      <w:r w:rsidRPr="0058359D">
        <w:rPr>
          <w:rFonts w:eastAsia="Calibri" w:cstheme="minorHAnsi"/>
        </w:rPr>
        <w:t>Quality and cost-based evaluation by an evaluation team of Swisscontact;</w:t>
      </w:r>
    </w:p>
    <w:p w14:paraId="2882C3B9" w14:textId="24922AEF" w:rsidR="001E49E9" w:rsidRPr="0058359D" w:rsidRDefault="001E49E9" w:rsidP="001E49E9">
      <w:pPr>
        <w:numPr>
          <w:ilvl w:val="0"/>
          <w:numId w:val="15"/>
        </w:numPr>
        <w:spacing w:after="200"/>
        <w:contextualSpacing/>
        <w:jc w:val="both"/>
        <w:rPr>
          <w:rFonts w:eastAsia="Calibri" w:cstheme="minorHAnsi"/>
        </w:rPr>
      </w:pPr>
      <w:r w:rsidRPr="0058359D">
        <w:rPr>
          <w:rFonts w:eastAsia="Calibri" w:cstheme="minorHAnsi"/>
        </w:rPr>
        <w:t xml:space="preserve">The bidder achieving the highest score in the proposal will be awarded the contract, provided both parties reach an agreement on the final budget. If there is no agreement on the final </w:t>
      </w:r>
      <w:r w:rsidR="00094928" w:rsidRPr="0058359D">
        <w:rPr>
          <w:rFonts w:eastAsia="Calibri" w:cstheme="minorHAnsi"/>
        </w:rPr>
        <w:t>budget,</w:t>
      </w:r>
      <w:r w:rsidRPr="0058359D">
        <w:rPr>
          <w:rFonts w:eastAsia="Calibri" w:cstheme="minorHAnsi"/>
        </w:rPr>
        <w:t xml:space="preserve"> then the bidder with the second highest score will be considered.</w:t>
      </w:r>
    </w:p>
    <w:p w14:paraId="3B9B52E5" w14:textId="77777777" w:rsidR="001E49E9" w:rsidRPr="0058359D" w:rsidRDefault="001E49E9" w:rsidP="001E49E9">
      <w:pPr>
        <w:spacing w:after="0"/>
        <w:ind w:left="720"/>
        <w:contextualSpacing/>
        <w:jc w:val="both"/>
        <w:rPr>
          <w:rFonts w:eastAsia="Calibri" w:cstheme="minorHAnsi"/>
        </w:rPr>
      </w:pPr>
    </w:p>
    <w:p w14:paraId="5D4754A8" w14:textId="77777777" w:rsidR="001E49E9" w:rsidRPr="001E49E9" w:rsidRDefault="001E49E9" w:rsidP="001E49E9">
      <w:pPr>
        <w:pStyle w:val="BodyText"/>
        <w:numPr>
          <w:ilvl w:val="0"/>
          <w:numId w:val="9"/>
        </w:numPr>
        <w:rPr>
          <w:rFonts w:asciiTheme="minorHAnsi" w:eastAsiaTheme="minorHAnsi" w:hAnsiTheme="minorHAnsi" w:cstheme="minorBidi"/>
          <w:b/>
          <w:sz w:val="32"/>
          <w:szCs w:val="22"/>
          <w:lang w:val="en-US" w:eastAsia="de-DE"/>
        </w:rPr>
      </w:pPr>
      <w:r w:rsidRPr="001E49E9">
        <w:rPr>
          <w:rFonts w:asciiTheme="minorHAnsi" w:eastAsiaTheme="minorHAnsi" w:hAnsiTheme="minorHAnsi" w:cstheme="minorBidi"/>
          <w:b/>
          <w:sz w:val="32"/>
          <w:szCs w:val="22"/>
          <w:lang w:val="en-US" w:eastAsia="de-DE"/>
        </w:rPr>
        <w:t>Required Documentation</w:t>
      </w:r>
    </w:p>
    <w:p w14:paraId="1487A7CC" w14:textId="77777777" w:rsidR="001E49E9" w:rsidRPr="0058359D" w:rsidRDefault="001E49E9" w:rsidP="001E49E9">
      <w:pPr>
        <w:jc w:val="both"/>
        <w:rPr>
          <w:rFonts w:eastAsia="Calibri" w:cstheme="minorHAnsi"/>
        </w:rPr>
      </w:pPr>
      <w:r w:rsidRPr="0058359D">
        <w:rPr>
          <w:rFonts w:eastAsia="Calibri" w:cstheme="minorHAnsi"/>
        </w:rPr>
        <w:t xml:space="preserve">In addition to the technical and financial proposals, it is mandatory for bidders to submit necessary documents demonstrating their legal, taxation and financial statuses. The documents should be part of the technical proposal and include the following: </w:t>
      </w:r>
    </w:p>
    <w:p w14:paraId="333CECC4" w14:textId="77777777" w:rsidR="001E49E9" w:rsidRPr="0058359D" w:rsidRDefault="001E49E9" w:rsidP="001E49E9">
      <w:pPr>
        <w:numPr>
          <w:ilvl w:val="0"/>
          <w:numId w:val="16"/>
        </w:numPr>
        <w:spacing w:after="0"/>
        <w:contextualSpacing/>
        <w:jc w:val="both"/>
        <w:rPr>
          <w:rFonts w:eastAsia="Calibri" w:cstheme="minorHAnsi"/>
        </w:rPr>
      </w:pPr>
      <w:r w:rsidRPr="0058359D">
        <w:rPr>
          <w:rFonts w:eastAsia="Calibri" w:cstheme="minorHAnsi"/>
        </w:rPr>
        <w:t>Legal registration document in Bangladesh;</w:t>
      </w:r>
    </w:p>
    <w:p w14:paraId="4353E2C3" w14:textId="77777777" w:rsidR="001E49E9" w:rsidRPr="0058359D" w:rsidRDefault="001E49E9" w:rsidP="001E49E9">
      <w:pPr>
        <w:numPr>
          <w:ilvl w:val="0"/>
          <w:numId w:val="16"/>
        </w:numPr>
        <w:spacing w:after="0"/>
        <w:contextualSpacing/>
        <w:jc w:val="both"/>
        <w:rPr>
          <w:rFonts w:eastAsia="Calibri" w:cstheme="minorHAnsi"/>
        </w:rPr>
      </w:pPr>
      <w:r w:rsidRPr="0058359D">
        <w:rPr>
          <w:rFonts w:eastAsia="Calibri" w:cstheme="minorHAnsi"/>
        </w:rPr>
        <w:t>Tax Identification Number (TIN);</w:t>
      </w:r>
    </w:p>
    <w:p w14:paraId="042F183A" w14:textId="77777777" w:rsidR="001E49E9" w:rsidRPr="0058359D" w:rsidRDefault="001E49E9" w:rsidP="001E49E9">
      <w:pPr>
        <w:numPr>
          <w:ilvl w:val="0"/>
          <w:numId w:val="16"/>
        </w:numPr>
        <w:spacing w:after="0"/>
        <w:contextualSpacing/>
        <w:jc w:val="both"/>
        <w:rPr>
          <w:rFonts w:eastAsia="Calibri" w:cstheme="minorHAnsi"/>
        </w:rPr>
      </w:pPr>
      <w:r w:rsidRPr="0058359D">
        <w:rPr>
          <w:rFonts w:eastAsia="Calibri" w:cstheme="minorHAnsi"/>
        </w:rPr>
        <w:t>VAT registration number;</w:t>
      </w:r>
    </w:p>
    <w:p w14:paraId="1DC12431" w14:textId="77777777" w:rsidR="001E49E9" w:rsidRPr="0058359D" w:rsidRDefault="001E49E9" w:rsidP="001E49E9">
      <w:pPr>
        <w:numPr>
          <w:ilvl w:val="0"/>
          <w:numId w:val="16"/>
        </w:numPr>
        <w:spacing w:after="0"/>
        <w:contextualSpacing/>
        <w:jc w:val="both"/>
        <w:rPr>
          <w:rFonts w:eastAsia="Calibri" w:cstheme="minorHAnsi"/>
        </w:rPr>
      </w:pPr>
      <w:r w:rsidRPr="0058359D">
        <w:rPr>
          <w:rFonts w:eastAsia="Calibri" w:cstheme="minorHAnsi"/>
        </w:rPr>
        <w:lastRenderedPageBreak/>
        <w:t>Other valid papers (Provided by Government institutions);</w:t>
      </w:r>
    </w:p>
    <w:p w14:paraId="15962B58" w14:textId="77777777" w:rsidR="001E49E9" w:rsidRPr="0058359D" w:rsidRDefault="001E49E9" w:rsidP="001E49E9">
      <w:pPr>
        <w:numPr>
          <w:ilvl w:val="0"/>
          <w:numId w:val="16"/>
        </w:numPr>
        <w:spacing w:after="200"/>
        <w:contextualSpacing/>
        <w:jc w:val="both"/>
        <w:rPr>
          <w:rFonts w:eastAsia="Calibri" w:cstheme="minorHAnsi"/>
        </w:rPr>
      </w:pPr>
      <w:r w:rsidRPr="0058359D">
        <w:rPr>
          <w:rFonts w:eastAsia="Calibri" w:cstheme="minorHAnsi"/>
        </w:rPr>
        <w:t xml:space="preserve">The vendor </w:t>
      </w:r>
      <w:proofErr w:type="gramStart"/>
      <w:r w:rsidRPr="0058359D">
        <w:rPr>
          <w:rFonts w:eastAsia="Calibri" w:cstheme="minorHAnsi"/>
        </w:rPr>
        <w:t>has to</w:t>
      </w:r>
      <w:proofErr w:type="gramEnd"/>
      <w:r w:rsidRPr="0058359D">
        <w:rPr>
          <w:rFonts w:eastAsia="Calibri" w:cstheme="minorHAnsi"/>
        </w:rPr>
        <w:t xml:space="preserve"> bear all Annual Income Tax (AIT) and VAT. The total amount of VAT should be mentioned in the financial proposal.</w:t>
      </w:r>
    </w:p>
    <w:p w14:paraId="2338C535" w14:textId="77777777" w:rsidR="009913AB" w:rsidRPr="009913AB" w:rsidRDefault="009913AB" w:rsidP="009913AB">
      <w:pPr>
        <w:pStyle w:val="BodyText"/>
        <w:numPr>
          <w:ilvl w:val="0"/>
          <w:numId w:val="9"/>
        </w:numPr>
        <w:rPr>
          <w:rFonts w:asciiTheme="minorHAnsi" w:eastAsiaTheme="minorHAnsi" w:hAnsiTheme="minorHAnsi" w:cstheme="minorBidi"/>
          <w:b/>
          <w:sz w:val="32"/>
          <w:szCs w:val="22"/>
          <w:lang w:val="en-US" w:eastAsia="de-DE"/>
        </w:rPr>
      </w:pPr>
      <w:r w:rsidRPr="009913AB">
        <w:rPr>
          <w:rFonts w:asciiTheme="minorHAnsi" w:eastAsiaTheme="minorHAnsi" w:hAnsiTheme="minorHAnsi" w:cstheme="minorBidi"/>
          <w:b/>
          <w:sz w:val="32"/>
          <w:szCs w:val="22"/>
          <w:lang w:val="en-US" w:eastAsia="de-DE"/>
        </w:rPr>
        <w:t>Submission Details</w:t>
      </w:r>
    </w:p>
    <w:p w14:paraId="53F24251" w14:textId="77777777" w:rsidR="009913AB" w:rsidRPr="00493BF3" w:rsidRDefault="009913AB" w:rsidP="009913AB">
      <w:pPr>
        <w:jc w:val="both"/>
        <w:rPr>
          <w:rFonts w:cstheme="minorHAnsi"/>
        </w:rPr>
      </w:pPr>
      <w:r w:rsidRPr="00493BF3">
        <w:rPr>
          <w:rFonts w:cstheme="minorHAnsi"/>
        </w:rPr>
        <w:t xml:space="preserve">Interested bidders should submit the technical and financial proposals and other necessary documents as hard (financial and technical proposals in two separate envelopes) and soft copies (in CD) by </w:t>
      </w:r>
      <w:r w:rsidRPr="00493BF3">
        <w:rPr>
          <w:rFonts w:cstheme="minorHAnsi"/>
          <w:b/>
        </w:rPr>
        <w:t>1 November 2018 before 5:00 pm</w:t>
      </w:r>
      <w:r w:rsidRPr="00493BF3">
        <w:rPr>
          <w:rFonts w:cstheme="minorHAnsi"/>
        </w:rPr>
        <w:t xml:space="preserve"> to the address mentioned below. The submission time is between 9 a.m. to 5 p.m. on working days.</w:t>
      </w:r>
    </w:p>
    <w:p w14:paraId="0FE702E2" w14:textId="77777777" w:rsidR="009913AB" w:rsidRPr="00493BF3" w:rsidRDefault="009913AB" w:rsidP="009913AB">
      <w:pPr>
        <w:spacing w:after="0"/>
        <w:jc w:val="both"/>
        <w:rPr>
          <w:rFonts w:cstheme="minorHAnsi"/>
        </w:rPr>
      </w:pPr>
      <w:r w:rsidRPr="00493BF3">
        <w:rPr>
          <w:rFonts w:cstheme="minorHAnsi"/>
        </w:rPr>
        <w:t>Coordinator - Finance &amp; Procurement,</w:t>
      </w:r>
    </w:p>
    <w:p w14:paraId="2C664955" w14:textId="77777777" w:rsidR="009913AB" w:rsidRPr="00493BF3" w:rsidRDefault="009913AB" w:rsidP="009913AB">
      <w:pPr>
        <w:spacing w:after="0"/>
        <w:jc w:val="both"/>
        <w:rPr>
          <w:rFonts w:cstheme="minorHAnsi"/>
        </w:rPr>
      </w:pPr>
      <w:r w:rsidRPr="00493BF3">
        <w:rPr>
          <w:rFonts w:cstheme="minorHAnsi"/>
        </w:rPr>
        <w:t>Swisscontact Bangladesh</w:t>
      </w:r>
    </w:p>
    <w:p w14:paraId="6B180251" w14:textId="77777777" w:rsidR="009913AB" w:rsidRPr="00493BF3" w:rsidRDefault="009913AB" w:rsidP="009913AB">
      <w:pPr>
        <w:spacing w:after="0"/>
        <w:jc w:val="both"/>
        <w:rPr>
          <w:rFonts w:cstheme="minorHAnsi"/>
        </w:rPr>
      </w:pPr>
      <w:r w:rsidRPr="00493BF3">
        <w:rPr>
          <w:rFonts w:cstheme="minorHAnsi"/>
        </w:rPr>
        <w:t xml:space="preserve">House 19, Road 11, Baridhara, Dhaka-1212, Bangladesh </w:t>
      </w:r>
    </w:p>
    <w:p w14:paraId="131DBF5C" w14:textId="77777777" w:rsidR="009913AB" w:rsidRPr="00493BF3" w:rsidRDefault="009913AB" w:rsidP="009913AB">
      <w:pPr>
        <w:spacing w:after="0"/>
        <w:jc w:val="both"/>
        <w:rPr>
          <w:rFonts w:cstheme="minorHAnsi"/>
        </w:rPr>
      </w:pPr>
      <w:r w:rsidRPr="00493BF3">
        <w:rPr>
          <w:rFonts w:cstheme="minorHAnsi"/>
          <w:b/>
        </w:rPr>
        <w:t>E-mail: tamiz.mullick@swisscontact.org</w:t>
      </w:r>
      <w:r w:rsidRPr="00493BF3" w:rsidDel="002C682C">
        <w:rPr>
          <w:rFonts w:cstheme="minorHAnsi"/>
          <w:b/>
        </w:rPr>
        <w:t xml:space="preserve"> </w:t>
      </w:r>
      <w:r w:rsidRPr="00493BF3">
        <w:rPr>
          <w:rStyle w:val="Hyperlink"/>
          <w:rFonts w:cstheme="minorHAnsi"/>
          <w:b/>
          <w:color w:val="auto"/>
        </w:rPr>
        <w:t xml:space="preserve"> </w:t>
      </w:r>
    </w:p>
    <w:p w14:paraId="41AAD084" w14:textId="77777777" w:rsidR="001E49E9" w:rsidRPr="0058359D" w:rsidRDefault="001E49E9" w:rsidP="00BE26F7">
      <w:pPr>
        <w:pStyle w:val="BodyText"/>
        <w:rPr>
          <w:rFonts w:asciiTheme="minorHAnsi" w:hAnsiTheme="minorHAnsi" w:cstheme="minorHAnsi"/>
          <w:szCs w:val="22"/>
        </w:rPr>
      </w:pPr>
    </w:p>
    <w:sectPr w:rsidR="001E49E9" w:rsidRPr="005835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CD88D" w14:textId="77777777" w:rsidR="007C1B62" w:rsidRDefault="007C1B62" w:rsidP="00F90339">
      <w:pPr>
        <w:spacing w:after="0" w:line="240" w:lineRule="auto"/>
      </w:pPr>
      <w:r>
        <w:separator/>
      </w:r>
    </w:p>
  </w:endnote>
  <w:endnote w:type="continuationSeparator" w:id="0">
    <w:p w14:paraId="710B4D56" w14:textId="77777777" w:rsidR="007C1B62" w:rsidRDefault="007C1B62" w:rsidP="00F9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C85D2" w14:textId="77777777" w:rsidR="007C1B62" w:rsidRDefault="007C1B62" w:rsidP="00F90339">
      <w:pPr>
        <w:spacing w:after="0" w:line="240" w:lineRule="auto"/>
      </w:pPr>
      <w:r>
        <w:separator/>
      </w:r>
    </w:p>
  </w:footnote>
  <w:footnote w:type="continuationSeparator" w:id="0">
    <w:p w14:paraId="558DE2DD" w14:textId="77777777" w:rsidR="007C1B62" w:rsidRDefault="007C1B62" w:rsidP="00F90339">
      <w:pPr>
        <w:spacing w:after="0" w:line="240" w:lineRule="auto"/>
      </w:pPr>
      <w:r>
        <w:continuationSeparator/>
      </w:r>
    </w:p>
  </w:footnote>
  <w:footnote w:id="1">
    <w:p w14:paraId="50C7E7FE" w14:textId="77777777" w:rsidR="001E49E9" w:rsidRPr="00E576DC" w:rsidRDefault="001E49E9" w:rsidP="001E49E9">
      <w:pPr>
        <w:pStyle w:val="FootnoteText"/>
        <w:ind w:left="360" w:hanging="360"/>
        <w:rPr>
          <w:rFonts w:ascii="Calibri" w:hAnsi="Calibri" w:cs="Calibri"/>
          <w:sz w:val="16"/>
          <w:szCs w:val="16"/>
        </w:rPr>
      </w:pPr>
      <w:r w:rsidRPr="00E576DC">
        <w:rPr>
          <w:rStyle w:val="FootnoteReference"/>
          <w:rFonts w:ascii="Calibri" w:hAnsi="Calibri" w:cs="Calibri"/>
          <w:sz w:val="16"/>
          <w:szCs w:val="16"/>
        </w:rPr>
        <w:footnoteRef/>
      </w:r>
      <w:r w:rsidRPr="00E576DC">
        <w:rPr>
          <w:rFonts w:ascii="Calibri" w:hAnsi="Calibri" w:cs="Calibri"/>
          <w:sz w:val="16"/>
          <w:szCs w:val="16"/>
        </w:rPr>
        <w:t xml:space="preserve">  a) Swisscontact has no obligation to award the contract to any applicant if the proposals submitted do not match the quality and/or the budget requirements of Swisscontact</w:t>
      </w:r>
    </w:p>
    <w:p w14:paraId="201BDC15" w14:textId="77777777" w:rsidR="001E49E9" w:rsidRDefault="001E49E9" w:rsidP="001E49E9">
      <w:pPr>
        <w:pStyle w:val="FootnoteText"/>
        <w:ind w:left="360" w:hanging="360"/>
      </w:pPr>
      <w:r w:rsidRPr="00E576DC">
        <w:rPr>
          <w:rFonts w:ascii="Calibri" w:hAnsi="Calibri" w:cs="Calibri"/>
          <w:sz w:val="16"/>
          <w:szCs w:val="16"/>
        </w:rPr>
        <w:t xml:space="preserve">     b) Swisscontact has no obligation to provide any further information to bidders or any other third party about the evaluation process and its results</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b w:val="0"/>
        <w:i w:val="0"/>
        <w:strike w:val="0"/>
        <w:u w:val="none"/>
      </w:rPr>
    </w:lvl>
    <w:lvl w:ilvl="5">
      <w:start w:val="1"/>
      <w:numFmt w:val="decimal"/>
      <w:lvlText w:val="%1.%2.%3.%4.%5.%6."/>
      <w:lvlJc w:val="left"/>
      <w:pPr>
        <w:ind w:left="2736" w:hanging="936"/>
      </w:pPr>
      <w:rPr>
        <w:rFonts w:hint="default"/>
        <w:b w:val="0"/>
        <w:i w:val="0"/>
        <w:strike w:val="0"/>
        <w:u w:val="none"/>
      </w:rPr>
    </w:lvl>
    <w:lvl w:ilvl="6">
      <w:start w:val="1"/>
      <w:numFmt w:val="decimal"/>
      <w:lvlText w:val="%1.%2.%3.%4.%5.%6.%7."/>
      <w:lvlJc w:val="left"/>
      <w:pPr>
        <w:ind w:left="3240" w:hanging="1080"/>
      </w:pPr>
      <w:rPr>
        <w:rFonts w:hint="default"/>
        <w:b w:val="0"/>
        <w:i w:val="0"/>
        <w:strike w:val="0"/>
        <w:u w:val="none"/>
      </w:rPr>
    </w:lvl>
    <w:lvl w:ilvl="7">
      <w:start w:val="1"/>
      <w:numFmt w:val="decimal"/>
      <w:lvlText w:val="%1.%2.%3.%4.%5.%6.%7.%8."/>
      <w:lvlJc w:val="left"/>
      <w:pPr>
        <w:ind w:left="3744" w:hanging="1224"/>
      </w:pPr>
      <w:rPr>
        <w:rFonts w:hint="default"/>
        <w:b w:val="0"/>
        <w:i w:val="0"/>
        <w:strike w:val="0"/>
        <w:u w:val="none"/>
      </w:rPr>
    </w:lvl>
    <w:lvl w:ilvl="8">
      <w:start w:val="1"/>
      <w:numFmt w:val="decimal"/>
      <w:lvlText w:val="%1.%2.%3.%4.%5.%6.%7.%8.%9."/>
      <w:lvlJc w:val="left"/>
      <w:pPr>
        <w:ind w:left="4320" w:hanging="1440"/>
      </w:pPr>
      <w:rPr>
        <w:rFonts w:hint="default"/>
        <w:b w:val="0"/>
        <w:i w:val="0"/>
        <w:strike w:val="0"/>
        <w:u w:val="none"/>
      </w:rPr>
    </w:lvl>
  </w:abstractNum>
  <w:abstractNum w:abstractNumId="1" w15:restartNumberingAfterBreak="0">
    <w:nsid w:val="FFFFFFFE"/>
    <w:multiLevelType w:val="singleLevel"/>
    <w:tmpl w:val="FEF217D4"/>
    <w:lvl w:ilvl="0">
      <w:numFmt w:val="decimal"/>
      <w:lvlText w:val="*"/>
      <w:lvlJc w:val="left"/>
    </w:lvl>
  </w:abstractNum>
  <w:abstractNum w:abstractNumId="2" w15:restartNumberingAfterBreak="0">
    <w:nsid w:val="0DD96F38"/>
    <w:multiLevelType w:val="hybridMultilevel"/>
    <w:tmpl w:val="2CD40F00"/>
    <w:lvl w:ilvl="0" w:tplc="BF9EA5DE">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859FE"/>
    <w:multiLevelType w:val="hybridMultilevel"/>
    <w:tmpl w:val="6C2C5300"/>
    <w:lvl w:ilvl="0" w:tplc="94A4F902">
      <w:start w:val="1"/>
      <w:numFmt w:val="lowerLetter"/>
      <w:lvlText w:val="%1)"/>
      <w:lvlJc w:val="left"/>
      <w:pPr>
        <w:tabs>
          <w:tab w:val="num" w:pos="720"/>
        </w:tabs>
        <w:ind w:left="720" w:hanging="360"/>
      </w:pPr>
    </w:lvl>
    <w:lvl w:ilvl="1" w:tplc="68CE1DF8">
      <w:start w:val="1"/>
      <w:numFmt w:val="lowerLetter"/>
      <w:lvlText w:val="%2)"/>
      <w:lvlJc w:val="left"/>
      <w:pPr>
        <w:tabs>
          <w:tab w:val="num" w:pos="1440"/>
        </w:tabs>
        <w:ind w:left="1440" w:hanging="360"/>
      </w:pPr>
    </w:lvl>
    <w:lvl w:ilvl="2" w:tplc="1B9EC904">
      <w:start w:val="1"/>
      <w:numFmt w:val="lowerLetter"/>
      <w:lvlText w:val="%3)"/>
      <w:lvlJc w:val="left"/>
      <w:pPr>
        <w:tabs>
          <w:tab w:val="num" w:pos="2160"/>
        </w:tabs>
        <w:ind w:left="2160" w:hanging="360"/>
      </w:pPr>
    </w:lvl>
    <w:lvl w:ilvl="3" w:tplc="2D5A5C1A">
      <w:start w:val="1"/>
      <w:numFmt w:val="lowerLetter"/>
      <w:lvlText w:val="%4)"/>
      <w:lvlJc w:val="left"/>
      <w:pPr>
        <w:tabs>
          <w:tab w:val="num" w:pos="2880"/>
        </w:tabs>
        <w:ind w:left="2880" w:hanging="360"/>
      </w:pPr>
    </w:lvl>
    <w:lvl w:ilvl="4" w:tplc="AF54963E">
      <w:start w:val="1"/>
      <w:numFmt w:val="lowerLetter"/>
      <w:lvlText w:val="%5)"/>
      <w:lvlJc w:val="left"/>
      <w:pPr>
        <w:tabs>
          <w:tab w:val="num" w:pos="3600"/>
        </w:tabs>
        <w:ind w:left="3600" w:hanging="360"/>
      </w:pPr>
    </w:lvl>
    <w:lvl w:ilvl="5" w:tplc="37760094">
      <w:start w:val="1"/>
      <w:numFmt w:val="lowerLetter"/>
      <w:lvlText w:val="%6)"/>
      <w:lvlJc w:val="left"/>
      <w:pPr>
        <w:tabs>
          <w:tab w:val="num" w:pos="4320"/>
        </w:tabs>
        <w:ind w:left="4320" w:hanging="360"/>
      </w:pPr>
    </w:lvl>
    <w:lvl w:ilvl="6" w:tplc="6E7AC67A">
      <w:start w:val="1"/>
      <w:numFmt w:val="lowerLetter"/>
      <w:lvlText w:val="%7)"/>
      <w:lvlJc w:val="left"/>
      <w:pPr>
        <w:tabs>
          <w:tab w:val="num" w:pos="5040"/>
        </w:tabs>
        <w:ind w:left="5040" w:hanging="360"/>
      </w:pPr>
    </w:lvl>
    <w:lvl w:ilvl="7" w:tplc="DEBED8F4">
      <w:start w:val="1"/>
      <w:numFmt w:val="lowerLetter"/>
      <w:lvlText w:val="%8)"/>
      <w:lvlJc w:val="left"/>
      <w:pPr>
        <w:tabs>
          <w:tab w:val="num" w:pos="5760"/>
        </w:tabs>
        <w:ind w:left="5760" w:hanging="360"/>
      </w:pPr>
    </w:lvl>
    <w:lvl w:ilvl="8" w:tplc="B4547F18">
      <w:start w:val="1"/>
      <w:numFmt w:val="lowerLetter"/>
      <w:lvlText w:val="%9)"/>
      <w:lvlJc w:val="left"/>
      <w:pPr>
        <w:tabs>
          <w:tab w:val="num" w:pos="6480"/>
        </w:tabs>
        <w:ind w:left="6480" w:hanging="360"/>
      </w:pPr>
    </w:lvl>
  </w:abstractNum>
  <w:abstractNum w:abstractNumId="4" w15:restartNumberingAfterBreak="0">
    <w:nsid w:val="1E3E6549"/>
    <w:multiLevelType w:val="hybridMultilevel"/>
    <w:tmpl w:val="DE0E65B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4B32B5E"/>
    <w:multiLevelType w:val="hybridMultilevel"/>
    <w:tmpl w:val="A74693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5B65C6"/>
    <w:multiLevelType w:val="hybridMultilevel"/>
    <w:tmpl w:val="E3E41DA4"/>
    <w:lvl w:ilvl="0" w:tplc="5BEE106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9B28E7"/>
    <w:multiLevelType w:val="hybridMultilevel"/>
    <w:tmpl w:val="B57CEE38"/>
    <w:lvl w:ilvl="0" w:tplc="BF9EA5DE">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C188E"/>
    <w:multiLevelType w:val="hybridMultilevel"/>
    <w:tmpl w:val="D052751A"/>
    <w:lvl w:ilvl="0" w:tplc="1D7EEC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BD16A9"/>
    <w:multiLevelType w:val="hybridMultilevel"/>
    <w:tmpl w:val="EF786368"/>
    <w:lvl w:ilvl="0" w:tplc="BF9EA5DE">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553FDB"/>
    <w:multiLevelType w:val="hybridMultilevel"/>
    <w:tmpl w:val="E21E5320"/>
    <w:lvl w:ilvl="0" w:tplc="BF9EA5DE">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763242"/>
    <w:multiLevelType w:val="multilevel"/>
    <w:tmpl w:val="C7D0EEDA"/>
    <w:lvl w:ilvl="0">
      <w:start w:val="1"/>
      <w:numFmt w:val="decimal"/>
      <w:lvlText w:val="%1."/>
      <w:lvlJc w:val="left"/>
      <w:pPr>
        <w:ind w:left="360" w:hanging="360"/>
      </w:pPr>
      <w:rPr>
        <w:rFonts w:hint="default"/>
        <w:b/>
        <w:color w:val="auto"/>
        <w:sz w:val="32"/>
        <w:szCs w:val="32"/>
      </w:rPr>
    </w:lvl>
    <w:lvl w:ilvl="1">
      <w:start w:val="1"/>
      <w:numFmt w:val="decimal"/>
      <w:lvlText w:val="%1.%2."/>
      <w:lvlJc w:val="left"/>
      <w:pPr>
        <w:ind w:left="792" w:hanging="432"/>
      </w:pPr>
      <w:rPr>
        <w:rFonts w:ascii="Calibri" w:hAnsi="Calibri" w:hint="default"/>
        <w:sz w:val="28"/>
        <w:szCs w:val="28"/>
      </w:rPr>
    </w:lvl>
    <w:lvl w:ilvl="2">
      <w:start w:val="1"/>
      <w:numFmt w:val="decimal"/>
      <w:lvlText w:val="%1.%2.%3."/>
      <w:lvlJc w:val="left"/>
      <w:pPr>
        <w:ind w:left="1224" w:hanging="504"/>
      </w:pPr>
      <w:rPr>
        <w:sz w:val="24"/>
      </w:rPr>
    </w:lvl>
    <w:lvl w:ilvl="3">
      <w:start w:val="1"/>
      <w:numFmt w:val="decimal"/>
      <w:lvlText w:val="%1.%2.%3.%4."/>
      <w:lvlJc w:val="left"/>
      <w:pPr>
        <w:ind w:left="1728" w:hanging="648"/>
      </w:pPr>
      <w:rPr>
        <w:rFonts w:ascii="Calibri" w:hAnsi="Calibri" w:hint="default"/>
        <w:color w:val="1F4E79" w:themeColor="accent5" w:themeShade="80"/>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BEB3404"/>
    <w:multiLevelType w:val="hybridMultilevel"/>
    <w:tmpl w:val="7C8695EA"/>
    <w:lvl w:ilvl="0" w:tplc="BF9EA5DE">
      <w:start w:val="3"/>
      <w:numFmt w:val="bullet"/>
      <w:lvlText w:val="-"/>
      <w:lvlJc w:val="left"/>
      <w:pPr>
        <w:ind w:left="720" w:hanging="360"/>
      </w:pPr>
      <w:rPr>
        <w:rFonts w:ascii="Calibri" w:eastAsia="Calibri" w:hAnsi="Calibri" w:cs="Calibr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Wingdings" w:hAnsi="Wingdings" w:hint="default"/>
          <w:sz w:val="18"/>
        </w:rPr>
      </w:lvl>
    </w:lvlOverride>
  </w:num>
  <w:num w:numId="3">
    <w:abstractNumId w:val="5"/>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8"/>
  </w:num>
  <w:num w:numId="8">
    <w:abstractNumId w:val="4"/>
  </w:num>
  <w:num w:numId="9">
    <w:abstractNumId w:val="11"/>
  </w:num>
  <w:num w:numId="10">
    <w:abstractNumId w:val="0"/>
  </w:num>
  <w:num w:numId="11">
    <w:abstractNumId w:val="0"/>
  </w:num>
  <w:num w:numId="12">
    <w:abstractNumId w:val="9"/>
  </w:num>
  <w:num w:numId="13">
    <w:abstractNumId w:val="10"/>
  </w:num>
  <w:num w:numId="14">
    <w:abstractNumId w:val="7"/>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ysjQ3sjQ0NDA3NzRX0lEKTi0uzszPAykwrAUAVBPmHiwAAAA="/>
  </w:docVars>
  <w:rsids>
    <w:rsidRoot w:val="006D2CE5"/>
    <w:rsid w:val="00045DB6"/>
    <w:rsid w:val="0006186B"/>
    <w:rsid w:val="00071694"/>
    <w:rsid w:val="00072728"/>
    <w:rsid w:val="00081986"/>
    <w:rsid w:val="00094928"/>
    <w:rsid w:val="0016379F"/>
    <w:rsid w:val="001855B2"/>
    <w:rsid w:val="001D3EFA"/>
    <w:rsid w:val="001D6005"/>
    <w:rsid w:val="001E49E9"/>
    <w:rsid w:val="002119BE"/>
    <w:rsid w:val="0029202E"/>
    <w:rsid w:val="002C271E"/>
    <w:rsid w:val="002D7143"/>
    <w:rsid w:val="00315287"/>
    <w:rsid w:val="003C04DB"/>
    <w:rsid w:val="003E3D8E"/>
    <w:rsid w:val="00420D86"/>
    <w:rsid w:val="0046718F"/>
    <w:rsid w:val="004673F2"/>
    <w:rsid w:val="0047627E"/>
    <w:rsid w:val="00476C24"/>
    <w:rsid w:val="004828DD"/>
    <w:rsid w:val="004E5F1D"/>
    <w:rsid w:val="0054163E"/>
    <w:rsid w:val="005432B0"/>
    <w:rsid w:val="00574B27"/>
    <w:rsid w:val="005940E7"/>
    <w:rsid w:val="005A4165"/>
    <w:rsid w:val="005F072D"/>
    <w:rsid w:val="006061AF"/>
    <w:rsid w:val="00623E47"/>
    <w:rsid w:val="00624067"/>
    <w:rsid w:val="006533FC"/>
    <w:rsid w:val="006A4A21"/>
    <w:rsid w:val="006C2DB1"/>
    <w:rsid w:val="006C34C9"/>
    <w:rsid w:val="006D2CE5"/>
    <w:rsid w:val="006D51FE"/>
    <w:rsid w:val="00705988"/>
    <w:rsid w:val="007C1B62"/>
    <w:rsid w:val="007F1E9A"/>
    <w:rsid w:val="00802FE7"/>
    <w:rsid w:val="00841DF7"/>
    <w:rsid w:val="00864679"/>
    <w:rsid w:val="008A00B1"/>
    <w:rsid w:val="008A77E5"/>
    <w:rsid w:val="00924393"/>
    <w:rsid w:val="00953A29"/>
    <w:rsid w:val="009913AB"/>
    <w:rsid w:val="009A208F"/>
    <w:rsid w:val="009D35FA"/>
    <w:rsid w:val="00A1604C"/>
    <w:rsid w:val="00A24B66"/>
    <w:rsid w:val="00A673C2"/>
    <w:rsid w:val="00A8214A"/>
    <w:rsid w:val="00AF6E25"/>
    <w:rsid w:val="00AF78DF"/>
    <w:rsid w:val="00B060BF"/>
    <w:rsid w:val="00B268A1"/>
    <w:rsid w:val="00B60214"/>
    <w:rsid w:val="00BA0298"/>
    <w:rsid w:val="00BE26F7"/>
    <w:rsid w:val="00C0197F"/>
    <w:rsid w:val="00C168A9"/>
    <w:rsid w:val="00C25E3E"/>
    <w:rsid w:val="00C330A7"/>
    <w:rsid w:val="00C60879"/>
    <w:rsid w:val="00D335DF"/>
    <w:rsid w:val="00D36DF1"/>
    <w:rsid w:val="00D61CC9"/>
    <w:rsid w:val="00D63E2C"/>
    <w:rsid w:val="00D82C8C"/>
    <w:rsid w:val="00DA42A4"/>
    <w:rsid w:val="00DB642F"/>
    <w:rsid w:val="00E141C0"/>
    <w:rsid w:val="00E23996"/>
    <w:rsid w:val="00E425B9"/>
    <w:rsid w:val="00EA056B"/>
    <w:rsid w:val="00EE2750"/>
    <w:rsid w:val="00F15200"/>
    <w:rsid w:val="00F657F4"/>
    <w:rsid w:val="00F7706C"/>
    <w:rsid w:val="00F90339"/>
    <w:rsid w:val="00FB060D"/>
    <w:rsid w:val="00FF0864"/>
    <w:rsid w:val="00FF1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7FD8D"/>
  <w15:chartTrackingRefBased/>
  <w15:docId w15:val="{8F68C138-F7BA-4A88-B1E0-F17469F1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Heading2"/>
    <w:next w:val="BodyText"/>
    <w:link w:val="Heading1Char"/>
    <w:qFormat/>
    <w:rsid w:val="006D2CE5"/>
    <w:pPr>
      <w:pageBreakBefore/>
      <w:spacing w:before="0" w:line="360" w:lineRule="exact"/>
      <w:outlineLvl w:val="0"/>
    </w:pPr>
    <w:rPr>
      <w:sz w:val="32"/>
    </w:rPr>
  </w:style>
  <w:style w:type="paragraph" w:styleId="Heading2">
    <w:name w:val="heading 2"/>
    <w:basedOn w:val="BodyText"/>
    <w:next w:val="BodyText"/>
    <w:link w:val="Heading2Char"/>
    <w:qFormat/>
    <w:rsid w:val="006D2CE5"/>
    <w:pPr>
      <w:keepNext/>
      <w:spacing w:before="260" w:after="140" w:line="320" w:lineRule="exact"/>
      <w:jc w:val="left"/>
      <w:outlineLvl w:val="1"/>
    </w:pPr>
    <w:rPr>
      <w:b/>
      <w:sz w:val="28"/>
    </w:rPr>
  </w:style>
  <w:style w:type="paragraph" w:styleId="Heading3">
    <w:name w:val="heading 3"/>
    <w:basedOn w:val="Heading4"/>
    <w:next w:val="BodyText"/>
    <w:link w:val="Heading3Char"/>
    <w:qFormat/>
    <w:rsid w:val="006D2CE5"/>
    <w:pPr>
      <w:outlineLvl w:val="2"/>
    </w:pPr>
    <w:rPr>
      <w:i w:val="0"/>
    </w:rPr>
  </w:style>
  <w:style w:type="paragraph" w:styleId="Heading4">
    <w:name w:val="heading 4"/>
    <w:basedOn w:val="Heading5"/>
    <w:next w:val="BodyText"/>
    <w:link w:val="Heading4Char"/>
    <w:qFormat/>
    <w:rsid w:val="006D2CE5"/>
    <w:pPr>
      <w:spacing w:line="280" w:lineRule="exact"/>
      <w:outlineLvl w:val="3"/>
    </w:pPr>
    <w:rPr>
      <w:b/>
      <w:sz w:val="24"/>
    </w:rPr>
  </w:style>
  <w:style w:type="paragraph" w:styleId="Heading5">
    <w:name w:val="heading 5"/>
    <w:basedOn w:val="BodyText"/>
    <w:next w:val="BodyText"/>
    <w:link w:val="Heading5Char"/>
    <w:qFormat/>
    <w:rsid w:val="006D2CE5"/>
    <w:pPr>
      <w:keepNext/>
      <w:spacing w:before="260" w:after="140" w:line="260" w:lineRule="exact"/>
      <w:jc w:val="left"/>
      <w:outlineLvl w:val="4"/>
    </w:pPr>
    <w:rPr>
      <w:i/>
    </w:rPr>
  </w:style>
  <w:style w:type="paragraph" w:styleId="Heading6">
    <w:name w:val="heading 6"/>
    <w:basedOn w:val="Normal"/>
    <w:next w:val="Normal"/>
    <w:link w:val="Heading6Char"/>
    <w:qFormat/>
    <w:rsid w:val="006D2CE5"/>
    <w:pPr>
      <w:overflowPunct w:val="0"/>
      <w:autoSpaceDE w:val="0"/>
      <w:autoSpaceDN w:val="0"/>
      <w:adjustRightInd w:val="0"/>
      <w:spacing w:after="0" w:line="260" w:lineRule="atLeast"/>
      <w:textAlignment w:val="baseline"/>
      <w:outlineLvl w:val="5"/>
    </w:pPr>
    <w:rPr>
      <w:rFonts w:ascii="Times New Roman" w:eastAsia="Times New Roman" w:hAnsi="Times New Roman" w:cs="Times New Roman"/>
      <w:szCs w:val="20"/>
      <w:lang w:val="en-GB"/>
    </w:rPr>
  </w:style>
  <w:style w:type="paragraph" w:styleId="Heading7">
    <w:name w:val="heading 7"/>
    <w:basedOn w:val="Normal"/>
    <w:next w:val="Normal"/>
    <w:link w:val="Heading7Char"/>
    <w:qFormat/>
    <w:rsid w:val="006D2CE5"/>
    <w:pPr>
      <w:overflowPunct w:val="0"/>
      <w:autoSpaceDE w:val="0"/>
      <w:autoSpaceDN w:val="0"/>
      <w:adjustRightInd w:val="0"/>
      <w:spacing w:after="0" w:line="260" w:lineRule="atLeast"/>
      <w:textAlignment w:val="baseline"/>
      <w:outlineLvl w:val="6"/>
    </w:pPr>
    <w:rPr>
      <w:rFonts w:ascii="Times New Roman" w:eastAsia="Times New Roman" w:hAnsi="Times New Roman" w:cs="Times New Roman"/>
      <w:szCs w:val="20"/>
      <w:lang w:val="en-GB"/>
    </w:rPr>
  </w:style>
  <w:style w:type="paragraph" w:styleId="Heading8">
    <w:name w:val="heading 8"/>
    <w:basedOn w:val="Normal"/>
    <w:next w:val="Normal"/>
    <w:link w:val="Heading8Char"/>
    <w:qFormat/>
    <w:rsid w:val="006D2CE5"/>
    <w:pPr>
      <w:overflowPunct w:val="0"/>
      <w:autoSpaceDE w:val="0"/>
      <w:autoSpaceDN w:val="0"/>
      <w:adjustRightInd w:val="0"/>
      <w:spacing w:after="0" w:line="260" w:lineRule="atLeast"/>
      <w:textAlignment w:val="baseline"/>
      <w:outlineLvl w:val="7"/>
    </w:pPr>
    <w:rPr>
      <w:rFonts w:ascii="Times New Roman" w:eastAsia="Times New Roman" w:hAnsi="Times New Roman" w:cs="Times New Roman"/>
      <w:szCs w:val="20"/>
      <w:lang w:val="en-GB"/>
    </w:rPr>
  </w:style>
  <w:style w:type="paragraph" w:styleId="Heading9">
    <w:name w:val="heading 9"/>
    <w:basedOn w:val="Normal"/>
    <w:next w:val="Normal"/>
    <w:link w:val="Heading9Char"/>
    <w:qFormat/>
    <w:rsid w:val="006D2CE5"/>
    <w:pPr>
      <w:overflowPunct w:val="0"/>
      <w:autoSpaceDE w:val="0"/>
      <w:autoSpaceDN w:val="0"/>
      <w:adjustRightInd w:val="0"/>
      <w:spacing w:after="0" w:line="260" w:lineRule="atLeast"/>
      <w:textAlignment w:val="baseline"/>
      <w:outlineLvl w:val="8"/>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2CE5"/>
    <w:rPr>
      <w:rFonts w:ascii="Times New Roman" w:eastAsia="Times New Roman" w:hAnsi="Times New Roman" w:cs="Times New Roman"/>
      <w:b/>
      <w:sz w:val="32"/>
      <w:szCs w:val="20"/>
      <w:lang w:val="en-GB"/>
    </w:rPr>
  </w:style>
  <w:style w:type="character" w:customStyle="1" w:styleId="Heading2Char">
    <w:name w:val="Heading 2 Char"/>
    <w:basedOn w:val="DefaultParagraphFont"/>
    <w:link w:val="Heading2"/>
    <w:rsid w:val="006D2CE5"/>
    <w:rPr>
      <w:rFonts w:ascii="Times New Roman" w:eastAsia="Times New Roman" w:hAnsi="Times New Roman" w:cs="Times New Roman"/>
      <w:b/>
      <w:sz w:val="28"/>
      <w:szCs w:val="20"/>
      <w:lang w:val="en-GB"/>
    </w:rPr>
  </w:style>
  <w:style w:type="character" w:customStyle="1" w:styleId="Heading3Char">
    <w:name w:val="Heading 3 Char"/>
    <w:basedOn w:val="DefaultParagraphFont"/>
    <w:link w:val="Heading3"/>
    <w:rsid w:val="006D2CE5"/>
    <w:rPr>
      <w:rFonts w:ascii="Times New Roman" w:eastAsia="Times New Roman" w:hAnsi="Times New Roman" w:cs="Times New Roman"/>
      <w:b/>
      <w:sz w:val="24"/>
      <w:szCs w:val="20"/>
      <w:lang w:val="en-GB"/>
    </w:rPr>
  </w:style>
  <w:style w:type="character" w:customStyle="1" w:styleId="Heading4Char">
    <w:name w:val="Heading 4 Char"/>
    <w:basedOn w:val="DefaultParagraphFont"/>
    <w:link w:val="Heading4"/>
    <w:rsid w:val="006D2CE5"/>
    <w:rPr>
      <w:rFonts w:ascii="Times New Roman" w:eastAsia="Times New Roman" w:hAnsi="Times New Roman" w:cs="Times New Roman"/>
      <w:b/>
      <w:i/>
      <w:sz w:val="24"/>
      <w:szCs w:val="20"/>
      <w:lang w:val="en-GB"/>
    </w:rPr>
  </w:style>
  <w:style w:type="character" w:customStyle="1" w:styleId="Heading5Char">
    <w:name w:val="Heading 5 Char"/>
    <w:basedOn w:val="DefaultParagraphFont"/>
    <w:link w:val="Heading5"/>
    <w:rsid w:val="006D2CE5"/>
    <w:rPr>
      <w:rFonts w:ascii="Times New Roman" w:eastAsia="Times New Roman" w:hAnsi="Times New Roman" w:cs="Times New Roman"/>
      <w:i/>
      <w:szCs w:val="20"/>
      <w:lang w:val="en-GB"/>
    </w:rPr>
  </w:style>
  <w:style w:type="character" w:customStyle="1" w:styleId="Heading6Char">
    <w:name w:val="Heading 6 Char"/>
    <w:basedOn w:val="DefaultParagraphFont"/>
    <w:link w:val="Heading6"/>
    <w:rsid w:val="006D2CE5"/>
    <w:rPr>
      <w:rFonts w:ascii="Times New Roman" w:eastAsia="Times New Roman" w:hAnsi="Times New Roman" w:cs="Times New Roman"/>
      <w:szCs w:val="20"/>
      <w:lang w:val="en-GB"/>
    </w:rPr>
  </w:style>
  <w:style w:type="character" w:customStyle="1" w:styleId="Heading7Char">
    <w:name w:val="Heading 7 Char"/>
    <w:basedOn w:val="DefaultParagraphFont"/>
    <w:link w:val="Heading7"/>
    <w:rsid w:val="006D2CE5"/>
    <w:rPr>
      <w:rFonts w:ascii="Times New Roman" w:eastAsia="Times New Roman" w:hAnsi="Times New Roman" w:cs="Times New Roman"/>
      <w:szCs w:val="20"/>
      <w:lang w:val="en-GB"/>
    </w:rPr>
  </w:style>
  <w:style w:type="character" w:customStyle="1" w:styleId="Heading8Char">
    <w:name w:val="Heading 8 Char"/>
    <w:basedOn w:val="DefaultParagraphFont"/>
    <w:link w:val="Heading8"/>
    <w:rsid w:val="006D2CE5"/>
    <w:rPr>
      <w:rFonts w:ascii="Times New Roman" w:eastAsia="Times New Roman" w:hAnsi="Times New Roman" w:cs="Times New Roman"/>
      <w:szCs w:val="20"/>
      <w:lang w:val="en-GB"/>
    </w:rPr>
  </w:style>
  <w:style w:type="character" w:customStyle="1" w:styleId="Heading9Char">
    <w:name w:val="Heading 9 Char"/>
    <w:basedOn w:val="DefaultParagraphFont"/>
    <w:link w:val="Heading9"/>
    <w:rsid w:val="006D2CE5"/>
    <w:rPr>
      <w:rFonts w:ascii="Times New Roman" w:eastAsia="Times New Roman" w:hAnsi="Times New Roman" w:cs="Times New Roman"/>
      <w:szCs w:val="20"/>
      <w:lang w:val="en-GB"/>
    </w:rPr>
  </w:style>
  <w:style w:type="paragraph" w:styleId="BodyText">
    <w:name w:val="Body Text"/>
    <w:aliases w:val=" Char,Char,Char Char"/>
    <w:basedOn w:val="Normal"/>
    <w:link w:val="BodyTextChar"/>
    <w:rsid w:val="006D2CE5"/>
    <w:pPr>
      <w:overflowPunct w:val="0"/>
      <w:autoSpaceDE w:val="0"/>
      <w:autoSpaceDN w:val="0"/>
      <w:adjustRightInd w:val="0"/>
      <w:spacing w:after="260" w:line="260" w:lineRule="atLeast"/>
      <w:jc w:val="both"/>
      <w:textAlignment w:val="baseline"/>
    </w:pPr>
    <w:rPr>
      <w:rFonts w:ascii="Times New Roman" w:eastAsia="Times New Roman" w:hAnsi="Times New Roman" w:cs="Times New Roman"/>
      <w:szCs w:val="20"/>
      <w:lang w:val="en-GB"/>
    </w:rPr>
  </w:style>
  <w:style w:type="character" w:customStyle="1" w:styleId="BodyTextChar">
    <w:name w:val="Body Text Char"/>
    <w:aliases w:val=" Char Char,Char Char1,Char Char Char"/>
    <w:basedOn w:val="DefaultParagraphFont"/>
    <w:link w:val="BodyText"/>
    <w:rsid w:val="006D2CE5"/>
    <w:rPr>
      <w:rFonts w:ascii="Times New Roman" w:eastAsia="Times New Roman" w:hAnsi="Times New Roman" w:cs="Times New Roman"/>
      <w:szCs w:val="20"/>
      <w:lang w:val="en-GB"/>
    </w:rPr>
  </w:style>
  <w:style w:type="paragraph" w:styleId="ListBullet">
    <w:name w:val="List Bullet"/>
    <w:basedOn w:val="BodyText"/>
    <w:rsid w:val="006D2CE5"/>
    <w:pPr>
      <w:ind w:left="340" w:hanging="340"/>
    </w:pPr>
  </w:style>
  <w:style w:type="paragraph" w:customStyle="1" w:styleId="TableName">
    <w:name w:val="Table Name"/>
    <w:basedOn w:val="Normal"/>
    <w:next w:val="Normal"/>
    <w:rsid w:val="006D2CE5"/>
    <w:pPr>
      <w:overflowPunct w:val="0"/>
      <w:autoSpaceDE w:val="0"/>
      <w:autoSpaceDN w:val="0"/>
      <w:adjustRightInd w:val="0"/>
      <w:spacing w:after="120" w:line="260" w:lineRule="atLeast"/>
      <w:jc w:val="center"/>
      <w:textAlignment w:val="baseline"/>
    </w:pPr>
    <w:rPr>
      <w:rFonts w:ascii="Times New Roman" w:eastAsia="Times New Roman" w:hAnsi="Times New Roman" w:cs="Times New Roman"/>
      <w:b/>
      <w:color w:val="000080"/>
      <w:sz w:val="24"/>
      <w:szCs w:val="20"/>
      <w:lang w:val="en-AU"/>
    </w:rPr>
  </w:style>
  <w:style w:type="table" w:styleId="TableGrid">
    <w:name w:val="Table Grid"/>
    <w:basedOn w:val="TableNormal"/>
    <w:uiPriority w:val="39"/>
    <w:rsid w:val="00574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03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339"/>
  </w:style>
  <w:style w:type="paragraph" w:styleId="Footer">
    <w:name w:val="footer"/>
    <w:basedOn w:val="Normal"/>
    <w:link w:val="FooterChar"/>
    <w:uiPriority w:val="99"/>
    <w:unhideWhenUsed/>
    <w:rsid w:val="00F90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339"/>
  </w:style>
  <w:style w:type="paragraph" w:customStyle="1" w:styleId="Default">
    <w:name w:val="Default"/>
    <w:rsid w:val="00802FE7"/>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ListParagraph">
    <w:name w:val="List Paragraph"/>
    <w:basedOn w:val="Normal"/>
    <w:uiPriority w:val="34"/>
    <w:qFormat/>
    <w:rsid w:val="002D7143"/>
    <w:pPr>
      <w:ind w:left="720"/>
      <w:contextualSpacing/>
    </w:pPr>
  </w:style>
  <w:style w:type="paragraph" w:styleId="BalloonText">
    <w:name w:val="Balloon Text"/>
    <w:basedOn w:val="Normal"/>
    <w:link w:val="BalloonTextChar"/>
    <w:uiPriority w:val="99"/>
    <w:semiHidden/>
    <w:unhideWhenUsed/>
    <w:rsid w:val="001855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5B2"/>
    <w:rPr>
      <w:rFonts w:ascii="Segoe UI" w:hAnsi="Segoe UI" w:cs="Segoe UI"/>
      <w:sz w:val="18"/>
      <w:szCs w:val="18"/>
    </w:rPr>
  </w:style>
  <w:style w:type="character" w:styleId="CommentReference">
    <w:name w:val="annotation reference"/>
    <w:basedOn w:val="DefaultParagraphFont"/>
    <w:uiPriority w:val="99"/>
    <w:semiHidden/>
    <w:unhideWhenUsed/>
    <w:rsid w:val="00F15200"/>
    <w:rPr>
      <w:sz w:val="16"/>
      <w:szCs w:val="16"/>
    </w:rPr>
  </w:style>
  <w:style w:type="paragraph" w:styleId="CommentText">
    <w:name w:val="annotation text"/>
    <w:basedOn w:val="Normal"/>
    <w:link w:val="CommentTextChar"/>
    <w:uiPriority w:val="99"/>
    <w:unhideWhenUsed/>
    <w:rsid w:val="00F15200"/>
    <w:pPr>
      <w:spacing w:line="240" w:lineRule="auto"/>
    </w:pPr>
    <w:rPr>
      <w:sz w:val="20"/>
      <w:szCs w:val="20"/>
    </w:rPr>
  </w:style>
  <w:style w:type="character" w:customStyle="1" w:styleId="CommentTextChar">
    <w:name w:val="Comment Text Char"/>
    <w:basedOn w:val="DefaultParagraphFont"/>
    <w:link w:val="CommentText"/>
    <w:uiPriority w:val="99"/>
    <w:rsid w:val="00F15200"/>
    <w:rPr>
      <w:sz w:val="20"/>
      <w:szCs w:val="20"/>
    </w:rPr>
  </w:style>
  <w:style w:type="paragraph" w:styleId="CommentSubject">
    <w:name w:val="annotation subject"/>
    <w:basedOn w:val="CommentText"/>
    <w:next w:val="CommentText"/>
    <w:link w:val="CommentSubjectChar"/>
    <w:uiPriority w:val="99"/>
    <w:semiHidden/>
    <w:unhideWhenUsed/>
    <w:rsid w:val="00F15200"/>
    <w:rPr>
      <w:b/>
      <w:bCs/>
    </w:rPr>
  </w:style>
  <w:style w:type="character" w:customStyle="1" w:styleId="CommentSubjectChar">
    <w:name w:val="Comment Subject Char"/>
    <w:basedOn w:val="CommentTextChar"/>
    <w:link w:val="CommentSubject"/>
    <w:uiPriority w:val="99"/>
    <w:semiHidden/>
    <w:rsid w:val="00F15200"/>
    <w:rPr>
      <w:b/>
      <w:bCs/>
      <w:sz w:val="20"/>
      <w:szCs w:val="20"/>
    </w:rPr>
  </w:style>
  <w:style w:type="paragraph" w:styleId="FootnoteText">
    <w:name w:val="footnote text"/>
    <w:basedOn w:val="Normal"/>
    <w:link w:val="FootnoteTextChar"/>
    <w:uiPriority w:val="99"/>
    <w:semiHidden/>
    <w:rsid w:val="001E49E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1E49E9"/>
    <w:rPr>
      <w:rFonts w:ascii="Times New Roman" w:eastAsia="Times New Roman" w:hAnsi="Times New Roman" w:cs="Times New Roman"/>
      <w:sz w:val="20"/>
      <w:szCs w:val="20"/>
    </w:rPr>
  </w:style>
  <w:style w:type="character" w:styleId="FootnoteReference">
    <w:name w:val="footnote reference"/>
    <w:semiHidden/>
    <w:rsid w:val="001E49E9"/>
    <w:rPr>
      <w:vertAlign w:val="superscript"/>
    </w:rPr>
  </w:style>
  <w:style w:type="character" w:styleId="Hyperlink">
    <w:name w:val="Hyperlink"/>
    <w:basedOn w:val="DefaultParagraphFont"/>
    <w:uiPriority w:val="99"/>
    <w:unhideWhenUsed/>
    <w:rsid w:val="009913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07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F9E2E-C066-4BE7-BEEB-A861F0CA6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2031</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Lyssens</dc:creator>
  <cp:keywords/>
  <dc:description/>
  <cp:lastModifiedBy>Tamiz Uddin Mullick</cp:lastModifiedBy>
  <cp:revision>5</cp:revision>
  <cp:lastPrinted>2018-10-15T06:15:00Z</cp:lastPrinted>
  <dcterms:created xsi:type="dcterms:W3CDTF">2018-10-18T08:27:00Z</dcterms:created>
  <dcterms:modified xsi:type="dcterms:W3CDTF">2018-10-18T08:35:00Z</dcterms:modified>
</cp:coreProperties>
</file>