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F5A" w:rsidRDefault="005E1A7B">
      <w:pPr>
        <w:pStyle w:val="Title"/>
        <w:spacing w:line="240" w:lineRule="auto"/>
        <w:jc w:val="both"/>
        <w:rPr>
          <w:rFonts w:ascii="Gill Sans" w:eastAsia="Gill Sans" w:hAnsi="Gill Sans" w:cs="Gill Sans"/>
          <w:color w:val="000000"/>
          <w:sz w:val="48"/>
          <w:szCs w:val="48"/>
        </w:rPr>
      </w:pPr>
      <w:bookmarkStart w:id="0" w:name="_gjdgxs" w:colFirst="0" w:colLast="0"/>
      <w:bookmarkEnd w:id="0"/>
      <w:r>
        <w:rPr>
          <w:rFonts w:ascii="Gill Sans" w:eastAsia="Gill Sans" w:hAnsi="Gill Sans" w:cs="Gill Sans"/>
          <w:color w:val="000000"/>
          <w:sz w:val="48"/>
          <w:szCs w:val="48"/>
        </w:rPr>
        <w:t>Terms of Reference</w:t>
      </w:r>
    </w:p>
    <w:p w:rsidR="00290F5A" w:rsidRDefault="00290F5A">
      <w:pPr>
        <w:spacing w:line="240" w:lineRule="auto"/>
        <w:ind w:right="26"/>
        <w:jc w:val="both"/>
        <w:rPr>
          <w:rFonts w:ascii="Gill Sans" w:eastAsia="Gill Sans" w:hAnsi="Gill Sans" w:cs="Gill Sans"/>
          <w:highlight w:val="white"/>
        </w:rPr>
      </w:pPr>
      <w:bookmarkStart w:id="1" w:name="_30j0zll" w:colFirst="0" w:colLast="0"/>
      <w:bookmarkEnd w:id="1"/>
    </w:p>
    <w:p w:rsidR="00290F5A" w:rsidRDefault="005E1A7B">
      <w:pPr>
        <w:spacing w:line="240" w:lineRule="auto"/>
        <w:ind w:right="26"/>
        <w:jc w:val="both"/>
        <w:rPr>
          <w:rFonts w:ascii="Gill Sans" w:eastAsia="Gill Sans" w:hAnsi="Gill Sans" w:cs="Gill Sans"/>
          <w:sz w:val="40"/>
          <w:szCs w:val="40"/>
          <w:highlight w:val="white"/>
        </w:rPr>
      </w:pPr>
      <w:r>
        <w:rPr>
          <w:rFonts w:ascii="Gill Sans" w:eastAsia="Gill Sans" w:hAnsi="Gill Sans" w:cs="Gill Sans"/>
          <w:sz w:val="40"/>
          <w:szCs w:val="40"/>
          <w:highlight w:val="white"/>
        </w:rPr>
        <w:t>Conduct Rapid Market Appraisal for Technical and Vocational Education and Training (TVET)</w:t>
      </w:r>
    </w:p>
    <w:p w:rsidR="00290F5A" w:rsidRDefault="00D3089B">
      <w:pPr>
        <w:spacing w:line="240" w:lineRule="auto"/>
        <w:ind w:right="26"/>
        <w:jc w:val="both"/>
        <w:rPr>
          <w:rFonts w:ascii="Gill Sans" w:eastAsia="Gill Sans" w:hAnsi="Gill Sans" w:cs="Gill Sans"/>
        </w:rPr>
      </w:pPr>
      <w:r>
        <w:pict w14:anchorId="6D3B4BEC">
          <v:rect id="_x0000_i1025" style="width:0;height:1.5pt" o:hralign="center" o:hrstd="t" o:hr="t" fillcolor="#a0a0a0" stroked="f"/>
        </w:pict>
      </w:r>
    </w:p>
    <w:p w:rsidR="00290F5A" w:rsidRDefault="00290F5A">
      <w:pPr>
        <w:widowControl w:val="0"/>
        <w:spacing w:line="240" w:lineRule="auto"/>
        <w:jc w:val="both"/>
        <w:rPr>
          <w:rFonts w:ascii="Gill Sans" w:eastAsia="Gill Sans" w:hAnsi="Gill Sans" w:cs="Gill Sans"/>
        </w:rPr>
      </w:pPr>
    </w:p>
    <w:p w:rsidR="00290F5A" w:rsidRDefault="005E1A7B">
      <w:pPr>
        <w:pStyle w:val="Heading2"/>
        <w:widowControl w:val="0"/>
        <w:numPr>
          <w:ilvl w:val="0"/>
          <w:numId w:val="2"/>
        </w:numPr>
        <w:spacing w:line="240" w:lineRule="auto"/>
        <w:jc w:val="both"/>
      </w:pPr>
      <w:bookmarkStart w:id="2" w:name="_1fob9te" w:colFirst="0" w:colLast="0"/>
      <w:bookmarkEnd w:id="2"/>
      <w:r>
        <w:rPr>
          <w:rFonts w:ascii="Gill Sans" w:eastAsia="Gill Sans" w:hAnsi="Gill Sans" w:cs="Gill Sans"/>
          <w:color w:val="000000"/>
          <w:sz w:val="22"/>
          <w:szCs w:val="22"/>
        </w:rPr>
        <w:t>Project Background</w:t>
      </w:r>
    </w:p>
    <w:p w:rsidR="00290F5A" w:rsidRDefault="00290F5A">
      <w:pPr>
        <w:spacing w:line="240" w:lineRule="auto"/>
        <w:jc w:val="both"/>
        <w:rPr>
          <w:rFonts w:ascii="Gill Sans" w:eastAsia="Gill Sans" w:hAnsi="Gill Sans" w:cs="Gill Sans"/>
        </w:rPr>
      </w:pPr>
    </w:p>
    <w:p w:rsidR="00290F5A" w:rsidRDefault="005E1A7B">
      <w:pPr>
        <w:spacing w:line="240" w:lineRule="auto"/>
        <w:jc w:val="both"/>
        <w:rPr>
          <w:rFonts w:ascii="Gill Sans" w:eastAsia="Gill Sans" w:hAnsi="Gill Sans" w:cs="Gill Sans"/>
        </w:rPr>
      </w:pPr>
      <w:r>
        <w:rPr>
          <w:rFonts w:ascii="Gill Sans" w:eastAsia="Gill Sans" w:hAnsi="Gill Sans" w:cs="Gill Sans"/>
        </w:rPr>
        <w:t xml:space="preserve">The Suchana program aims to reduce undernutrition leading to stunting in children under two years of age living within 250,000 very poor households with women of reproductive age (15-45 years) in the Sylhet and Moulvibazar districts of Bangladesh. The program adopts an integrated approach to nutrition-specific and nutrition-sensitive interventions and aims to develop a sustainable and replicable model that can be scaled. Suchana is funded by the UK Department for International Development (DFID) and the European Union (EU) and is implemented by a consortium of eight partners, including Save the Children, iDE, WorldFish, Helen Keller International, and implementing agencies CNRS, RDRS and FIVDB. icddr,b is responsible for carrying out the impact monitoring of the program. iDE’s role in the program is to provide technical advisory services related to strengthening market linkages and capacity building of the consortium partners on market-based approaches. </w:t>
      </w:r>
    </w:p>
    <w:p w:rsidR="00290F5A" w:rsidRDefault="00290F5A">
      <w:pPr>
        <w:spacing w:line="240" w:lineRule="auto"/>
        <w:jc w:val="both"/>
        <w:rPr>
          <w:rFonts w:ascii="Gill Sans" w:eastAsia="Gill Sans" w:hAnsi="Gill Sans" w:cs="Gill Sans"/>
        </w:rPr>
      </w:pPr>
    </w:p>
    <w:p w:rsidR="00290F5A" w:rsidRDefault="005E1A7B">
      <w:pPr>
        <w:pStyle w:val="Heading2"/>
        <w:widowControl w:val="0"/>
        <w:numPr>
          <w:ilvl w:val="0"/>
          <w:numId w:val="2"/>
        </w:numPr>
        <w:spacing w:line="240" w:lineRule="auto"/>
        <w:jc w:val="both"/>
      </w:pPr>
      <w:bookmarkStart w:id="3" w:name="_3znysh7" w:colFirst="0" w:colLast="0"/>
      <w:bookmarkEnd w:id="3"/>
      <w:r>
        <w:rPr>
          <w:rFonts w:ascii="Gill Sans" w:eastAsia="Gill Sans" w:hAnsi="Gill Sans" w:cs="Gill Sans"/>
          <w:color w:val="000000"/>
          <w:sz w:val="22"/>
          <w:szCs w:val="22"/>
        </w:rPr>
        <w:t>About the Assignment</w:t>
      </w:r>
    </w:p>
    <w:p w:rsidR="00290F5A" w:rsidRDefault="00290F5A">
      <w:pPr>
        <w:spacing w:line="240" w:lineRule="auto"/>
        <w:jc w:val="both"/>
        <w:rPr>
          <w:rFonts w:ascii="Gill Sans" w:eastAsia="Gill Sans" w:hAnsi="Gill Sans" w:cs="Gill Sans"/>
        </w:rPr>
      </w:pPr>
    </w:p>
    <w:p w:rsidR="00290F5A" w:rsidRDefault="005E1A7B">
      <w:pPr>
        <w:widowControl w:val="0"/>
        <w:pBdr>
          <w:top w:val="nil"/>
          <w:left w:val="nil"/>
          <w:bottom w:val="nil"/>
          <w:right w:val="nil"/>
          <w:between w:val="nil"/>
        </w:pBdr>
        <w:spacing w:line="240" w:lineRule="auto"/>
        <w:ind w:firstLine="360"/>
        <w:jc w:val="both"/>
        <w:rPr>
          <w:rFonts w:ascii="Gill Sans" w:eastAsia="Gill Sans" w:hAnsi="Gill Sans" w:cs="Gill Sans"/>
          <w:b/>
        </w:rPr>
      </w:pPr>
      <w:r>
        <w:rPr>
          <w:rFonts w:ascii="Gill Sans" w:eastAsia="Gill Sans" w:hAnsi="Gill Sans" w:cs="Gill Sans"/>
          <w:b/>
        </w:rPr>
        <w:t>2.1 Context of the Assignment</w:t>
      </w:r>
    </w:p>
    <w:p w:rsidR="00290F5A" w:rsidRDefault="00290F5A">
      <w:pPr>
        <w:widowControl w:val="0"/>
        <w:pBdr>
          <w:top w:val="nil"/>
          <w:left w:val="nil"/>
          <w:bottom w:val="nil"/>
          <w:right w:val="nil"/>
          <w:between w:val="nil"/>
        </w:pBdr>
        <w:spacing w:line="240" w:lineRule="auto"/>
        <w:jc w:val="both"/>
        <w:rPr>
          <w:rFonts w:ascii="Gill Sans" w:eastAsia="Gill Sans" w:hAnsi="Gill Sans" w:cs="Gill Sans"/>
        </w:rPr>
      </w:pPr>
    </w:p>
    <w:p w:rsidR="00290F5A" w:rsidRDefault="005E1A7B">
      <w:pPr>
        <w:widowControl w:val="0"/>
        <w:pBdr>
          <w:top w:val="nil"/>
          <w:left w:val="nil"/>
          <w:bottom w:val="nil"/>
          <w:right w:val="nil"/>
          <w:between w:val="nil"/>
        </w:pBdr>
        <w:spacing w:line="240" w:lineRule="auto"/>
        <w:jc w:val="both"/>
        <w:rPr>
          <w:rFonts w:ascii="Gill Sans" w:eastAsia="Gill Sans" w:hAnsi="Gill Sans" w:cs="Gill Sans"/>
        </w:rPr>
      </w:pPr>
      <w:r>
        <w:rPr>
          <w:rFonts w:ascii="Gill Sans" w:eastAsia="Gill Sans" w:hAnsi="Gill Sans" w:cs="Gill Sans"/>
        </w:rPr>
        <w:t xml:space="preserve">Suchana is working with very poor HHs where the direct beneficiaries are primarily women and adolescent girls. Suchana will work with 50,000 adolescent girls aged 15-19 years who are not in education and not in employment, and are not married (married girls within this age group will be treated socially as adults). The aim of the adolescent development initiative of the project is to empower the adolescents through improved life-skills and livelihood skills to be able to take control over their lives. In 2019, Suchana targeted to conduct vocational training to 400 very poor and school dropout adolescent girls through public and private organizations and the number of adolescents will be increased in next three years.    </w:t>
      </w:r>
    </w:p>
    <w:p w:rsidR="00290F5A" w:rsidRDefault="00290F5A">
      <w:pPr>
        <w:widowControl w:val="0"/>
        <w:pBdr>
          <w:top w:val="nil"/>
          <w:left w:val="nil"/>
          <w:bottom w:val="nil"/>
          <w:right w:val="nil"/>
          <w:between w:val="nil"/>
        </w:pBdr>
        <w:spacing w:line="240" w:lineRule="auto"/>
        <w:jc w:val="both"/>
        <w:rPr>
          <w:rFonts w:ascii="Gill Sans" w:eastAsia="Gill Sans" w:hAnsi="Gill Sans" w:cs="Gill Sans"/>
          <w:b/>
        </w:rPr>
      </w:pPr>
    </w:p>
    <w:p w:rsidR="00290F5A" w:rsidRDefault="005E1A7B">
      <w:pPr>
        <w:widowControl w:val="0"/>
        <w:pBdr>
          <w:top w:val="nil"/>
          <w:left w:val="nil"/>
          <w:bottom w:val="nil"/>
          <w:right w:val="nil"/>
          <w:between w:val="nil"/>
        </w:pBdr>
        <w:spacing w:line="240" w:lineRule="auto"/>
        <w:jc w:val="both"/>
        <w:rPr>
          <w:rFonts w:ascii="Gill Sans" w:eastAsia="Gill Sans" w:hAnsi="Gill Sans" w:cs="Gill Sans"/>
        </w:rPr>
      </w:pPr>
      <w:r>
        <w:rPr>
          <w:rFonts w:ascii="Gill Sans" w:eastAsia="Gill Sans" w:hAnsi="Gill Sans" w:cs="Gill Sans"/>
        </w:rPr>
        <w:t xml:space="preserve">Generally, rural adolescents face a number of challenges in receiving quality vocational skills training, resulting in unemployment and underemployment. To overcome these obstacles, the project will provide vocational training to adolescents. These girls will receive funding for vocational training instead of for IGA productive assets. The training will focus on specific trades in line with the National Skills Development System (NSDS) – this will be based on a specific market analysis, focusing specifically on opportunities for adolescent girls. Community-based vocational training instructors will be hired for specific trades to conduct the training. The project will take initiatives to build capacity of the vocational training instructors to adapt their teaching to suit adolescent girls, i.e. including vocational training pedagogy, mentorship, on the job training as well as training on hard skills. Training courses will be conducted for 2-3 months based on the curricula designed by Save the Children and local NGO or Private service providers. The project will introduce mobile vocational training through using local resources to set-up mobile training centers so that the whole target area can be covered, limiting the amount of travel that the girls have to do, as this could present a barrier to their </w:t>
      </w:r>
      <w:r>
        <w:rPr>
          <w:rFonts w:ascii="Gill Sans" w:eastAsia="Gill Sans" w:hAnsi="Gill Sans" w:cs="Gill Sans"/>
        </w:rPr>
        <w:lastRenderedPageBreak/>
        <w:t>participation.</w:t>
      </w:r>
    </w:p>
    <w:p w:rsidR="00290F5A" w:rsidRDefault="00290F5A">
      <w:pPr>
        <w:widowControl w:val="0"/>
        <w:pBdr>
          <w:top w:val="nil"/>
          <w:left w:val="nil"/>
          <w:bottom w:val="nil"/>
          <w:right w:val="nil"/>
          <w:between w:val="nil"/>
        </w:pBdr>
        <w:spacing w:line="240" w:lineRule="auto"/>
        <w:jc w:val="both"/>
        <w:rPr>
          <w:rFonts w:ascii="Gill Sans" w:eastAsia="Gill Sans" w:hAnsi="Gill Sans" w:cs="Gill Sans"/>
          <w:b/>
        </w:rPr>
      </w:pPr>
    </w:p>
    <w:p w:rsidR="00290F5A" w:rsidRDefault="005E1A7B">
      <w:pPr>
        <w:widowControl w:val="0"/>
        <w:pBdr>
          <w:top w:val="nil"/>
          <w:left w:val="nil"/>
          <w:bottom w:val="nil"/>
          <w:right w:val="nil"/>
          <w:between w:val="nil"/>
        </w:pBdr>
        <w:spacing w:line="240" w:lineRule="auto"/>
        <w:jc w:val="both"/>
        <w:rPr>
          <w:rFonts w:ascii="Gill Sans" w:eastAsia="Gill Sans" w:hAnsi="Gill Sans" w:cs="Gill Sans"/>
        </w:rPr>
      </w:pPr>
      <w:r>
        <w:rPr>
          <w:rFonts w:ascii="Gill Sans" w:eastAsia="Gill Sans" w:hAnsi="Gill Sans" w:cs="Gill Sans"/>
        </w:rPr>
        <w:t xml:space="preserve">Through vocational training, entrepreneurship development training and financial literacy the project will increase technical skills of the adolescents, thereby increasing their opportunities for access to wage employment or self-employment on selected trades. Suchana has established a target of 75% of vocational training graduates placed in decent jobs or self-employed based on either their vocational training or IGA grants. </w:t>
      </w:r>
    </w:p>
    <w:p w:rsidR="00290F5A" w:rsidRDefault="005E1A7B">
      <w:pPr>
        <w:widowControl w:val="0"/>
        <w:pBdr>
          <w:top w:val="nil"/>
          <w:left w:val="nil"/>
          <w:bottom w:val="nil"/>
          <w:right w:val="nil"/>
          <w:between w:val="nil"/>
        </w:pBdr>
        <w:spacing w:line="240" w:lineRule="auto"/>
        <w:jc w:val="both"/>
        <w:rPr>
          <w:rFonts w:ascii="Gill Sans" w:eastAsia="Gill Sans" w:hAnsi="Gill Sans" w:cs="Gill Sans"/>
        </w:rPr>
      </w:pPr>
      <w:r>
        <w:rPr>
          <w:rFonts w:ascii="Gill Sans" w:eastAsia="Gill Sans" w:hAnsi="Gill Sans" w:cs="Gill Sans"/>
        </w:rPr>
        <w:tab/>
      </w:r>
    </w:p>
    <w:p w:rsidR="00290F5A" w:rsidRDefault="00290F5A">
      <w:pPr>
        <w:widowControl w:val="0"/>
        <w:pBdr>
          <w:top w:val="nil"/>
          <w:left w:val="nil"/>
          <w:bottom w:val="nil"/>
          <w:right w:val="nil"/>
          <w:between w:val="nil"/>
        </w:pBdr>
        <w:spacing w:line="240" w:lineRule="auto"/>
        <w:jc w:val="both"/>
        <w:rPr>
          <w:rFonts w:ascii="Gill Sans" w:eastAsia="Gill Sans" w:hAnsi="Gill Sans" w:cs="Gill Sans"/>
        </w:rPr>
      </w:pPr>
    </w:p>
    <w:p w:rsidR="00290F5A" w:rsidRDefault="005E1A7B">
      <w:pPr>
        <w:widowControl w:val="0"/>
        <w:pBdr>
          <w:top w:val="nil"/>
          <w:left w:val="nil"/>
          <w:bottom w:val="nil"/>
          <w:right w:val="nil"/>
          <w:between w:val="nil"/>
        </w:pBdr>
        <w:spacing w:line="240" w:lineRule="auto"/>
        <w:ind w:firstLine="720"/>
        <w:jc w:val="both"/>
        <w:rPr>
          <w:rFonts w:ascii="Gill Sans" w:eastAsia="Gill Sans" w:hAnsi="Gill Sans" w:cs="Gill Sans"/>
          <w:b/>
        </w:rPr>
      </w:pPr>
      <w:r>
        <w:rPr>
          <w:rFonts w:ascii="Gill Sans" w:eastAsia="Gill Sans" w:hAnsi="Gill Sans" w:cs="Gill Sans"/>
          <w:b/>
        </w:rPr>
        <w:t>2.2 Objective of the Assessment:</w:t>
      </w:r>
    </w:p>
    <w:p w:rsidR="00290F5A" w:rsidRDefault="00290F5A">
      <w:pPr>
        <w:widowControl w:val="0"/>
        <w:pBdr>
          <w:top w:val="nil"/>
          <w:left w:val="nil"/>
          <w:bottom w:val="nil"/>
          <w:right w:val="nil"/>
          <w:between w:val="nil"/>
        </w:pBdr>
        <w:spacing w:line="240" w:lineRule="auto"/>
        <w:jc w:val="both"/>
        <w:rPr>
          <w:rFonts w:ascii="Gill Sans" w:eastAsia="Gill Sans" w:hAnsi="Gill Sans" w:cs="Gill Sans"/>
        </w:rPr>
      </w:pPr>
    </w:p>
    <w:p w:rsidR="00290F5A" w:rsidRDefault="005E1A7B">
      <w:pPr>
        <w:widowControl w:val="0"/>
        <w:spacing w:line="240" w:lineRule="auto"/>
        <w:jc w:val="both"/>
        <w:rPr>
          <w:rFonts w:ascii="Gill Sans" w:eastAsia="Gill Sans" w:hAnsi="Gill Sans" w:cs="Gill Sans"/>
        </w:rPr>
      </w:pPr>
      <w:r>
        <w:rPr>
          <w:rFonts w:ascii="Gill Sans" w:eastAsia="Gill Sans" w:hAnsi="Gill Sans" w:cs="Gill Sans"/>
        </w:rPr>
        <w:t>iDE wants to conduct a rapid market assessment whose primary objective is to gain a better understanding of the TVET sector. This assessment should help address the following guiding questions:</w:t>
      </w:r>
    </w:p>
    <w:p w:rsidR="00290F5A" w:rsidRDefault="005E1A7B">
      <w:pPr>
        <w:numPr>
          <w:ilvl w:val="0"/>
          <w:numId w:val="15"/>
        </w:numPr>
        <w:pBdr>
          <w:top w:val="nil"/>
          <w:left w:val="nil"/>
          <w:bottom w:val="nil"/>
          <w:right w:val="nil"/>
          <w:between w:val="nil"/>
        </w:pBdr>
        <w:spacing w:line="240" w:lineRule="auto"/>
        <w:jc w:val="both"/>
        <w:rPr>
          <w:color w:val="000000"/>
        </w:rPr>
      </w:pPr>
      <w:r>
        <w:rPr>
          <w:rFonts w:ascii="Gill Sans" w:eastAsia="Gill Sans" w:hAnsi="Gill Sans" w:cs="Gill Sans"/>
          <w:color w:val="000000"/>
        </w:rPr>
        <w:t xml:space="preserve">What is the current landscape of TVET </w:t>
      </w:r>
      <w:r>
        <w:rPr>
          <w:rFonts w:ascii="Gill Sans" w:eastAsia="Gill Sans" w:hAnsi="Gill Sans" w:cs="Gill Sans"/>
        </w:rPr>
        <w:t>(specially for adolescent girls)</w:t>
      </w:r>
      <w:r>
        <w:rPr>
          <w:rFonts w:ascii="Gill Sans" w:eastAsia="Gill Sans" w:hAnsi="Gill Sans" w:cs="Gill Sans"/>
          <w:color w:val="000000"/>
        </w:rPr>
        <w:t xml:space="preserve"> </w:t>
      </w:r>
      <w:r>
        <w:rPr>
          <w:rFonts w:ascii="Gill Sans" w:eastAsia="Gill Sans" w:hAnsi="Gill Sans" w:cs="Gill Sans"/>
        </w:rPr>
        <w:t>both nationally</w:t>
      </w:r>
      <w:r>
        <w:rPr>
          <w:rFonts w:ascii="Gill Sans" w:eastAsia="Gill Sans" w:hAnsi="Gill Sans" w:cs="Gill Sans"/>
          <w:color w:val="000000"/>
        </w:rPr>
        <w:t xml:space="preserve"> and in the Suchana working area? </w:t>
      </w:r>
      <w:r>
        <w:rPr>
          <w:rFonts w:ascii="Gill Sans" w:eastAsia="Gill Sans" w:hAnsi="Gill Sans" w:cs="Gill Sans"/>
        </w:rPr>
        <w:t xml:space="preserve">Who is providing services? </w:t>
      </w:r>
    </w:p>
    <w:p w:rsidR="00290F5A" w:rsidRDefault="005E1A7B">
      <w:pPr>
        <w:numPr>
          <w:ilvl w:val="0"/>
          <w:numId w:val="15"/>
        </w:numPr>
        <w:pBdr>
          <w:top w:val="nil"/>
          <w:left w:val="nil"/>
          <w:bottom w:val="nil"/>
          <w:right w:val="nil"/>
          <w:between w:val="nil"/>
        </w:pBdr>
        <w:spacing w:line="240" w:lineRule="auto"/>
        <w:jc w:val="both"/>
        <w:rPr>
          <w:color w:val="000000"/>
        </w:rPr>
      </w:pPr>
      <w:r>
        <w:rPr>
          <w:rFonts w:ascii="Gill Sans" w:eastAsia="Gill Sans" w:hAnsi="Gill Sans" w:cs="Gill Sans"/>
          <w:color w:val="000000"/>
        </w:rPr>
        <w:t>What does the TVET infrastructure look like in the working area and how does it function?</w:t>
      </w:r>
    </w:p>
    <w:p w:rsidR="00290F5A" w:rsidRDefault="005E1A7B">
      <w:pPr>
        <w:numPr>
          <w:ilvl w:val="0"/>
          <w:numId w:val="15"/>
        </w:numPr>
        <w:pBdr>
          <w:top w:val="nil"/>
          <w:left w:val="nil"/>
          <w:bottom w:val="nil"/>
          <w:right w:val="nil"/>
          <w:between w:val="nil"/>
        </w:pBdr>
        <w:spacing w:line="240" w:lineRule="auto"/>
        <w:jc w:val="both"/>
        <w:rPr>
          <w:color w:val="000000"/>
        </w:rPr>
      </w:pPr>
      <w:r>
        <w:rPr>
          <w:rFonts w:ascii="Gill Sans" w:eastAsia="Gill Sans" w:hAnsi="Gill Sans" w:cs="Gill Sans"/>
          <w:color w:val="000000"/>
        </w:rPr>
        <w:t>What are the constraints and opportunit</w:t>
      </w:r>
      <w:r>
        <w:rPr>
          <w:rFonts w:ascii="Gill Sans" w:eastAsia="Gill Sans" w:hAnsi="Gill Sans" w:cs="Gill Sans"/>
        </w:rPr>
        <w:t>ies</w:t>
      </w:r>
      <w:r>
        <w:rPr>
          <w:rFonts w:ascii="Gill Sans" w:eastAsia="Gill Sans" w:hAnsi="Gill Sans" w:cs="Gill Sans"/>
          <w:color w:val="000000"/>
        </w:rPr>
        <w:t xml:space="preserve"> of TVET in the Suchana working area? How might these constraints be overcome?</w:t>
      </w:r>
    </w:p>
    <w:p w:rsidR="00290F5A" w:rsidRDefault="005E1A7B">
      <w:pPr>
        <w:numPr>
          <w:ilvl w:val="0"/>
          <w:numId w:val="15"/>
        </w:numPr>
        <w:pBdr>
          <w:top w:val="nil"/>
          <w:left w:val="nil"/>
          <w:bottom w:val="nil"/>
          <w:right w:val="nil"/>
          <w:between w:val="nil"/>
        </w:pBdr>
        <w:spacing w:line="240" w:lineRule="auto"/>
        <w:jc w:val="both"/>
        <w:rPr>
          <w:color w:val="000000"/>
        </w:rPr>
      </w:pPr>
      <w:r>
        <w:rPr>
          <w:rFonts w:ascii="Gill Sans" w:eastAsia="Gill Sans" w:hAnsi="Gill Sans" w:cs="Gill Sans"/>
          <w:color w:val="000000"/>
        </w:rPr>
        <w:t xml:space="preserve">Are there any interesting, pro-poor TVET initiatives already present in the Suchana working area? How might we build on those in a synergistic manner? </w:t>
      </w:r>
    </w:p>
    <w:p w:rsidR="00290F5A" w:rsidRDefault="00290F5A">
      <w:pPr>
        <w:pBdr>
          <w:top w:val="nil"/>
          <w:left w:val="nil"/>
          <w:bottom w:val="nil"/>
          <w:right w:val="nil"/>
          <w:between w:val="nil"/>
        </w:pBdr>
        <w:spacing w:line="240" w:lineRule="auto"/>
        <w:ind w:left="720" w:hanging="720"/>
        <w:jc w:val="both"/>
        <w:rPr>
          <w:rFonts w:ascii="Gill Sans" w:eastAsia="Gill Sans" w:hAnsi="Gill Sans" w:cs="Gill Sans"/>
          <w:color w:val="000000"/>
        </w:rPr>
      </w:pPr>
    </w:p>
    <w:p w:rsidR="00290F5A" w:rsidRDefault="005E1A7B">
      <w:pPr>
        <w:spacing w:line="240" w:lineRule="auto"/>
        <w:jc w:val="both"/>
        <w:rPr>
          <w:rFonts w:ascii="Gill Sans" w:eastAsia="Gill Sans" w:hAnsi="Gill Sans" w:cs="Gill Sans"/>
        </w:rPr>
      </w:pPr>
      <w:r>
        <w:rPr>
          <w:rFonts w:ascii="Gill Sans" w:eastAsia="Gill Sans" w:hAnsi="Gill Sans" w:cs="Gill Sans"/>
        </w:rPr>
        <w:t xml:space="preserve">In this regard, iDE is seeking the following services from a competent consultant: </w:t>
      </w:r>
    </w:p>
    <w:p w:rsidR="00290F5A" w:rsidRDefault="005E1A7B">
      <w:pPr>
        <w:numPr>
          <w:ilvl w:val="0"/>
          <w:numId w:val="16"/>
        </w:numPr>
        <w:pBdr>
          <w:top w:val="nil"/>
          <w:left w:val="nil"/>
          <w:bottom w:val="nil"/>
          <w:right w:val="nil"/>
          <w:between w:val="nil"/>
        </w:pBdr>
        <w:shd w:val="clear" w:color="auto" w:fill="FFFFFF"/>
        <w:spacing w:line="240" w:lineRule="auto"/>
        <w:jc w:val="both"/>
        <w:rPr>
          <w:color w:val="000000"/>
        </w:rPr>
      </w:pPr>
      <w:r>
        <w:rPr>
          <w:rFonts w:ascii="Gill Sans" w:eastAsia="Gill Sans" w:hAnsi="Gill Sans" w:cs="Gill Sans"/>
          <w:color w:val="000000"/>
        </w:rPr>
        <w:t>Mapping existing TVET services</w:t>
      </w:r>
      <w:r>
        <w:rPr>
          <w:rFonts w:ascii="Gill Sans" w:eastAsia="Gill Sans" w:hAnsi="Gill Sans" w:cs="Gill Sans"/>
        </w:rPr>
        <w:t xml:space="preserve"> (specially for adolescent girls)</w:t>
      </w:r>
      <w:r>
        <w:rPr>
          <w:rFonts w:ascii="Gill Sans" w:eastAsia="Gill Sans" w:hAnsi="Gill Sans" w:cs="Gill Sans"/>
          <w:color w:val="000000"/>
        </w:rPr>
        <w:t xml:space="preserve"> and public/private/NGO actors in Suchana regions, with initiatives identified for potential partnerships between the TVET institutions and the program.</w:t>
      </w:r>
    </w:p>
    <w:p w:rsidR="00290F5A" w:rsidRDefault="005E1A7B">
      <w:pPr>
        <w:numPr>
          <w:ilvl w:val="0"/>
          <w:numId w:val="16"/>
        </w:numPr>
        <w:pBdr>
          <w:top w:val="nil"/>
          <w:left w:val="nil"/>
          <w:bottom w:val="nil"/>
          <w:right w:val="nil"/>
          <w:between w:val="nil"/>
        </w:pBdr>
        <w:spacing w:line="240" w:lineRule="auto"/>
        <w:jc w:val="both"/>
        <w:rPr>
          <w:color w:val="000000"/>
        </w:rPr>
      </w:pPr>
      <w:r>
        <w:rPr>
          <w:rFonts w:ascii="Gill Sans" w:eastAsia="Gill Sans" w:hAnsi="Gill Sans" w:cs="Gill Sans"/>
          <w:color w:val="000000"/>
        </w:rPr>
        <w:t>Identify gaps in the environment, adverse demand-side factors, supply-side constraints and TVET infrastructure and existing policy framework.</w:t>
      </w:r>
    </w:p>
    <w:p w:rsidR="00290F5A" w:rsidRDefault="005E1A7B">
      <w:pPr>
        <w:numPr>
          <w:ilvl w:val="0"/>
          <w:numId w:val="16"/>
        </w:numPr>
        <w:pBdr>
          <w:top w:val="nil"/>
          <w:left w:val="nil"/>
          <w:bottom w:val="nil"/>
          <w:right w:val="nil"/>
          <w:between w:val="nil"/>
        </w:pBdr>
        <w:spacing w:line="240" w:lineRule="auto"/>
        <w:jc w:val="both"/>
        <w:rPr>
          <w:color w:val="000000"/>
        </w:rPr>
      </w:pPr>
      <w:r>
        <w:rPr>
          <w:rFonts w:ascii="Gill Sans" w:eastAsia="Gill Sans" w:hAnsi="Gill Sans" w:cs="Gill Sans"/>
          <w:color w:val="000000"/>
        </w:rPr>
        <w:t>Assess bottlenecks to affordable TVET services with key entry points for inclusion of adolescent girls speci</w:t>
      </w:r>
      <w:r>
        <w:rPr>
          <w:rFonts w:ascii="Gill Sans" w:eastAsia="Gill Sans" w:hAnsi="Gill Sans" w:cs="Gill Sans"/>
        </w:rPr>
        <w:t>fically</w:t>
      </w:r>
      <w:r>
        <w:rPr>
          <w:rFonts w:ascii="Gill Sans" w:eastAsia="Gill Sans" w:hAnsi="Gill Sans" w:cs="Gill Sans"/>
          <w:color w:val="000000"/>
        </w:rPr>
        <w:t xml:space="preserve"> identified by Suchana.</w:t>
      </w:r>
    </w:p>
    <w:p w:rsidR="00290F5A" w:rsidRDefault="005E1A7B">
      <w:pPr>
        <w:numPr>
          <w:ilvl w:val="0"/>
          <w:numId w:val="16"/>
        </w:numPr>
        <w:pBdr>
          <w:top w:val="nil"/>
          <w:left w:val="nil"/>
          <w:bottom w:val="nil"/>
          <w:right w:val="nil"/>
          <w:between w:val="nil"/>
        </w:pBdr>
        <w:spacing w:line="240" w:lineRule="auto"/>
        <w:jc w:val="both"/>
        <w:rPr>
          <w:color w:val="000000"/>
        </w:rPr>
      </w:pPr>
      <w:r>
        <w:rPr>
          <w:rFonts w:ascii="Gill Sans" w:eastAsia="Gill Sans" w:hAnsi="Gill Sans" w:cs="Gill Sans"/>
          <w:color w:val="000000"/>
        </w:rPr>
        <w:t xml:space="preserve">Strength, Weakness, Opportunities and Threats (SWOT) analysis of the current different TVET models </w:t>
      </w:r>
      <w:r>
        <w:rPr>
          <w:rFonts w:ascii="Gill Sans" w:eastAsia="Gill Sans" w:hAnsi="Gill Sans" w:cs="Gill Sans"/>
        </w:rPr>
        <w:t>(specially for adolescent girls)</w:t>
      </w:r>
      <w:r>
        <w:rPr>
          <w:rFonts w:ascii="Gill Sans" w:eastAsia="Gill Sans" w:hAnsi="Gill Sans" w:cs="Gill Sans"/>
          <w:color w:val="000000"/>
        </w:rPr>
        <w:t xml:space="preserve">. </w:t>
      </w:r>
    </w:p>
    <w:p w:rsidR="00290F5A" w:rsidRDefault="00290F5A">
      <w:pPr>
        <w:widowControl w:val="0"/>
        <w:spacing w:line="240" w:lineRule="auto"/>
        <w:ind w:left="720"/>
        <w:jc w:val="both"/>
        <w:rPr>
          <w:rFonts w:ascii="Gill Sans" w:eastAsia="Gill Sans" w:hAnsi="Gill Sans" w:cs="Gill Sans"/>
        </w:rPr>
      </w:pPr>
    </w:p>
    <w:p w:rsidR="00290F5A" w:rsidRDefault="005E1A7B">
      <w:pPr>
        <w:pStyle w:val="Heading2"/>
        <w:widowControl w:val="0"/>
        <w:numPr>
          <w:ilvl w:val="0"/>
          <w:numId w:val="2"/>
        </w:numPr>
        <w:spacing w:line="240" w:lineRule="auto"/>
        <w:jc w:val="both"/>
      </w:pPr>
      <w:bookmarkStart w:id="4" w:name="_2et92p0" w:colFirst="0" w:colLast="0"/>
      <w:bookmarkEnd w:id="4"/>
      <w:r>
        <w:rPr>
          <w:rFonts w:ascii="Gill Sans" w:eastAsia="Gill Sans" w:hAnsi="Gill Sans" w:cs="Gill Sans"/>
          <w:color w:val="000000"/>
          <w:sz w:val="22"/>
          <w:szCs w:val="22"/>
        </w:rPr>
        <w:t>Major responsibilities of Consultant or Firm</w:t>
      </w:r>
    </w:p>
    <w:p w:rsidR="00290F5A" w:rsidRDefault="00290F5A">
      <w:pPr>
        <w:spacing w:line="240" w:lineRule="auto"/>
        <w:jc w:val="both"/>
        <w:rPr>
          <w:rFonts w:ascii="Gill Sans" w:eastAsia="Gill Sans" w:hAnsi="Gill Sans" w:cs="Gill Sans"/>
        </w:rPr>
      </w:pPr>
    </w:p>
    <w:p w:rsidR="00290F5A" w:rsidRDefault="005E1A7B">
      <w:pPr>
        <w:pBdr>
          <w:top w:val="nil"/>
          <w:left w:val="nil"/>
          <w:bottom w:val="nil"/>
          <w:right w:val="nil"/>
          <w:between w:val="nil"/>
        </w:pBdr>
        <w:spacing w:line="240" w:lineRule="auto"/>
        <w:ind w:right="144"/>
        <w:jc w:val="both"/>
        <w:rPr>
          <w:rFonts w:ascii="Gill Sans" w:eastAsia="Gill Sans" w:hAnsi="Gill Sans" w:cs="Gill Sans"/>
        </w:rPr>
      </w:pPr>
      <w:r>
        <w:rPr>
          <w:rFonts w:ascii="Gill Sans" w:eastAsia="Gill Sans" w:hAnsi="Gill Sans" w:cs="Gill Sans"/>
        </w:rPr>
        <w:t>The major responsibilities of the consultant or Firm are as follows:</w:t>
      </w:r>
    </w:p>
    <w:p w:rsidR="00290F5A" w:rsidRDefault="00290F5A">
      <w:pPr>
        <w:pBdr>
          <w:top w:val="nil"/>
          <w:left w:val="nil"/>
          <w:bottom w:val="nil"/>
          <w:right w:val="nil"/>
          <w:between w:val="nil"/>
        </w:pBdr>
        <w:spacing w:line="240" w:lineRule="auto"/>
        <w:ind w:right="144"/>
        <w:jc w:val="both"/>
        <w:rPr>
          <w:rFonts w:ascii="Gill Sans" w:eastAsia="Gill Sans" w:hAnsi="Gill Sans" w:cs="Gill Sans"/>
        </w:rPr>
      </w:pPr>
    </w:p>
    <w:tbl>
      <w:tblPr>
        <w:tblStyle w:val="a"/>
        <w:tblW w:w="9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0"/>
        <w:gridCol w:w="7776"/>
      </w:tblGrid>
      <w:tr w:rsidR="00290F5A">
        <w:trPr>
          <w:trHeight w:val="100"/>
        </w:trPr>
        <w:tc>
          <w:tcPr>
            <w:tcW w:w="1450" w:type="dxa"/>
            <w:shd w:val="clear" w:color="auto" w:fill="EFEFEF"/>
            <w:vAlign w:val="center"/>
          </w:tcPr>
          <w:p w:rsidR="00290F5A" w:rsidRDefault="005E1A7B">
            <w:pPr>
              <w:widowControl w:val="0"/>
              <w:jc w:val="both"/>
              <w:rPr>
                <w:rFonts w:ascii="Gill Sans" w:eastAsia="Gill Sans" w:hAnsi="Gill Sans" w:cs="Gill Sans"/>
                <w:b/>
                <w:sz w:val="22"/>
                <w:szCs w:val="22"/>
              </w:rPr>
            </w:pPr>
            <w:r>
              <w:rPr>
                <w:rFonts w:ascii="Gill Sans" w:eastAsia="Gill Sans" w:hAnsi="Gill Sans" w:cs="Gill Sans"/>
                <w:b/>
                <w:sz w:val="22"/>
                <w:szCs w:val="22"/>
              </w:rPr>
              <w:t>Phase</w:t>
            </w:r>
          </w:p>
        </w:tc>
        <w:tc>
          <w:tcPr>
            <w:tcW w:w="7776" w:type="dxa"/>
            <w:shd w:val="clear" w:color="auto" w:fill="EFEFEF"/>
            <w:vAlign w:val="center"/>
          </w:tcPr>
          <w:p w:rsidR="00290F5A" w:rsidRDefault="005E1A7B">
            <w:pPr>
              <w:widowControl w:val="0"/>
              <w:jc w:val="both"/>
              <w:rPr>
                <w:rFonts w:ascii="Gill Sans" w:eastAsia="Gill Sans" w:hAnsi="Gill Sans" w:cs="Gill Sans"/>
                <w:b/>
                <w:sz w:val="22"/>
                <w:szCs w:val="22"/>
              </w:rPr>
            </w:pPr>
            <w:r>
              <w:rPr>
                <w:rFonts w:ascii="Gill Sans" w:eastAsia="Gill Sans" w:hAnsi="Gill Sans" w:cs="Gill Sans"/>
                <w:b/>
                <w:sz w:val="22"/>
                <w:szCs w:val="22"/>
              </w:rPr>
              <w:t xml:space="preserve">Responsibilities </w:t>
            </w:r>
          </w:p>
        </w:tc>
      </w:tr>
      <w:tr w:rsidR="00290F5A">
        <w:trPr>
          <w:trHeight w:val="180"/>
        </w:trPr>
        <w:tc>
          <w:tcPr>
            <w:tcW w:w="1450" w:type="dxa"/>
          </w:tcPr>
          <w:p w:rsidR="00290F5A" w:rsidRDefault="005E1A7B">
            <w:pPr>
              <w:widowControl w:val="0"/>
              <w:jc w:val="both"/>
              <w:rPr>
                <w:rFonts w:ascii="Gill Sans" w:eastAsia="Gill Sans" w:hAnsi="Gill Sans" w:cs="Gill Sans"/>
                <w:sz w:val="22"/>
                <w:szCs w:val="22"/>
              </w:rPr>
            </w:pPr>
            <w:r>
              <w:rPr>
                <w:rFonts w:ascii="Gill Sans" w:eastAsia="Gill Sans" w:hAnsi="Gill Sans" w:cs="Gill Sans"/>
                <w:sz w:val="22"/>
                <w:szCs w:val="22"/>
              </w:rPr>
              <w:t>Phase-1:</w:t>
            </w:r>
          </w:p>
          <w:p w:rsidR="00290F5A" w:rsidRDefault="005E1A7B">
            <w:pPr>
              <w:widowControl w:val="0"/>
              <w:jc w:val="both"/>
              <w:rPr>
                <w:rFonts w:ascii="Gill Sans" w:eastAsia="Gill Sans" w:hAnsi="Gill Sans" w:cs="Gill Sans"/>
                <w:b/>
                <w:sz w:val="22"/>
                <w:szCs w:val="22"/>
              </w:rPr>
            </w:pPr>
            <w:r>
              <w:rPr>
                <w:rFonts w:ascii="Gill Sans" w:eastAsia="Gill Sans" w:hAnsi="Gill Sans" w:cs="Gill Sans"/>
                <w:sz w:val="22"/>
                <w:szCs w:val="22"/>
              </w:rPr>
              <w:t xml:space="preserve">Inception Phase </w:t>
            </w:r>
          </w:p>
        </w:tc>
        <w:tc>
          <w:tcPr>
            <w:tcW w:w="7776" w:type="dxa"/>
          </w:tcPr>
          <w:p w:rsidR="00290F5A" w:rsidRDefault="005E1A7B">
            <w:pPr>
              <w:numPr>
                <w:ilvl w:val="0"/>
                <w:numId w:val="3"/>
              </w:numPr>
              <w:pBdr>
                <w:top w:val="nil"/>
                <w:left w:val="nil"/>
                <w:bottom w:val="nil"/>
                <w:right w:val="nil"/>
                <w:between w:val="nil"/>
              </w:pBdr>
              <w:ind w:left="258" w:right="144" w:hanging="180"/>
              <w:jc w:val="both"/>
            </w:pPr>
            <w:r>
              <w:rPr>
                <w:rFonts w:ascii="Gill Sans" w:eastAsia="Gill Sans" w:hAnsi="Gill Sans" w:cs="Gill Sans"/>
                <w:sz w:val="22"/>
                <w:szCs w:val="22"/>
              </w:rPr>
              <w:t xml:space="preserve">Develop a brief report and a work plan after initial briefing with iDE </w:t>
            </w:r>
          </w:p>
          <w:p w:rsidR="00290F5A" w:rsidRDefault="005E1A7B">
            <w:pPr>
              <w:numPr>
                <w:ilvl w:val="0"/>
                <w:numId w:val="3"/>
              </w:numPr>
              <w:pBdr>
                <w:top w:val="nil"/>
                <w:left w:val="nil"/>
                <w:bottom w:val="nil"/>
                <w:right w:val="nil"/>
                <w:between w:val="nil"/>
              </w:pBdr>
              <w:ind w:left="258" w:right="144" w:hanging="180"/>
              <w:jc w:val="both"/>
            </w:pPr>
            <w:r>
              <w:rPr>
                <w:rFonts w:ascii="Gill Sans" w:eastAsia="Gill Sans" w:hAnsi="Gill Sans" w:cs="Gill Sans"/>
                <w:sz w:val="22"/>
                <w:szCs w:val="22"/>
              </w:rPr>
              <w:t>Desk review of secondary literature</w:t>
            </w:r>
          </w:p>
          <w:p w:rsidR="00290F5A" w:rsidRDefault="005E1A7B">
            <w:pPr>
              <w:numPr>
                <w:ilvl w:val="0"/>
                <w:numId w:val="3"/>
              </w:numPr>
              <w:pBdr>
                <w:top w:val="nil"/>
                <w:left w:val="nil"/>
                <w:bottom w:val="nil"/>
                <w:right w:val="nil"/>
                <w:between w:val="nil"/>
              </w:pBdr>
              <w:ind w:left="258" w:right="144" w:hanging="180"/>
              <w:jc w:val="both"/>
            </w:pPr>
            <w:r>
              <w:rPr>
                <w:rFonts w:ascii="Gill Sans" w:eastAsia="Gill Sans" w:hAnsi="Gill Sans" w:cs="Gill Sans"/>
                <w:sz w:val="22"/>
                <w:szCs w:val="22"/>
              </w:rPr>
              <w:t>Develop assessment tools and TOC of the final report</w:t>
            </w:r>
          </w:p>
        </w:tc>
      </w:tr>
      <w:tr w:rsidR="00290F5A">
        <w:trPr>
          <w:trHeight w:val="180"/>
        </w:trPr>
        <w:tc>
          <w:tcPr>
            <w:tcW w:w="1450" w:type="dxa"/>
          </w:tcPr>
          <w:p w:rsidR="00290F5A" w:rsidRDefault="005E1A7B">
            <w:pPr>
              <w:widowControl w:val="0"/>
              <w:jc w:val="both"/>
              <w:rPr>
                <w:rFonts w:ascii="Gill Sans" w:eastAsia="Gill Sans" w:hAnsi="Gill Sans" w:cs="Gill Sans"/>
                <w:sz w:val="22"/>
                <w:szCs w:val="22"/>
              </w:rPr>
            </w:pPr>
            <w:r>
              <w:rPr>
                <w:rFonts w:ascii="Gill Sans" w:eastAsia="Gill Sans" w:hAnsi="Gill Sans" w:cs="Gill Sans"/>
                <w:sz w:val="22"/>
                <w:szCs w:val="22"/>
              </w:rPr>
              <w:t>Phase-2:</w:t>
            </w:r>
          </w:p>
          <w:p w:rsidR="00290F5A" w:rsidRDefault="005E1A7B">
            <w:pPr>
              <w:widowControl w:val="0"/>
              <w:jc w:val="both"/>
              <w:rPr>
                <w:rFonts w:ascii="Gill Sans" w:eastAsia="Gill Sans" w:hAnsi="Gill Sans" w:cs="Gill Sans"/>
                <w:b/>
                <w:sz w:val="22"/>
                <w:szCs w:val="22"/>
              </w:rPr>
            </w:pPr>
            <w:r>
              <w:rPr>
                <w:rFonts w:ascii="Gill Sans" w:eastAsia="Gill Sans" w:hAnsi="Gill Sans" w:cs="Gill Sans"/>
                <w:sz w:val="22"/>
                <w:szCs w:val="22"/>
              </w:rPr>
              <w:t>Deep-Dive/ Field research</w:t>
            </w:r>
          </w:p>
        </w:tc>
        <w:tc>
          <w:tcPr>
            <w:tcW w:w="7776" w:type="dxa"/>
          </w:tcPr>
          <w:p w:rsidR="00290F5A" w:rsidRDefault="005E1A7B">
            <w:pPr>
              <w:numPr>
                <w:ilvl w:val="0"/>
                <w:numId w:val="5"/>
              </w:numPr>
              <w:pBdr>
                <w:top w:val="nil"/>
                <w:left w:val="nil"/>
                <w:bottom w:val="nil"/>
                <w:right w:val="nil"/>
                <w:between w:val="nil"/>
              </w:pBdr>
              <w:ind w:left="258" w:right="144" w:hanging="180"/>
              <w:jc w:val="both"/>
            </w:pPr>
            <w:r>
              <w:rPr>
                <w:rFonts w:ascii="Gill Sans" w:eastAsia="Gill Sans" w:hAnsi="Gill Sans" w:cs="Gill Sans"/>
                <w:sz w:val="22"/>
                <w:szCs w:val="22"/>
              </w:rPr>
              <w:t xml:space="preserve">Conduct deep-dive research and collect qualitative and quantitative information. </w:t>
            </w:r>
          </w:p>
          <w:p w:rsidR="00290F5A" w:rsidRDefault="005E1A7B">
            <w:pPr>
              <w:widowControl w:val="0"/>
              <w:numPr>
                <w:ilvl w:val="0"/>
                <w:numId w:val="5"/>
              </w:numPr>
              <w:pBdr>
                <w:top w:val="nil"/>
                <w:left w:val="nil"/>
                <w:bottom w:val="nil"/>
                <w:right w:val="nil"/>
                <w:between w:val="nil"/>
              </w:pBdr>
              <w:ind w:left="258" w:hanging="180"/>
              <w:jc w:val="both"/>
            </w:pPr>
            <w:r>
              <w:rPr>
                <w:rFonts w:ascii="Gill Sans" w:eastAsia="Gill Sans" w:hAnsi="Gill Sans" w:cs="Gill Sans"/>
                <w:sz w:val="22"/>
                <w:szCs w:val="22"/>
              </w:rPr>
              <w:t xml:space="preserve">Data Quality Control </w:t>
            </w:r>
          </w:p>
          <w:p w:rsidR="00290F5A" w:rsidRDefault="005E1A7B">
            <w:pPr>
              <w:widowControl w:val="0"/>
              <w:numPr>
                <w:ilvl w:val="0"/>
                <w:numId w:val="5"/>
              </w:numPr>
              <w:pBdr>
                <w:top w:val="nil"/>
                <w:left w:val="nil"/>
                <w:bottom w:val="nil"/>
                <w:right w:val="nil"/>
                <w:between w:val="nil"/>
              </w:pBdr>
              <w:ind w:left="258" w:hanging="180"/>
              <w:jc w:val="both"/>
            </w:pPr>
            <w:r>
              <w:rPr>
                <w:rFonts w:ascii="Gill Sans" w:eastAsia="Gill Sans" w:hAnsi="Gill Sans" w:cs="Gill Sans"/>
                <w:sz w:val="22"/>
                <w:szCs w:val="22"/>
              </w:rPr>
              <w:t>Upon completion of research, the consultant will present initial findings to the iDE team along with a revised TOC for the final report</w:t>
            </w:r>
          </w:p>
        </w:tc>
      </w:tr>
      <w:tr w:rsidR="00290F5A">
        <w:trPr>
          <w:trHeight w:val="360"/>
        </w:trPr>
        <w:tc>
          <w:tcPr>
            <w:tcW w:w="1450" w:type="dxa"/>
          </w:tcPr>
          <w:p w:rsidR="00290F5A" w:rsidRDefault="005E1A7B">
            <w:pPr>
              <w:widowControl w:val="0"/>
              <w:jc w:val="both"/>
              <w:rPr>
                <w:rFonts w:ascii="Gill Sans" w:eastAsia="Gill Sans" w:hAnsi="Gill Sans" w:cs="Gill Sans"/>
                <w:sz w:val="22"/>
                <w:szCs w:val="22"/>
              </w:rPr>
            </w:pPr>
            <w:r>
              <w:rPr>
                <w:rFonts w:ascii="Gill Sans" w:eastAsia="Gill Sans" w:hAnsi="Gill Sans" w:cs="Gill Sans"/>
                <w:sz w:val="22"/>
                <w:szCs w:val="22"/>
              </w:rPr>
              <w:t>Phase-3:</w:t>
            </w:r>
          </w:p>
          <w:p w:rsidR="00290F5A" w:rsidRDefault="005E1A7B">
            <w:pPr>
              <w:widowControl w:val="0"/>
              <w:jc w:val="both"/>
              <w:rPr>
                <w:rFonts w:ascii="Gill Sans" w:eastAsia="Gill Sans" w:hAnsi="Gill Sans" w:cs="Gill Sans"/>
                <w:b/>
                <w:sz w:val="22"/>
                <w:szCs w:val="22"/>
              </w:rPr>
            </w:pPr>
            <w:r>
              <w:rPr>
                <w:rFonts w:ascii="Gill Sans" w:eastAsia="Gill Sans" w:hAnsi="Gill Sans" w:cs="Gill Sans"/>
                <w:sz w:val="22"/>
                <w:szCs w:val="22"/>
              </w:rPr>
              <w:t>Reporting</w:t>
            </w:r>
          </w:p>
        </w:tc>
        <w:tc>
          <w:tcPr>
            <w:tcW w:w="7776" w:type="dxa"/>
          </w:tcPr>
          <w:p w:rsidR="00290F5A" w:rsidRDefault="005E1A7B">
            <w:pPr>
              <w:widowControl w:val="0"/>
              <w:numPr>
                <w:ilvl w:val="0"/>
                <w:numId w:val="8"/>
              </w:numPr>
              <w:pBdr>
                <w:top w:val="nil"/>
                <w:left w:val="nil"/>
                <w:bottom w:val="nil"/>
                <w:right w:val="nil"/>
                <w:between w:val="nil"/>
              </w:pBdr>
              <w:ind w:left="258" w:hanging="180"/>
              <w:jc w:val="both"/>
            </w:pPr>
            <w:r>
              <w:rPr>
                <w:rFonts w:ascii="Gill Sans" w:eastAsia="Gill Sans" w:hAnsi="Gill Sans" w:cs="Gill Sans"/>
                <w:sz w:val="22"/>
                <w:szCs w:val="22"/>
              </w:rPr>
              <w:t>Submit a draft of this report to iDE for review and feedback. The consultant should expect at least two rounds of feedback. Depending upon the quality of the report, additional rounds of review may be required</w:t>
            </w:r>
          </w:p>
          <w:p w:rsidR="00290F5A" w:rsidRDefault="005E1A7B">
            <w:pPr>
              <w:widowControl w:val="0"/>
              <w:numPr>
                <w:ilvl w:val="0"/>
                <w:numId w:val="8"/>
              </w:numPr>
              <w:pBdr>
                <w:top w:val="nil"/>
                <w:left w:val="nil"/>
                <w:bottom w:val="nil"/>
                <w:right w:val="nil"/>
                <w:between w:val="nil"/>
              </w:pBdr>
              <w:ind w:left="258" w:hanging="180"/>
              <w:jc w:val="both"/>
            </w:pPr>
            <w:r>
              <w:rPr>
                <w:rFonts w:ascii="Gill Sans" w:eastAsia="Gill Sans" w:hAnsi="Gill Sans" w:cs="Gill Sans"/>
                <w:sz w:val="22"/>
                <w:szCs w:val="22"/>
              </w:rPr>
              <w:lastRenderedPageBreak/>
              <w:t>Submit a final report, field notes, case studies, data set and other required deliverables to iDE</w:t>
            </w:r>
          </w:p>
        </w:tc>
      </w:tr>
    </w:tbl>
    <w:p w:rsidR="00290F5A" w:rsidRDefault="00290F5A">
      <w:pPr>
        <w:widowControl w:val="0"/>
        <w:spacing w:line="240" w:lineRule="auto"/>
        <w:jc w:val="both"/>
        <w:rPr>
          <w:rFonts w:ascii="Gill Sans" w:eastAsia="Gill Sans" w:hAnsi="Gill Sans" w:cs="Gill Sans"/>
        </w:rPr>
      </w:pPr>
    </w:p>
    <w:p w:rsidR="00290F5A" w:rsidRDefault="005E1A7B">
      <w:pPr>
        <w:pStyle w:val="Heading2"/>
        <w:widowControl w:val="0"/>
        <w:numPr>
          <w:ilvl w:val="0"/>
          <w:numId w:val="2"/>
        </w:numPr>
        <w:spacing w:line="240" w:lineRule="auto"/>
        <w:jc w:val="both"/>
      </w:pPr>
      <w:bookmarkStart w:id="5" w:name="_tyjcwt" w:colFirst="0" w:colLast="0"/>
      <w:bookmarkEnd w:id="5"/>
      <w:r>
        <w:rPr>
          <w:rFonts w:ascii="Gill Sans" w:eastAsia="Gill Sans" w:hAnsi="Gill Sans" w:cs="Gill Sans"/>
          <w:color w:val="000000"/>
          <w:sz w:val="22"/>
          <w:szCs w:val="22"/>
        </w:rPr>
        <w:t>Major responsibilities of iDE</w:t>
      </w:r>
    </w:p>
    <w:p w:rsidR="00290F5A" w:rsidRDefault="00290F5A">
      <w:pPr>
        <w:widowControl w:val="0"/>
        <w:spacing w:line="240" w:lineRule="auto"/>
        <w:jc w:val="both"/>
        <w:rPr>
          <w:rFonts w:ascii="Gill Sans" w:eastAsia="Gill Sans" w:hAnsi="Gill Sans" w:cs="Gill Sans"/>
        </w:rPr>
      </w:pPr>
    </w:p>
    <w:p w:rsidR="00290F5A" w:rsidRDefault="005E1A7B">
      <w:pPr>
        <w:widowControl w:val="0"/>
        <w:spacing w:line="240" w:lineRule="auto"/>
        <w:jc w:val="both"/>
        <w:rPr>
          <w:rFonts w:ascii="Gill Sans" w:eastAsia="Gill Sans" w:hAnsi="Gill Sans" w:cs="Gill Sans"/>
        </w:rPr>
      </w:pPr>
      <w:r>
        <w:rPr>
          <w:rFonts w:ascii="Gill Sans" w:eastAsia="Gill Sans" w:hAnsi="Gill Sans" w:cs="Gill Sans"/>
        </w:rPr>
        <w:t xml:space="preserve">iDE will provide the consultant with necessary support to undertake and implement the assignment and execute the ToR. Such responsibilities include the following: </w:t>
      </w:r>
    </w:p>
    <w:p w:rsidR="00290F5A" w:rsidRDefault="00290F5A">
      <w:pPr>
        <w:widowControl w:val="0"/>
        <w:spacing w:line="240" w:lineRule="auto"/>
        <w:jc w:val="both"/>
        <w:rPr>
          <w:rFonts w:ascii="Gill Sans" w:eastAsia="Gill Sans" w:hAnsi="Gill Sans" w:cs="Gill Sans"/>
        </w:rPr>
      </w:pPr>
    </w:p>
    <w:p w:rsidR="00290F5A" w:rsidRDefault="005E1A7B">
      <w:pPr>
        <w:widowControl w:val="0"/>
        <w:numPr>
          <w:ilvl w:val="0"/>
          <w:numId w:val="10"/>
        </w:numPr>
        <w:spacing w:line="240" w:lineRule="auto"/>
        <w:ind w:left="714" w:hanging="357"/>
        <w:jc w:val="both"/>
      </w:pPr>
      <w:r>
        <w:rPr>
          <w:rFonts w:ascii="Gill Sans" w:eastAsia="Gill Sans" w:hAnsi="Gill Sans" w:cs="Gill Sans"/>
        </w:rPr>
        <w:t xml:space="preserve">Provide initial briefing and existing work overview </w:t>
      </w:r>
    </w:p>
    <w:p w:rsidR="00290F5A" w:rsidRDefault="005E1A7B">
      <w:pPr>
        <w:widowControl w:val="0"/>
        <w:numPr>
          <w:ilvl w:val="0"/>
          <w:numId w:val="10"/>
        </w:numPr>
        <w:spacing w:line="240" w:lineRule="auto"/>
        <w:ind w:left="714" w:hanging="357"/>
        <w:jc w:val="both"/>
      </w:pPr>
      <w:r>
        <w:rPr>
          <w:rFonts w:ascii="Gill Sans" w:eastAsia="Gill Sans" w:hAnsi="Gill Sans" w:cs="Gill Sans"/>
        </w:rPr>
        <w:t>Provide relevant documents and technical support</w:t>
      </w:r>
    </w:p>
    <w:p w:rsidR="00290F5A" w:rsidRDefault="005E1A7B">
      <w:pPr>
        <w:widowControl w:val="0"/>
        <w:numPr>
          <w:ilvl w:val="0"/>
          <w:numId w:val="10"/>
        </w:numPr>
        <w:spacing w:line="240" w:lineRule="auto"/>
        <w:ind w:left="714" w:hanging="357"/>
        <w:jc w:val="both"/>
      </w:pPr>
      <w:r>
        <w:rPr>
          <w:rFonts w:ascii="Gill Sans" w:eastAsia="Gill Sans" w:hAnsi="Gill Sans" w:cs="Gill Sans"/>
        </w:rPr>
        <w:t>Monitor regularly, and provide feedback and ensure effectiveness of the contract; and,</w:t>
      </w:r>
    </w:p>
    <w:p w:rsidR="00290F5A" w:rsidRDefault="005E1A7B">
      <w:pPr>
        <w:widowControl w:val="0"/>
        <w:numPr>
          <w:ilvl w:val="0"/>
          <w:numId w:val="10"/>
        </w:numPr>
        <w:spacing w:line="240" w:lineRule="auto"/>
        <w:ind w:left="714" w:hanging="357"/>
        <w:jc w:val="both"/>
      </w:pPr>
      <w:r>
        <w:rPr>
          <w:rFonts w:ascii="Gill Sans" w:eastAsia="Gill Sans" w:hAnsi="Gill Sans" w:cs="Gill Sans"/>
        </w:rPr>
        <w:t>Disburse payment as per the agreed schedule</w:t>
      </w:r>
    </w:p>
    <w:p w:rsidR="00290F5A" w:rsidRDefault="00290F5A">
      <w:pPr>
        <w:widowControl w:val="0"/>
        <w:spacing w:line="240" w:lineRule="auto"/>
        <w:jc w:val="both"/>
        <w:rPr>
          <w:rFonts w:ascii="Gill Sans" w:eastAsia="Gill Sans" w:hAnsi="Gill Sans" w:cs="Gill Sans"/>
          <w:b/>
        </w:rPr>
      </w:pPr>
      <w:bookmarkStart w:id="6" w:name="_3dy6vkm" w:colFirst="0" w:colLast="0"/>
      <w:bookmarkEnd w:id="6"/>
    </w:p>
    <w:p w:rsidR="00290F5A" w:rsidRDefault="005E1A7B">
      <w:pPr>
        <w:pStyle w:val="Heading2"/>
        <w:widowControl w:val="0"/>
        <w:numPr>
          <w:ilvl w:val="0"/>
          <w:numId w:val="2"/>
        </w:numPr>
        <w:spacing w:line="240" w:lineRule="auto"/>
        <w:jc w:val="both"/>
      </w:pPr>
      <w:bookmarkStart w:id="7" w:name="_1t3h5sf" w:colFirst="0" w:colLast="0"/>
      <w:bookmarkEnd w:id="7"/>
      <w:r>
        <w:rPr>
          <w:rFonts w:ascii="Gill Sans" w:eastAsia="Gill Sans" w:hAnsi="Gill Sans" w:cs="Gill Sans"/>
          <w:color w:val="000000"/>
          <w:sz w:val="22"/>
          <w:szCs w:val="22"/>
        </w:rPr>
        <w:t>Expected Deliverables</w:t>
      </w:r>
    </w:p>
    <w:p w:rsidR="00290F5A" w:rsidRDefault="00290F5A">
      <w:pPr>
        <w:spacing w:line="240" w:lineRule="auto"/>
        <w:jc w:val="both"/>
        <w:rPr>
          <w:rFonts w:ascii="Gill Sans" w:eastAsia="Gill Sans" w:hAnsi="Gill Sans" w:cs="Gill Sans"/>
        </w:rPr>
      </w:pPr>
    </w:p>
    <w:tbl>
      <w:tblPr>
        <w:tblStyle w:val="a0"/>
        <w:tblW w:w="9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9"/>
        <w:gridCol w:w="2071"/>
        <w:gridCol w:w="6120"/>
      </w:tblGrid>
      <w:tr w:rsidR="00290F5A">
        <w:trPr>
          <w:trHeight w:val="20"/>
        </w:trPr>
        <w:tc>
          <w:tcPr>
            <w:tcW w:w="1179" w:type="dxa"/>
            <w:shd w:val="clear" w:color="auto" w:fill="EFEFEF"/>
          </w:tcPr>
          <w:p w:rsidR="00290F5A" w:rsidRDefault="005E1A7B">
            <w:pPr>
              <w:widowControl w:val="0"/>
              <w:rPr>
                <w:rFonts w:ascii="Gill Sans" w:eastAsia="Gill Sans" w:hAnsi="Gill Sans" w:cs="Gill Sans"/>
                <w:b/>
                <w:sz w:val="22"/>
                <w:szCs w:val="22"/>
              </w:rPr>
            </w:pPr>
            <w:r>
              <w:rPr>
                <w:rFonts w:ascii="Gill Sans" w:eastAsia="Gill Sans" w:hAnsi="Gill Sans" w:cs="Gill Sans"/>
                <w:b/>
                <w:sz w:val="22"/>
                <w:szCs w:val="22"/>
              </w:rPr>
              <w:t>Phase</w:t>
            </w:r>
          </w:p>
        </w:tc>
        <w:tc>
          <w:tcPr>
            <w:tcW w:w="2071" w:type="dxa"/>
            <w:shd w:val="clear" w:color="auto" w:fill="EFEFEF"/>
          </w:tcPr>
          <w:p w:rsidR="00290F5A" w:rsidRDefault="005E1A7B">
            <w:pPr>
              <w:widowControl w:val="0"/>
              <w:rPr>
                <w:rFonts w:ascii="Gill Sans" w:eastAsia="Gill Sans" w:hAnsi="Gill Sans" w:cs="Gill Sans"/>
                <w:b/>
                <w:sz w:val="22"/>
                <w:szCs w:val="22"/>
              </w:rPr>
            </w:pPr>
            <w:r>
              <w:rPr>
                <w:rFonts w:ascii="Gill Sans" w:eastAsia="Gill Sans" w:hAnsi="Gill Sans" w:cs="Gill Sans"/>
                <w:b/>
                <w:sz w:val="22"/>
                <w:szCs w:val="22"/>
              </w:rPr>
              <w:t>Deliverables</w:t>
            </w:r>
          </w:p>
        </w:tc>
        <w:tc>
          <w:tcPr>
            <w:tcW w:w="6120" w:type="dxa"/>
            <w:shd w:val="clear" w:color="auto" w:fill="EFEFEF"/>
          </w:tcPr>
          <w:p w:rsidR="00290F5A" w:rsidRDefault="005E1A7B">
            <w:pPr>
              <w:widowControl w:val="0"/>
              <w:rPr>
                <w:rFonts w:ascii="Gill Sans" w:eastAsia="Gill Sans" w:hAnsi="Gill Sans" w:cs="Gill Sans"/>
                <w:b/>
                <w:sz w:val="22"/>
                <w:szCs w:val="22"/>
              </w:rPr>
            </w:pPr>
            <w:r>
              <w:rPr>
                <w:rFonts w:ascii="Gill Sans" w:eastAsia="Gill Sans" w:hAnsi="Gill Sans" w:cs="Gill Sans"/>
                <w:b/>
                <w:sz w:val="22"/>
                <w:szCs w:val="22"/>
              </w:rPr>
              <w:t>Description of deliverables</w:t>
            </w:r>
          </w:p>
        </w:tc>
      </w:tr>
      <w:tr w:rsidR="00290F5A">
        <w:trPr>
          <w:trHeight w:val="20"/>
        </w:trPr>
        <w:tc>
          <w:tcPr>
            <w:tcW w:w="1179" w:type="dxa"/>
          </w:tcPr>
          <w:p w:rsidR="00290F5A" w:rsidRDefault="005E1A7B">
            <w:pPr>
              <w:widowControl w:val="0"/>
              <w:rPr>
                <w:rFonts w:ascii="Gill Sans" w:eastAsia="Gill Sans" w:hAnsi="Gill Sans" w:cs="Gill Sans"/>
                <w:sz w:val="22"/>
                <w:szCs w:val="22"/>
              </w:rPr>
            </w:pPr>
            <w:r>
              <w:rPr>
                <w:rFonts w:ascii="Gill Sans" w:eastAsia="Gill Sans" w:hAnsi="Gill Sans" w:cs="Gill Sans"/>
                <w:sz w:val="22"/>
                <w:szCs w:val="22"/>
              </w:rPr>
              <w:t>Phase-1:</w:t>
            </w:r>
          </w:p>
          <w:p w:rsidR="00290F5A" w:rsidRDefault="005E1A7B">
            <w:pPr>
              <w:widowControl w:val="0"/>
              <w:rPr>
                <w:rFonts w:ascii="Gill Sans" w:eastAsia="Gill Sans" w:hAnsi="Gill Sans" w:cs="Gill Sans"/>
                <w:b/>
                <w:sz w:val="22"/>
                <w:szCs w:val="22"/>
              </w:rPr>
            </w:pPr>
            <w:r>
              <w:rPr>
                <w:rFonts w:ascii="Gill Sans" w:eastAsia="Gill Sans" w:hAnsi="Gill Sans" w:cs="Gill Sans"/>
                <w:sz w:val="22"/>
                <w:szCs w:val="22"/>
              </w:rPr>
              <w:t>Inception Phase</w:t>
            </w:r>
          </w:p>
        </w:tc>
        <w:tc>
          <w:tcPr>
            <w:tcW w:w="2071" w:type="dxa"/>
          </w:tcPr>
          <w:p w:rsidR="00290F5A" w:rsidRDefault="005E1A7B">
            <w:pPr>
              <w:widowControl w:val="0"/>
              <w:numPr>
                <w:ilvl w:val="0"/>
                <w:numId w:val="4"/>
              </w:numPr>
              <w:pBdr>
                <w:top w:val="nil"/>
                <w:left w:val="nil"/>
                <w:bottom w:val="nil"/>
                <w:right w:val="nil"/>
                <w:between w:val="nil"/>
              </w:pBdr>
              <w:ind w:left="331" w:hanging="270"/>
              <w:rPr>
                <w:sz w:val="22"/>
                <w:szCs w:val="22"/>
              </w:rPr>
            </w:pPr>
            <w:r>
              <w:rPr>
                <w:rFonts w:ascii="Gill Sans" w:eastAsia="Gill Sans" w:hAnsi="Gill Sans" w:cs="Gill Sans"/>
                <w:sz w:val="22"/>
                <w:szCs w:val="22"/>
              </w:rPr>
              <w:t>Inception report (5-7 pages)</w:t>
            </w:r>
          </w:p>
          <w:p w:rsidR="00290F5A" w:rsidRDefault="005E1A7B">
            <w:pPr>
              <w:widowControl w:val="0"/>
              <w:numPr>
                <w:ilvl w:val="0"/>
                <w:numId w:val="4"/>
              </w:numPr>
              <w:pBdr>
                <w:top w:val="nil"/>
                <w:left w:val="nil"/>
                <w:bottom w:val="nil"/>
                <w:right w:val="nil"/>
                <w:between w:val="nil"/>
              </w:pBdr>
              <w:ind w:left="331" w:hanging="270"/>
              <w:rPr>
                <w:sz w:val="22"/>
                <w:szCs w:val="22"/>
              </w:rPr>
            </w:pPr>
            <w:r>
              <w:rPr>
                <w:rFonts w:ascii="Gill Sans" w:eastAsia="Gill Sans" w:hAnsi="Gill Sans" w:cs="Gill Sans"/>
                <w:sz w:val="22"/>
                <w:szCs w:val="22"/>
              </w:rPr>
              <w:t>Study tools/ Questionnaire</w:t>
            </w:r>
          </w:p>
          <w:p w:rsidR="00290F5A" w:rsidRDefault="005E1A7B">
            <w:pPr>
              <w:widowControl w:val="0"/>
              <w:numPr>
                <w:ilvl w:val="0"/>
                <w:numId w:val="4"/>
              </w:numPr>
              <w:pBdr>
                <w:top w:val="nil"/>
                <w:left w:val="nil"/>
                <w:bottom w:val="nil"/>
                <w:right w:val="nil"/>
                <w:between w:val="nil"/>
              </w:pBdr>
              <w:ind w:left="331" w:hanging="270"/>
              <w:rPr>
                <w:sz w:val="22"/>
                <w:szCs w:val="22"/>
              </w:rPr>
            </w:pPr>
            <w:r>
              <w:rPr>
                <w:rFonts w:ascii="Gill Sans" w:eastAsia="Gill Sans" w:hAnsi="Gill Sans" w:cs="Gill Sans"/>
                <w:sz w:val="22"/>
                <w:szCs w:val="22"/>
              </w:rPr>
              <w:t>TOC/outline of final report</w:t>
            </w:r>
          </w:p>
        </w:tc>
        <w:tc>
          <w:tcPr>
            <w:tcW w:w="6120" w:type="dxa"/>
          </w:tcPr>
          <w:p w:rsidR="00290F5A" w:rsidRDefault="005E1A7B">
            <w:pPr>
              <w:pBdr>
                <w:top w:val="nil"/>
                <w:left w:val="nil"/>
                <w:bottom w:val="nil"/>
                <w:right w:val="nil"/>
                <w:between w:val="nil"/>
              </w:pBdr>
              <w:ind w:left="-14" w:firstLine="14"/>
              <w:rPr>
                <w:rFonts w:ascii="Gill Sans" w:eastAsia="Gill Sans" w:hAnsi="Gill Sans" w:cs="Gill Sans"/>
                <w:color w:val="000000"/>
                <w:sz w:val="22"/>
                <w:szCs w:val="22"/>
              </w:rPr>
            </w:pPr>
            <w:r>
              <w:rPr>
                <w:rFonts w:ascii="Gill Sans" w:eastAsia="Gill Sans" w:hAnsi="Gill Sans" w:cs="Gill Sans"/>
                <w:color w:val="000000"/>
                <w:sz w:val="22"/>
                <w:szCs w:val="22"/>
              </w:rPr>
              <w:t>Subsequent to signing the contract, the consultant will present iDE with a brief report demonstrating its understanding of this assignment, the proposed methodology of carrying out the assignment, a work plan with implementation schedule, associated budget, and a draft table of contents (TOC) for the final report (see below). A draft of this inception report will be reviewed by iDE, resulting in a final agreement on the strategy that guides the consultancy.</w:t>
            </w:r>
          </w:p>
        </w:tc>
      </w:tr>
      <w:tr w:rsidR="00290F5A">
        <w:trPr>
          <w:trHeight w:val="20"/>
        </w:trPr>
        <w:tc>
          <w:tcPr>
            <w:tcW w:w="1179" w:type="dxa"/>
          </w:tcPr>
          <w:p w:rsidR="00290F5A" w:rsidRDefault="005E1A7B">
            <w:pPr>
              <w:widowControl w:val="0"/>
              <w:rPr>
                <w:rFonts w:ascii="Gill Sans" w:eastAsia="Gill Sans" w:hAnsi="Gill Sans" w:cs="Gill Sans"/>
                <w:sz w:val="22"/>
                <w:szCs w:val="22"/>
              </w:rPr>
            </w:pPr>
            <w:r>
              <w:rPr>
                <w:rFonts w:ascii="Gill Sans" w:eastAsia="Gill Sans" w:hAnsi="Gill Sans" w:cs="Gill Sans"/>
                <w:sz w:val="22"/>
                <w:szCs w:val="22"/>
              </w:rPr>
              <w:t>Phase-2:</w:t>
            </w:r>
          </w:p>
          <w:p w:rsidR="00290F5A" w:rsidRDefault="005E1A7B">
            <w:pPr>
              <w:widowControl w:val="0"/>
              <w:rPr>
                <w:rFonts w:ascii="Gill Sans" w:eastAsia="Gill Sans" w:hAnsi="Gill Sans" w:cs="Gill Sans"/>
                <w:b/>
                <w:sz w:val="22"/>
                <w:szCs w:val="22"/>
              </w:rPr>
            </w:pPr>
            <w:r>
              <w:rPr>
                <w:rFonts w:ascii="Gill Sans" w:eastAsia="Gill Sans" w:hAnsi="Gill Sans" w:cs="Gill Sans"/>
                <w:sz w:val="22"/>
                <w:szCs w:val="22"/>
              </w:rPr>
              <w:t>Deep-Dive /Field research</w:t>
            </w:r>
          </w:p>
        </w:tc>
        <w:tc>
          <w:tcPr>
            <w:tcW w:w="2071" w:type="dxa"/>
          </w:tcPr>
          <w:p w:rsidR="00290F5A" w:rsidRDefault="005E1A7B">
            <w:pPr>
              <w:widowControl w:val="0"/>
              <w:numPr>
                <w:ilvl w:val="0"/>
                <w:numId w:val="6"/>
              </w:numPr>
              <w:pBdr>
                <w:top w:val="nil"/>
                <w:left w:val="nil"/>
                <w:bottom w:val="nil"/>
                <w:right w:val="nil"/>
                <w:between w:val="nil"/>
              </w:pBdr>
              <w:ind w:left="331" w:hanging="270"/>
              <w:rPr>
                <w:sz w:val="22"/>
                <w:szCs w:val="22"/>
              </w:rPr>
            </w:pPr>
            <w:r>
              <w:rPr>
                <w:rFonts w:ascii="Gill Sans" w:eastAsia="Gill Sans" w:hAnsi="Gill Sans" w:cs="Gill Sans"/>
                <w:sz w:val="22"/>
                <w:szCs w:val="22"/>
              </w:rPr>
              <w:t>Presentation slides on initial findings (12-15 slides)</w:t>
            </w:r>
          </w:p>
        </w:tc>
        <w:tc>
          <w:tcPr>
            <w:tcW w:w="6120" w:type="dxa"/>
          </w:tcPr>
          <w:p w:rsidR="00290F5A" w:rsidRDefault="005E1A7B">
            <w:pPr>
              <w:widowControl w:val="0"/>
              <w:rPr>
                <w:rFonts w:ascii="Gill Sans" w:eastAsia="Gill Sans" w:hAnsi="Gill Sans" w:cs="Gill Sans"/>
                <w:sz w:val="22"/>
                <w:szCs w:val="22"/>
              </w:rPr>
            </w:pPr>
            <w:r>
              <w:rPr>
                <w:rFonts w:ascii="Gill Sans" w:eastAsia="Gill Sans" w:hAnsi="Gill Sans" w:cs="Gill Sans"/>
                <w:sz w:val="22"/>
                <w:szCs w:val="22"/>
              </w:rPr>
              <w:t>Upon completion of research, the consultancy will present initial findings to the iDE Team along with a revised TOC. The feedback from iDE during this session will help shape the final report, especially the areas of focus for analysis and recommendations</w:t>
            </w:r>
          </w:p>
        </w:tc>
      </w:tr>
      <w:tr w:rsidR="00290F5A">
        <w:trPr>
          <w:trHeight w:val="20"/>
        </w:trPr>
        <w:tc>
          <w:tcPr>
            <w:tcW w:w="1179" w:type="dxa"/>
          </w:tcPr>
          <w:p w:rsidR="00290F5A" w:rsidRDefault="005E1A7B">
            <w:pPr>
              <w:widowControl w:val="0"/>
              <w:rPr>
                <w:rFonts w:ascii="Gill Sans" w:eastAsia="Gill Sans" w:hAnsi="Gill Sans" w:cs="Gill Sans"/>
                <w:sz w:val="22"/>
                <w:szCs w:val="22"/>
              </w:rPr>
            </w:pPr>
            <w:r>
              <w:rPr>
                <w:rFonts w:ascii="Gill Sans" w:eastAsia="Gill Sans" w:hAnsi="Gill Sans" w:cs="Gill Sans"/>
                <w:sz w:val="22"/>
                <w:szCs w:val="22"/>
              </w:rPr>
              <w:t>Phase-3:</w:t>
            </w:r>
          </w:p>
          <w:p w:rsidR="00290F5A" w:rsidRDefault="005E1A7B">
            <w:pPr>
              <w:widowControl w:val="0"/>
              <w:rPr>
                <w:rFonts w:ascii="Gill Sans" w:eastAsia="Gill Sans" w:hAnsi="Gill Sans" w:cs="Gill Sans"/>
                <w:b/>
                <w:sz w:val="22"/>
                <w:szCs w:val="22"/>
              </w:rPr>
            </w:pPr>
            <w:r>
              <w:rPr>
                <w:rFonts w:ascii="Gill Sans" w:eastAsia="Gill Sans" w:hAnsi="Gill Sans" w:cs="Gill Sans"/>
                <w:sz w:val="22"/>
                <w:szCs w:val="22"/>
              </w:rPr>
              <w:t>Reporting</w:t>
            </w:r>
          </w:p>
        </w:tc>
        <w:tc>
          <w:tcPr>
            <w:tcW w:w="2071" w:type="dxa"/>
          </w:tcPr>
          <w:p w:rsidR="00290F5A" w:rsidRDefault="005E1A7B">
            <w:pPr>
              <w:widowControl w:val="0"/>
              <w:numPr>
                <w:ilvl w:val="0"/>
                <w:numId w:val="9"/>
              </w:numPr>
              <w:ind w:left="346" w:hanging="270"/>
              <w:rPr>
                <w:sz w:val="22"/>
                <w:szCs w:val="22"/>
              </w:rPr>
            </w:pPr>
            <w:r>
              <w:rPr>
                <w:rFonts w:ascii="Gill Sans" w:eastAsia="Gill Sans" w:hAnsi="Gill Sans" w:cs="Gill Sans"/>
                <w:sz w:val="22"/>
                <w:szCs w:val="22"/>
              </w:rPr>
              <w:t>Draft Report</w:t>
            </w:r>
          </w:p>
          <w:p w:rsidR="00290F5A" w:rsidRDefault="00290F5A">
            <w:pPr>
              <w:widowControl w:val="0"/>
              <w:ind w:left="346"/>
              <w:rPr>
                <w:rFonts w:ascii="Gill Sans" w:eastAsia="Gill Sans" w:hAnsi="Gill Sans" w:cs="Gill Sans"/>
                <w:sz w:val="22"/>
                <w:szCs w:val="22"/>
              </w:rPr>
            </w:pPr>
          </w:p>
          <w:p w:rsidR="00290F5A" w:rsidRDefault="005E1A7B">
            <w:pPr>
              <w:widowControl w:val="0"/>
              <w:numPr>
                <w:ilvl w:val="0"/>
                <w:numId w:val="9"/>
              </w:numPr>
              <w:pBdr>
                <w:top w:val="nil"/>
                <w:left w:val="nil"/>
                <w:bottom w:val="nil"/>
                <w:right w:val="nil"/>
                <w:between w:val="nil"/>
              </w:pBdr>
              <w:ind w:left="346" w:hanging="270"/>
              <w:rPr>
                <w:sz w:val="22"/>
                <w:szCs w:val="22"/>
              </w:rPr>
            </w:pPr>
            <w:r>
              <w:rPr>
                <w:rFonts w:ascii="Gill Sans" w:eastAsia="Gill Sans" w:hAnsi="Gill Sans" w:cs="Gill Sans"/>
                <w:sz w:val="22"/>
                <w:szCs w:val="22"/>
              </w:rPr>
              <w:t>Final Report (30-40 pages)</w:t>
            </w:r>
          </w:p>
        </w:tc>
        <w:tc>
          <w:tcPr>
            <w:tcW w:w="6120" w:type="dxa"/>
          </w:tcPr>
          <w:p w:rsidR="00290F5A" w:rsidRDefault="005E1A7B">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The final report should answer the questions outlined above in “Guiding Questions.” A draft of this report will be shared with iDE for review and feedback. The consultancy should expect at least two rounds of feedback. Depending upon the quality of the report, additional rounds of review may be required. The report should include the following:</w:t>
            </w:r>
          </w:p>
          <w:p w:rsidR="00290F5A" w:rsidRDefault="005E1A7B">
            <w:pPr>
              <w:numPr>
                <w:ilvl w:val="1"/>
                <w:numId w:val="9"/>
              </w:numPr>
              <w:pBdr>
                <w:top w:val="nil"/>
                <w:left w:val="nil"/>
                <w:bottom w:val="nil"/>
                <w:right w:val="nil"/>
                <w:between w:val="nil"/>
              </w:pBdr>
              <w:ind w:left="496" w:hanging="270"/>
              <w:rPr>
                <w:color w:val="000000"/>
                <w:sz w:val="22"/>
                <w:szCs w:val="22"/>
              </w:rPr>
            </w:pPr>
            <w:r>
              <w:rPr>
                <w:rFonts w:ascii="Gill Sans" w:eastAsia="Gill Sans" w:hAnsi="Gill Sans" w:cs="Gill Sans"/>
                <w:color w:val="000000"/>
                <w:sz w:val="22"/>
                <w:szCs w:val="22"/>
              </w:rPr>
              <w:t>Literature Review: Summary of current TVET, policies, statistics, reports and an overview of recent past and present interventions, including their findings, strategic approach and lessons learned. Primacy should be placed on literature within the Suchana project area; however, it is understood that broader Bangladesh country-level studies and data may be pertinent.</w:t>
            </w:r>
          </w:p>
          <w:p w:rsidR="00290F5A" w:rsidRDefault="005E1A7B">
            <w:pPr>
              <w:numPr>
                <w:ilvl w:val="1"/>
                <w:numId w:val="9"/>
              </w:numPr>
              <w:pBdr>
                <w:top w:val="nil"/>
                <w:left w:val="nil"/>
                <w:bottom w:val="nil"/>
                <w:right w:val="nil"/>
                <w:between w:val="nil"/>
              </w:pBdr>
              <w:ind w:left="496" w:hanging="270"/>
              <w:rPr>
                <w:color w:val="000000"/>
                <w:sz w:val="22"/>
                <w:szCs w:val="22"/>
              </w:rPr>
            </w:pPr>
            <w:r>
              <w:rPr>
                <w:rFonts w:ascii="Gill Sans" w:eastAsia="Gill Sans" w:hAnsi="Gill Sans" w:cs="Gill Sans"/>
                <w:color w:val="000000"/>
                <w:sz w:val="22"/>
                <w:szCs w:val="22"/>
              </w:rPr>
              <w:t>Summary of existing TVET services (specially for adolescent girls) and public/private/ NGOs actors in Suchana regions</w:t>
            </w:r>
          </w:p>
          <w:p w:rsidR="00290F5A" w:rsidRDefault="005E1A7B">
            <w:pPr>
              <w:numPr>
                <w:ilvl w:val="1"/>
                <w:numId w:val="9"/>
              </w:numPr>
              <w:pBdr>
                <w:top w:val="nil"/>
                <w:left w:val="nil"/>
                <w:bottom w:val="nil"/>
                <w:right w:val="nil"/>
                <w:between w:val="nil"/>
              </w:pBdr>
              <w:ind w:left="496" w:hanging="270"/>
              <w:rPr>
                <w:color w:val="000000"/>
                <w:sz w:val="22"/>
                <w:szCs w:val="22"/>
              </w:rPr>
            </w:pPr>
            <w:r>
              <w:rPr>
                <w:rFonts w:ascii="Gill Sans" w:eastAsia="Gill Sans" w:hAnsi="Gill Sans" w:cs="Gill Sans"/>
                <w:color w:val="000000"/>
                <w:sz w:val="22"/>
                <w:szCs w:val="22"/>
              </w:rPr>
              <w:t>Assessment findings on TVET needs, particularly regarding the needs of Suchana targeted beneficiaries (adolescent girls)</w:t>
            </w:r>
          </w:p>
          <w:p w:rsidR="00290F5A" w:rsidRDefault="005E1A7B">
            <w:pPr>
              <w:numPr>
                <w:ilvl w:val="1"/>
                <w:numId w:val="9"/>
              </w:numPr>
              <w:pBdr>
                <w:top w:val="nil"/>
                <w:left w:val="nil"/>
                <w:bottom w:val="nil"/>
                <w:right w:val="nil"/>
                <w:between w:val="nil"/>
              </w:pBdr>
              <w:ind w:left="496" w:hanging="270"/>
              <w:rPr>
                <w:color w:val="000000"/>
                <w:sz w:val="22"/>
                <w:szCs w:val="22"/>
              </w:rPr>
            </w:pPr>
            <w:r>
              <w:rPr>
                <w:rFonts w:ascii="Gill Sans" w:eastAsia="Gill Sans" w:hAnsi="Gill Sans" w:cs="Gill Sans"/>
                <w:sz w:val="22"/>
                <w:szCs w:val="22"/>
              </w:rPr>
              <w:lastRenderedPageBreak/>
              <w:t>SWOT/</w:t>
            </w:r>
            <w:r>
              <w:rPr>
                <w:rFonts w:ascii="Gill Sans" w:eastAsia="Gill Sans" w:hAnsi="Gill Sans" w:cs="Gill Sans"/>
                <w:color w:val="000000"/>
                <w:sz w:val="22"/>
                <w:szCs w:val="22"/>
              </w:rPr>
              <w:t>Gap Analysis including the constraints that exist in the TVET sect</w:t>
            </w:r>
            <w:r>
              <w:rPr>
                <w:rFonts w:ascii="Gill Sans" w:eastAsia="Gill Sans" w:hAnsi="Gill Sans" w:cs="Gill Sans"/>
                <w:sz w:val="22"/>
                <w:szCs w:val="22"/>
              </w:rPr>
              <w:t>or within the project area (specially for adolescent girls), possibility &amp; barrier of job employment of trained adolescent under Sylhet region.</w:t>
            </w:r>
          </w:p>
          <w:p w:rsidR="00290F5A" w:rsidRDefault="005E1A7B">
            <w:pPr>
              <w:numPr>
                <w:ilvl w:val="1"/>
                <w:numId w:val="9"/>
              </w:numPr>
              <w:pBdr>
                <w:top w:val="nil"/>
                <w:left w:val="nil"/>
                <w:bottom w:val="nil"/>
                <w:right w:val="nil"/>
                <w:between w:val="nil"/>
              </w:pBdr>
              <w:ind w:left="496" w:hanging="270"/>
              <w:rPr>
                <w:color w:val="000000"/>
                <w:sz w:val="22"/>
                <w:szCs w:val="22"/>
              </w:rPr>
            </w:pPr>
            <w:r>
              <w:rPr>
                <w:rFonts w:ascii="Gill Sans" w:eastAsia="Gill Sans" w:hAnsi="Gill Sans" w:cs="Gill Sans"/>
                <w:sz w:val="22"/>
                <w:szCs w:val="22"/>
              </w:rPr>
              <w:t>Recommendations for products and initiatives iden</w:t>
            </w:r>
            <w:r>
              <w:rPr>
                <w:rFonts w:ascii="Gill Sans" w:eastAsia="Gill Sans" w:hAnsi="Gill Sans" w:cs="Gill Sans"/>
                <w:color w:val="000000"/>
                <w:sz w:val="22"/>
                <w:szCs w:val="22"/>
              </w:rPr>
              <w:t>tified for potential partnership</w:t>
            </w:r>
            <w:r>
              <w:rPr>
                <w:rFonts w:ascii="Gill Sans" w:eastAsia="Gill Sans" w:hAnsi="Gill Sans" w:cs="Gill Sans"/>
                <w:sz w:val="22"/>
                <w:szCs w:val="22"/>
              </w:rPr>
              <w:t>s between the TVET institutions and the Suchana consortium for enrolling BHHs under different TVET with employment opportunity, way forward to overcome barrier of adolescent friendly TVET.</w:t>
            </w:r>
          </w:p>
          <w:p w:rsidR="00290F5A" w:rsidRDefault="005E1A7B">
            <w:pPr>
              <w:numPr>
                <w:ilvl w:val="1"/>
                <w:numId w:val="9"/>
              </w:numPr>
              <w:pBdr>
                <w:top w:val="nil"/>
                <w:left w:val="nil"/>
                <w:bottom w:val="nil"/>
                <w:right w:val="nil"/>
                <w:between w:val="nil"/>
              </w:pBdr>
              <w:ind w:left="496" w:hanging="270"/>
              <w:rPr>
                <w:color w:val="000000"/>
                <w:sz w:val="22"/>
                <w:szCs w:val="22"/>
              </w:rPr>
            </w:pPr>
            <w:r>
              <w:rPr>
                <w:rFonts w:ascii="Gill Sans" w:eastAsia="Gill Sans" w:hAnsi="Gill Sans" w:cs="Gill Sans"/>
                <w:color w:val="000000"/>
                <w:sz w:val="22"/>
                <w:szCs w:val="22"/>
              </w:rPr>
              <w:t>Annexure that includes:</w:t>
            </w:r>
          </w:p>
          <w:p w:rsidR="00290F5A" w:rsidRDefault="005E1A7B">
            <w:pPr>
              <w:numPr>
                <w:ilvl w:val="0"/>
                <w:numId w:val="13"/>
              </w:numPr>
              <w:pBdr>
                <w:top w:val="nil"/>
                <w:left w:val="nil"/>
                <w:bottom w:val="nil"/>
                <w:right w:val="nil"/>
                <w:between w:val="nil"/>
              </w:pBdr>
              <w:rPr>
                <w:color w:val="000000"/>
                <w:sz w:val="22"/>
                <w:szCs w:val="22"/>
              </w:rPr>
            </w:pPr>
            <w:r>
              <w:rPr>
                <w:rFonts w:ascii="Gill Sans" w:eastAsia="Gill Sans" w:hAnsi="Gill Sans" w:cs="Gill Sans"/>
                <w:color w:val="000000"/>
                <w:sz w:val="22"/>
                <w:szCs w:val="22"/>
              </w:rPr>
              <w:t>Questionnaires</w:t>
            </w:r>
          </w:p>
          <w:p w:rsidR="00290F5A" w:rsidRDefault="005E1A7B">
            <w:pPr>
              <w:numPr>
                <w:ilvl w:val="0"/>
                <w:numId w:val="13"/>
              </w:numPr>
              <w:pBdr>
                <w:top w:val="nil"/>
                <w:left w:val="nil"/>
                <w:bottom w:val="nil"/>
                <w:right w:val="nil"/>
                <w:between w:val="nil"/>
              </w:pBdr>
              <w:rPr>
                <w:color w:val="000000"/>
                <w:sz w:val="22"/>
                <w:szCs w:val="22"/>
              </w:rPr>
            </w:pPr>
            <w:r>
              <w:rPr>
                <w:rFonts w:ascii="Gill Sans" w:eastAsia="Gill Sans" w:hAnsi="Gill Sans" w:cs="Gill Sans"/>
                <w:color w:val="000000"/>
                <w:sz w:val="22"/>
                <w:szCs w:val="22"/>
              </w:rPr>
              <w:t>Field Notes – should provide sufficient information to be able to identify and validate both the source and the information ascribed to that source</w:t>
            </w:r>
          </w:p>
        </w:tc>
      </w:tr>
    </w:tbl>
    <w:p w:rsidR="00290F5A" w:rsidRDefault="00290F5A">
      <w:pPr>
        <w:pBdr>
          <w:top w:val="nil"/>
          <w:left w:val="nil"/>
          <w:bottom w:val="nil"/>
          <w:right w:val="nil"/>
          <w:between w:val="nil"/>
        </w:pBdr>
        <w:spacing w:line="240" w:lineRule="auto"/>
        <w:jc w:val="both"/>
        <w:rPr>
          <w:rFonts w:ascii="Gill Sans" w:eastAsia="Gill Sans" w:hAnsi="Gill Sans" w:cs="Gill Sans"/>
          <w:color w:val="000000"/>
        </w:rPr>
      </w:pPr>
    </w:p>
    <w:p w:rsidR="00290F5A" w:rsidRDefault="005E1A7B">
      <w:pPr>
        <w:pBdr>
          <w:top w:val="nil"/>
          <w:left w:val="nil"/>
          <w:bottom w:val="nil"/>
          <w:right w:val="nil"/>
          <w:between w:val="nil"/>
        </w:pBdr>
        <w:spacing w:line="240" w:lineRule="auto"/>
        <w:jc w:val="both"/>
        <w:rPr>
          <w:rFonts w:ascii="Gill Sans" w:eastAsia="Gill Sans" w:hAnsi="Gill Sans" w:cs="Gill Sans"/>
          <w:color w:val="000000"/>
        </w:rPr>
      </w:pPr>
      <w:r>
        <w:rPr>
          <w:rFonts w:ascii="Gill Sans" w:eastAsia="Gill Sans" w:hAnsi="Gill Sans" w:cs="Gill Sans"/>
          <w:color w:val="000000"/>
        </w:rPr>
        <w:t xml:space="preserve">All three deliverables described above should be written and/or presented in English. The quality should be suitable for an international audience. </w:t>
      </w:r>
    </w:p>
    <w:p w:rsidR="00290F5A" w:rsidRDefault="00290F5A">
      <w:pPr>
        <w:pBdr>
          <w:top w:val="nil"/>
          <w:left w:val="nil"/>
          <w:bottom w:val="nil"/>
          <w:right w:val="nil"/>
          <w:between w:val="nil"/>
        </w:pBdr>
        <w:spacing w:line="240" w:lineRule="auto"/>
        <w:jc w:val="both"/>
        <w:rPr>
          <w:rFonts w:ascii="Gill Sans" w:eastAsia="Gill Sans" w:hAnsi="Gill Sans" w:cs="Gill Sans"/>
          <w:color w:val="000000"/>
        </w:rPr>
      </w:pPr>
    </w:p>
    <w:p w:rsidR="00290F5A" w:rsidRDefault="005E1A7B">
      <w:pPr>
        <w:pStyle w:val="Heading2"/>
        <w:widowControl w:val="0"/>
        <w:numPr>
          <w:ilvl w:val="0"/>
          <w:numId w:val="2"/>
        </w:numPr>
        <w:spacing w:line="240" w:lineRule="auto"/>
        <w:jc w:val="both"/>
      </w:pPr>
      <w:bookmarkStart w:id="8" w:name="_4d34og8" w:colFirst="0" w:colLast="0"/>
      <w:bookmarkEnd w:id="8"/>
      <w:r>
        <w:rPr>
          <w:rFonts w:ascii="Gill Sans" w:eastAsia="Gill Sans" w:hAnsi="Gill Sans" w:cs="Gill Sans"/>
          <w:color w:val="000000"/>
          <w:sz w:val="22"/>
          <w:szCs w:val="22"/>
        </w:rPr>
        <w:t>Eligibility Criteria</w:t>
      </w:r>
    </w:p>
    <w:p w:rsidR="00290F5A" w:rsidRDefault="00290F5A">
      <w:pPr>
        <w:widowControl w:val="0"/>
        <w:spacing w:line="240" w:lineRule="auto"/>
        <w:jc w:val="both"/>
        <w:rPr>
          <w:rFonts w:ascii="Gill Sans" w:eastAsia="Gill Sans" w:hAnsi="Gill Sans" w:cs="Gill Sans"/>
        </w:rPr>
      </w:pPr>
    </w:p>
    <w:p w:rsidR="00290F5A" w:rsidRDefault="005E1A7B">
      <w:pPr>
        <w:widowControl w:val="0"/>
        <w:spacing w:line="240" w:lineRule="auto"/>
        <w:jc w:val="both"/>
        <w:rPr>
          <w:rFonts w:ascii="Gill Sans" w:eastAsia="Gill Sans" w:hAnsi="Gill Sans" w:cs="Gill Sans"/>
        </w:rPr>
      </w:pPr>
      <w:r>
        <w:rPr>
          <w:rFonts w:ascii="Gill Sans" w:eastAsia="Gill Sans" w:hAnsi="Gill Sans" w:cs="Gill Sans"/>
        </w:rPr>
        <w:t>General experience and expertise:</w:t>
      </w:r>
    </w:p>
    <w:p w:rsidR="00290F5A" w:rsidRDefault="005E1A7B">
      <w:pPr>
        <w:widowControl w:val="0"/>
        <w:numPr>
          <w:ilvl w:val="0"/>
          <w:numId w:val="7"/>
        </w:numPr>
        <w:spacing w:line="240" w:lineRule="auto"/>
        <w:ind w:left="714" w:hanging="357"/>
        <w:jc w:val="both"/>
      </w:pPr>
      <w:r>
        <w:rPr>
          <w:rFonts w:ascii="Gill Sans" w:eastAsia="Gill Sans" w:hAnsi="Gill Sans" w:cs="Gill Sans"/>
        </w:rPr>
        <w:t>Any qualified international or national firm or individual consultant may apply</w:t>
      </w:r>
    </w:p>
    <w:p w:rsidR="00290F5A" w:rsidRDefault="005E1A7B">
      <w:pPr>
        <w:numPr>
          <w:ilvl w:val="0"/>
          <w:numId w:val="7"/>
        </w:numPr>
        <w:pBdr>
          <w:top w:val="nil"/>
          <w:left w:val="nil"/>
          <w:bottom w:val="nil"/>
          <w:right w:val="nil"/>
          <w:between w:val="nil"/>
        </w:pBdr>
        <w:spacing w:line="240" w:lineRule="auto"/>
        <w:jc w:val="both"/>
      </w:pPr>
      <w:r>
        <w:rPr>
          <w:rFonts w:ascii="Gill Sans" w:eastAsia="Gill Sans" w:hAnsi="Gill Sans" w:cs="Gill Sans"/>
        </w:rPr>
        <w:t>Ability to communicate cross-culturally and collaborative nature.</w:t>
      </w:r>
    </w:p>
    <w:p w:rsidR="00290F5A" w:rsidRDefault="005E1A7B">
      <w:pPr>
        <w:widowControl w:val="0"/>
        <w:numPr>
          <w:ilvl w:val="0"/>
          <w:numId w:val="7"/>
        </w:numPr>
        <w:pBdr>
          <w:top w:val="nil"/>
          <w:left w:val="nil"/>
          <w:bottom w:val="nil"/>
          <w:right w:val="nil"/>
          <w:between w:val="nil"/>
        </w:pBdr>
        <w:tabs>
          <w:tab w:val="left" w:pos="720"/>
        </w:tabs>
        <w:spacing w:line="240" w:lineRule="auto"/>
        <w:ind w:right="144"/>
        <w:jc w:val="both"/>
        <w:rPr>
          <w:color w:val="000000"/>
        </w:rPr>
      </w:pPr>
      <w:r>
        <w:rPr>
          <w:rFonts w:ascii="Gill Sans" w:eastAsia="Gill Sans" w:hAnsi="Gill Sans" w:cs="Gill Sans"/>
          <w:color w:val="000000"/>
        </w:rPr>
        <w:t xml:space="preserve">Excellent communication, written and verbal skills in English </w:t>
      </w:r>
    </w:p>
    <w:p w:rsidR="00290F5A" w:rsidRDefault="005E1A7B">
      <w:pPr>
        <w:widowControl w:val="0"/>
        <w:numPr>
          <w:ilvl w:val="0"/>
          <w:numId w:val="7"/>
        </w:numPr>
        <w:pBdr>
          <w:top w:val="nil"/>
          <w:left w:val="nil"/>
          <w:bottom w:val="nil"/>
          <w:right w:val="nil"/>
          <w:between w:val="nil"/>
        </w:pBdr>
        <w:tabs>
          <w:tab w:val="left" w:pos="720"/>
        </w:tabs>
        <w:spacing w:line="240" w:lineRule="auto"/>
        <w:ind w:right="144"/>
        <w:jc w:val="both"/>
        <w:rPr>
          <w:color w:val="000000"/>
        </w:rPr>
      </w:pPr>
      <w:r>
        <w:rPr>
          <w:rFonts w:ascii="Gill Sans" w:eastAsia="Gill Sans" w:hAnsi="Gill Sans" w:cs="Gill Sans"/>
          <w:color w:val="000000"/>
        </w:rPr>
        <w:t>The consultant must have rigorous experience of conducting studies, clear understanding of market research methodologies and experience in using different social research tools and techniques</w:t>
      </w:r>
    </w:p>
    <w:p w:rsidR="00290F5A" w:rsidRDefault="005E1A7B">
      <w:pPr>
        <w:numPr>
          <w:ilvl w:val="0"/>
          <w:numId w:val="7"/>
        </w:numPr>
        <w:pBdr>
          <w:top w:val="nil"/>
          <w:left w:val="nil"/>
          <w:bottom w:val="nil"/>
          <w:right w:val="nil"/>
          <w:between w:val="nil"/>
        </w:pBdr>
        <w:spacing w:line="240" w:lineRule="auto"/>
        <w:jc w:val="both"/>
      </w:pPr>
      <w:r>
        <w:rPr>
          <w:rFonts w:ascii="Gill Sans" w:eastAsia="Gill Sans" w:hAnsi="Gill Sans" w:cs="Gill Sans"/>
        </w:rPr>
        <w:t xml:space="preserve">Should have experience to conduct similar surveys or assessments of TVET and SME sector. </w:t>
      </w:r>
    </w:p>
    <w:p w:rsidR="00290F5A" w:rsidRDefault="005E1A7B">
      <w:pPr>
        <w:numPr>
          <w:ilvl w:val="0"/>
          <w:numId w:val="7"/>
        </w:numPr>
        <w:pBdr>
          <w:top w:val="nil"/>
          <w:left w:val="nil"/>
          <w:bottom w:val="nil"/>
          <w:right w:val="nil"/>
          <w:between w:val="nil"/>
        </w:pBdr>
        <w:spacing w:line="240" w:lineRule="auto"/>
        <w:jc w:val="both"/>
      </w:pPr>
      <w:r>
        <w:rPr>
          <w:rFonts w:ascii="Gill Sans" w:eastAsia="Gill Sans" w:hAnsi="Gill Sans" w:cs="Gill Sans"/>
        </w:rPr>
        <w:t xml:space="preserve">Experience in project management is required with an excellent understanding of the MSD and M4P </w:t>
      </w:r>
    </w:p>
    <w:p w:rsidR="00290F5A" w:rsidRDefault="005E1A7B">
      <w:pPr>
        <w:numPr>
          <w:ilvl w:val="0"/>
          <w:numId w:val="7"/>
        </w:numPr>
        <w:pBdr>
          <w:top w:val="nil"/>
          <w:left w:val="nil"/>
          <w:bottom w:val="nil"/>
          <w:right w:val="nil"/>
          <w:between w:val="nil"/>
        </w:pBdr>
        <w:spacing w:line="240" w:lineRule="auto"/>
        <w:jc w:val="both"/>
      </w:pPr>
      <w:r>
        <w:rPr>
          <w:rFonts w:ascii="Gill Sans" w:eastAsia="Gill Sans" w:hAnsi="Gill Sans" w:cs="Gill Sans"/>
        </w:rPr>
        <w:t xml:space="preserve">Personal commitment, efficiency and flexibility, together with the ability to work both independently under minimum supervision and with large diverse project teams. </w:t>
      </w:r>
    </w:p>
    <w:p w:rsidR="00290F5A" w:rsidRDefault="005E1A7B">
      <w:pPr>
        <w:pBdr>
          <w:top w:val="nil"/>
          <w:left w:val="nil"/>
          <w:bottom w:val="nil"/>
          <w:right w:val="nil"/>
          <w:between w:val="nil"/>
        </w:pBdr>
        <w:spacing w:line="240" w:lineRule="auto"/>
        <w:ind w:left="720"/>
        <w:jc w:val="both"/>
        <w:rPr>
          <w:rFonts w:ascii="Gill Sans" w:eastAsia="Gill Sans" w:hAnsi="Gill Sans" w:cs="Gill Sans"/>
          <w:b/>
        </w:rPr>
      </w:pPr>
      <w:r>
        <w:rPr>
          <w:rFonts w:ascii="Gill Sans" w:eastAsia="Gill Sans" w:hAnsi="Gill Sans" w:cs="Gill Sans"/>
        </w:rPr>
        <w:t xml:space="preserve"> </w:t>
      </w:r>
    </w:p>
    <w:p w:rsidR="00290F5A" w:rsidRDefault="005E1A7B">
      <w:pPr>
        <w:pStyle w:val="Heading2"/>
        <w:numPr>
          <w:ilvl w:val="0"/>
          <w:numId w:val="2"/>
        </w:numPr>
        <w:spacing w:line="240" w:lineRule="auto"/>
        <w:jc w:val="both"/>
      </w:pPr>
      <w:bookmarkStart w:id="9" w:name="_2s8eyo1" w:colFirst="0" w:colLast="0"/>
      <w:bookmarkEnd w:id="9"/>
      <w:r>
        <w:rPr>
          <w:rFonts w:ascii="Gill Sans" w:eastAsia="Gill Sans" w:hAnsi="Gill Sans" w:cs="Gill Sans"/>
          <w:color w:val="000000"/>
          <w:sz w:val="22"/>
          <w:szCs w:val="22"/>
        </w:rPr>
        <w:t xml:space="preserve">Budget and Payment Schedule </w:t>
      </w:r>
    </w:p>
    <w:p w:rsidR="00290F5A" w:rsidRDefault="00290F5A">
      <w:pPr>
        <w:widowControl w:val="0"/>
        <w:spacing w:line="240" w:lineRule="auto"/>
        <w:jc w:val="both"/>
        <w:rPr>
          <w:rFonts w:ascii="Gill Sans" w:eastAsia="Gill Sans" w:hAnsi="Gill Sans" w:cs="Gill Sans"/>
        </w:rPr>
      </w:pPr>
    </w:p>
    <w:p w:rsidR="00290F5A" w:rsidRDefault="005E1A7B">
      <w:pPr>
        <w:widowControl w:val="0"/>
        <w:spacing w:line="240" w:lineRule="auto"/>
        <w:jc w:val="both"/>
        <w:rPr>
          <w:rFonts w:ascii="Gill Sans" w:eastAsia="Gill Sans" w:hAnsi="Gill Sans" w:cs="Gill Sans"/>
        </w:rPr>
      </w:pPr>
      <w:r>
        <w:rPr>
          <w:rFonts w:ascii="Gill Sans" w:eastAsia="Gill Sans" w:hAnsi="Gill Sans" w:cs="Gill Sans"/>
        </w:rPr>
        <w:t>The total budget for this work must not exceed BDT 850,000 (Eight Lakh and Fifty Thousand Taka only) which should cover all costs including consultants' fee for conducting the entire assignment until final deliverables submission. This should include remuneration, field-based travel (accommodation, transport, per diems) and any miscellaneous costs. Government tax regulation will apply and tax deduction at source will be applied. The consultant will submit an invoice at the end of each phase. Payment schedule is as follows:</w:t>
      </w:r>
    </w:p>
    <w:p w:rsidR="00290F5A" w:rsidRDefault="00290F5A">
      <w:pPr>
        <w:widowControl w:val="0"/>
        <w:spacing w:line="240" w:lineRule="auto"/>
        <w:jc w:val="both"/>
        <w:rPr>
          <w:rFonts w:ascii="Gill Sans" w:eastAsia="Gill Sans" w:hAnsi="Gill Sans" w:cs="Gill Sans"/>
        </w:rPr>
      </w:pPr>
    </w:p>
    <w:p w:rsidR="00290F5A" w:rsidRDefault="005E1A7B">
      <w:pPr>
        <w:widowControl w:val="0"/>
        <w:numPr>
          <w:ilvl w:val="0"/>
          <w:numId w:val="1"/>
        </w:numPr>
        <w:spacing w:line="240" w:lineRule="auto"/>
        <w:ind w:left="1077" w:hanging="357"/>
        <w:jc w:val="both"/>
      </w:pPr>
      <w:bookmarkStart w:id="10" w:name="_17dp8vu" w:colFirst="0" w:colLast="0"/>
      <w:bookmarkEnd w:id="10"/>
      <w:r>
        <w:rPr>
          <w:rFonts w:ascii="Gill Sans" w:eastAsia="Gill Sans" w:hAnsi="Gill Sans" w:cs="Gill Sans"/>
        </w:rPr>
        <w:t>20% of the contract value disbursed upon approval of Phase 1 deliverables</w:t>
      </w:r>
    </w:p>
    <w:p w:rsidR="00290F5A" w:rsidRDefault="005E1A7B">
      <w:pPr>
        <w:widowControl w:val="0"/>
        <w:numPr>
          <w:ilvl w:val="0"/>
          <w:numId w:val="1"/>
        </w:numPr>
        <w:spacing w:line="240" w:lineRule="auto"/>
        <w:ind w:left="1077" w:hanging="357"/>
        <w:jc w:val="both"/>
      </w:pPr>
      <w:r>
        <w:rPr>
          <w:rFonts w:ascii="Gill Sans" w:eastAsia="Gill Sans" w:hAnsi="Gill Sans" w:cs="Gill Sans"/>
        </w:rPr>
        <w:t xml:space="preserve">40% of the contract value disbursed upon approval of Phase 2 deliverables. </w:t>
      </w:r>
    </w:p>
    <w:p w:rsidR="00290F5A" w:rsidRDefault="005E1A7B">
      <w:pPr>
        <w:widowControl w:val="0"/>
        <w:numPr>
          <w:ilvl w:val="0"/>
          <w:numId w:val="1"/>
        </w:numPr>
        <w:spacing w:line="240" w:lineRule="auto"/>
        <w:ind w:left="1077" w:hanging="357"/>
        <w:jc w:val="both"/>
      </w:pPr>
      <w:r>
        <w:rPr>
          <w:rFonts w:ascii="Gill Sans" w:eastAsia="Gill Sans" w:hAnsi="Gill Sans" w:cs="Gill Sans"/>
        </w:rPr>
        <w:t>40% of the contract value disbursed upon approval of Phase 3 deliverables.</w:t>
      </w:r>
    </w:p>
    <w:p w:rsidR="00290F5A" w:rsidRDefault="00290F5A">
      <w:pPr>
        <w:widowControl w:val="0"/>
        <w:spacing w:line="240" w:lineRule="auto"/>
        <w:jc w:val="both"/>
        <w:rPr>
          <w:rFonts w:ascii="Gill Sans" w:eastAsia="Gill Sans" w:hAnsi="Gill Sans" w:cs="Gill Sans"/>
        </w:rPr>
      </w:pPr>
    </w:p>
    <w:p w:rsidR="00290F5A" w:rsidRDefault="005E1A7B">
      <w:pPr>
        <w:pStyle w:val="Heading2"/>
        <w:widowControl w:val="0"/>
        <w:numPr>
          <w:ilvl w:val="0"/>
          <w:numId w:val="2"/>
        </w:numPr>
        <w:spacing w:line="240" w:lineRule="auto"/>
        <w:jc w:val="both"/>
      </w:pPr>
      <w:bookmarkStart w:id="11" w:name="_3rdcrjn" w:colFirst="0" w:colLast="0"/>
      <w:bookmarkEnd w:id="11"/>
      <w:r>
        <w:rPr>
          <w:rFonts w:ascii="Gill Sans" w:eastAsia="Gill Sans" w:hAnsi="Gill Sans" w:cs="Gill Sans"/>
          <w:color w:val="000000"/>
          <w:sz w:val="22"/>
          <w:szCs w:val="22"/>
        </w:rPr>
        <w:t>Work Schedule</w:t>
      </w:r>
    </w:p>
    <w:p w:rsidR="00290F5A" w:rsidRDefault="00290F5A">
      <w:pPr>
        <w:spacing w:line="240" w:lineRule="auto"/>
        <w:jc w:val="both"/>
        <w:rPr>
          <w:rFonts w:ascii="Gill Sans" w:eastAsia="Gill Sans" w:hAnsi="Gill Sans" w:cs="Gill Sans"/>
        </w:rPr>
      </w:pPr>
    </w:p>
    <w:p w:rsidR="00290F5A" w:rsidRDefault="005E1A7B">
      <w:pPr>
        <w:widowControl w:val="0"/>
        <w:spacing w:line="240" w:lineRule="auto"/>
        <w:jc w:val="both"/>
        <w:rPr>
          <w:rFonts w:ascii="Gill Sans" w:eastAsia="Gill Sans" w:hAnsi="Gill Sans" w:cs="Gill Sans"/>
        </w:rPr>
      </w:pPr>
      <w:r>
        <w:rPr>
          <w:rFonts w:ascii="Gill Sans" w:eastAsia="Gill Sans" w:hAnsi="Gill Sans" w:cs="Gill Sans"/>
        </w:rPr>
        <w:t>The assignment will be carried out from 1</w:t>
      </w:r>
      <w:r>
        <w:rPr>
          <w:rFonts w:ascii="Gill Sans" w:eastAsia="Gill Sans" w:hAnsi="Gill Sans" w:cs="Gill Sans"/>
          <w:vertAlign w:val="superscript"/>
        </w:rPr>
        <w:t>st</w:t>
      </w:r>
      <w:r>
        <w:rPr>
          <w:rFonts w:ascii="Gill Sans" w:eastAsia="Gill Sans" w:hAnsi="Gill Sans" w:cs="Gill Sans"/>
        </w:rPr>
        <w:t xml:space="preserve"> May 2019 to 20th June 2019 as stated below.</w:t>
      </w:r>
    </w:p>
    <w:p w:rsidR="00290F5A" w:rsidRDefault="00290F5A">
      <w:pPr>
        <w:widowControl w:val="0"/>
        <w:spacing w:line="240" w:lineRule="auto"/>
        <w:jc w:val="both"/>
        <w:rPr>
          <w:rFonts w:ascii="Gill Sans" w:eastAsia="Gill Sans" w:hAnsi="Gill Sans" w:cs="Gill Sans"/>
        </w:rPr>
      </w:pPr>
    </w:p>
    <w:tbl>
      <w:tblPr>
        <w:tblStyle w:val="a1"/>
        <w:tblW w:w="9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0"/>
        <w:gridCol w:w="2049"/>
        <w:gridCol w:w="2050"/>
        <w:gridCol w:w="2050"/>
      </w:tblGrid>
      <w:tr w:rsidR="00290F5A">
        <w:trPr>
          <w:trHeight w:val="20"/>
        </w:trPr>
        <w:tc>
          <w:tcPr>
            <w:tcW w:w="3430" w:type="dxa"/>
            <w:shd w:val="clear" w:color="auto" w:fill="FFFFFF"/>
            <w:vAlign w:val="center"/>
          </w:tcPr>
          <w:p w:rsidR="00290F5A" w:rsidRDefault="005E1A7B">
            <w:pPr>
              <w:widowControl w:val="0"/>
              <w:jc w:val="both"/>
              <w:rPr>
                <w:rFonts w:ascii="Gill Sans" w:eastAsia="Gill Sans" w:hAnsi="Gill Sans" w:cs="Gill Sans"/>
                <w:b/>
                <w:sz w:val="22"/>
                <w:szCs w:val="22"/>
              </w:rPr>
            </w:pPr>
            <w:r>
              <w:rPr>
                <w:rFonts w:ascii="Gill Sans" w:eastAsia="Gill Sans" w:hAnsi="Gill Sans" w:cs="Gill Sans"/>
                <w:b/>
                <w:sz w:val="22"/>
                <w:szCs w:val="22"/>
              </w:rPr>
              <w:lastRenderedPageBreak/>
              <w:t>Phases</w:t>
            </w:r>
          </w:p>
        </w:tc>
        <w:tc>
          <w:tcPr>
            <w:tcW w:w="2049" w:type="dxa"/>
            <w:shd w:val="clear" w:color="auto" w:fill="FFFFFF"/>
            <w:vAlign w:val="center"/>
          </w:tcPr>
          <w:p w:rsidR="00290F5A" w:rsidRDefault="005E1A7B">
            <w:pPr>
              <w:widowControl w:val="0"/>
              <w:jc w:val="both"/>
              <w:rPr>
                <w:rFonts w:ascii="Gill Sans" w:eastAsia="Gill Sans" w:hAnsi="Gill Sans" w:cs="Gill Sans"/>
                <w:b/>
                <w:sz w:val="22"/>
                <w:szCs w:val="22"/>
              </w:rPr>
            </w:pPr>
            <w:r>
              <w:rPr>
                <w:rFonts w:ascii="Gill Sans" w:eastAsia="Gill Sans" w:hAnsi="Gill Sans" w:cs="Gill Sans"/>
                <w:b/>
                <w:sz w:val="22"/>
                <w:szCs w:val="22"/>
              </w:rPr>
              <w:t>May 1 - 10</w:t>
            </w:r>
          </w:p>
        </w:tc>
        <w:tc>
          <w:tcPr>
            <w:tcW w:w="2050" w:type="dxa"/>
            <w:shd w:val="clear" w:color="auto" w:fill="FFFFFF"/>
            <w:vAlign w:val="center"/>
          </w:tcPr>
          <w:p w:rsidR="00290F5A" w:rsidRDefault="005E1A7B">
            <w:pPr>
              <w:widowControl w:val="0"/>
              <w:jc w:val="both"/>
              <w:rPr>
                <w:rFonts w:ascii="Gill Sans" w:eastAsia="Gill Sans" w:hAnsi="Gill Sans" w:cs="Gill Sans"/>
                <w:b/>
                <w:sz w:val="22"/>
                <w:szCs w:val="22"/>
              </w:rPr>
            </w:pPr>
            <w:r>
              <w:rPr>
                <w:rFonts w:ascii="Gill Sans" w:eastAsia="Gill Sans" w:hAnsi="Gill Sans" w:cs="Gill Sans"/>
                <w:b/>
                <w:sz w:val="22"/>
                <w:szCs w:val="22"/>
              </w:rPr>
              <w:t xml:space="preserve">May 10 - 30 </w:t>
            </w:r>
          </w:p>
        </w:tc>
        <w:tc>
          <w:tcPr>
            <w:tcW w:w="2050" w:type="dxa"/>
            <w:shd w:val="clear" w:color="auto" w:fill="FFFFFF"/>
            <w:vAlign w:val="center"/>
          </w:tcPr>
          <w:p w:rsidR="00290F5A" w:rsidRDefault="005E1A7B">
            <w:pPr>
              <w:widowControl w:val="0"/>
              <w:jc w:val="both"/>
              <w:rPr>
                <w:rFonts w:ascii="Gill Sans" w:eastAsia="Gill Sans" w:hAnsi="Gill Sans" w:cs="Gill Sans"/>
                <w:b/>
                <w:sz w:val="22"/>
                <w:szCs w:val="22"/>
              </w:rPr>
            </w:pPr>
            <w:r>
              <w:rPr>
                <w:rFonts w:ascii="Gill Sans" w:eastAsia="Gill Sans" w:hAnsi="Gill Sans" w:cs="Gill Sans"/>
                <w:b/>
                <w:sz w:val="22"/>
                <w:szCs w:val="22"/>
              </w:rPr>
              <w:t>June 1 - 20</w:t>
            </w:r>
          </w:p>
        </w:tc>
      </w:tr>
      <w:tr w:rsidR="00290F5A">
        <w:trPr>
          <w:trHeight w:val="100"/>
        </w:trPr>
        <w:tc>
          <w:tcPr>
            <w:tcW w:w="3430" w:type="dxa"/>
            <w:shd w:val="clear" w:color="auto" w:fill="FFFFFF"/>
          </w:tcPr>
          <w:p w:rsidR="00290F5A" w:rsidRDefault="005E1A7B">
            <w:pPr>
              <w:widowControl w:val="0"/>
              <w:jc w:val="both"/>
              <w:rPr>
                <w:rFonts w:ascii="Gill Sans" w:eastAsia="Gill Sans" w:hAnsi="Gill Sans" w:cs="Gill Sans"/>
                <w:b/>
                <w:sz w:val="22"/>
                <w:szCs w:val="22"/>
              </w:rPr>
            </w:pPr>
            <w:r>
              <w:rPr>
                <w:rFonts w:ascii="Gill Sans" w:eastAsia="Gill Sans" w:hAnsi="Gill Sans" w:cs="Gill Sans"/>
                <w:sz w:val="22"/>
                <w:szCs w:val="22"/>
              </w:rPr>
              <w:t xml:space="preserve">Phase-1: Inception Phase </w:t>
            </w:r>
          </w:p>
        </w:tc>
        <w:tc>
          <w:tcPr>
            <w:tcW w:w="2049" w:type="dxa"/>
            <w:shd w:val="clear" w:color="auto" w:fill="00B050"/>
            <w:vAlign w:val="center"/>
          </w:tcPr>
          <w:p w:rsidR="00290F5A" w:rsidRDefault="00290F5A">
            <w:pPr>
              <w:widowControl w:val="0"/>
              <w:jc w:val="both"/>
              <w:rPr>
                <w:rFonts w:ascii="Gill Sans" w:eastAsia="Gill Sans" w:hAnsi="Gill Sans" w:cs="Gill Sans"/>
                <w:sz w:val="22"/>
                <w:szCs w:val="22"/>
              </w:rPr>
            </w:pPr>
          </w:p>
        </w:tc>
        <w:tc>
          <w:tcPr>
            <w:tcW w:w="2050" w:type="dxa"/>
            <w:shd w:val="clear" w:color="auto" w:fill="FFFFFF"/>
            <w:vAlign w:val="center"/>
          </w:tcPr>
          <w:p w:rsidR="00290F5A" w:rsidRDefault="00290F5A">
            <w:pPr>
              <w:widowControl w:val="0"/>
              <w:jc w:val="both"/>
              <w:rPr>
                <w:rFonts w:ascii="Gill Sans" w:eastAsia="Gill Sans" w:hAnsi="Gill Sans" w:cs="Gill Sans"/>
                <w:sz w:val="22"/>
                <w:szCs w:val="22"/>
              </w:rPr>
            </w:pPr>
          </w:p>
        </w:tc>
        <w:tc>
          <w:tcPr>
            <w:tcW w:w="2050" w:type="dxa"/>
            <w:shd w:val="clear" w:color="auto" w:fill="FFFFFF"/>
            <w:vAlign w:val="center"/>
          </w:tcPr>
          <w:p w:rsidR="00290F5A" w:rsidRDefault="00290F5A">
            <w:pPr>
              <w:widowControl w:val="0"/>
              <w:jc w:val="both"/>
              <w:rPr>
                <w:rFonts w:ascii="Gill Sans" w:eastAsia="Gill Sans" w:hAnsi="Gill Sans" w:cs="Gill Sans"/>
                <w:sz w:val="22"/>
                <w:szCs w:val="22"/>
              </w:rPr>
            </w:pPr>
          </w:p>
        </w:tc>
      </w:tr>
      <w:tr w:rsidR="00290F5A">
        <w:trPr>
          <w:trHeight w:val="20"/>
        </w:trPr>
        <w:tc>
          <w:tcPr>
            <w:tcW w:w="3430" w:type="dxa"/>
            <w:shd w:val="clear" w:color="auto" w:fill="FFFFFF"/>
          </w:tcPr>
          <w:p w:rsidR="00290F5A" w:rsidRDefault="005E1A7B">
            <w:pPr>
              <w:widowControl w:val="0"/>
              <w:jc w:val="both"/>
              <w:rPr>
                <w:rFonts w:ascii="Gill Sans" w:eastAsia="Gill Sans" w:hAnsi="Gill Sans" w:cs="Gill Sans"/>
                <w:b/>
                <w:sz w:val="22"/>
                <w:szCs w:val="22"/>
              </w:rPr>
            </w:pPr>
            <w:r>
              <w:rPr>
                <w:rFonts w:ascii="Gill Sans" w:eastAsia="Gill Sans" w:hAnsi="Gill Sans" w:cs="Gill Sans"/>
                <w:sz w:val="22"/>
                <w:szCs w:val="22"/>
              </w:rPr>
              <w:t>Phase-2: Deep-Dive/ Field research</w:t>
            </w:r>
          </w:p>
        </w:tc>
        <w:tc>
          <w:tcPr>
            <w:tcW w:w="2049" w:type="dxa"/>
            <w:shd w:val="clear" w:color="auto" w:fill="auto"/>
            <w:vAlign w:val="center"/>
          </w:tcPr>
          <w:p w:rsidR="00290F5A" w:rsidRDefault="00290F5A">
            <w:pPr>
              <w:widowControl w:val="0"/>
              <w:jc w:val="both"/>
              <w:rPr>
                <w:rFonts w:ascii="Gill Sans" w:eastAsia="Gill Sans" w:hAnsi="Gill Sans" w:cs="Gill Sans"/>
                <w:sz w:val="22"/>
                <w:szCs w:val="22"/>
              </w:rPr>
            </w:pPr>
            <w:bookmarkStart w:id="12" w:name="_26in1rg" w:colFirst="0" w:colLast="0"/>
            <w:bookmarkEnd w:id="12"/>
          </w:p>
        </w:tc>
        <w:tc>
          <w:tcPr>
            <w:tcW w:w="2050" w:type="dxa"/>
            <w:shd w:val="clear" w:color="auto" w:fill="00B050"/>
            <w:vAlign w:val="center"/>
          </w:tcPr>
          <w:p w:rsidR="00290F5A" w:rsidRDefault="00290F5A">
            <w:pPr>
              <w:widowControl w:val="0"/>
              <w:jc w:val="both"/>
              <w:rPr>
                <w:rFonts w:ascii="Gill Sans" w:eastAsia="Gill Sans" w:hAnsi="Gill Sans" w:cs="Gill Sans"/>
                <w:sz w:val="22"/>
                <w:szCs w:val="22"/>
              </w:rPr>
            </w:pPr>
          </w:p>
        </w:tc>
        <w:tc>
          <w:tcPr>
            <w:tcW w:w="2050" w:type="dxa"/>
            <w:shd w:val="clear" w:color="auto" w:fill="FFFFFF"/>
            <w:vAlign w:val="center"/>
          </w:tcPr>
          <w:p w:rsidR="00290F5A" w:rsidRDefault="00290F5A">
            <w:pPr>
              <w:widowControl w:val="0"/>
              <w:jc w:val="both"/>
              <w:rPr>
                <w:rFonts w:ascii="Gill Sans" w:eastAsia="Gill Sans" w:hAnsi="Gill Sans" w:cs="Gill Sans"/>
                <w:sz w:val="22"/>
                <w:szCs w:val="22"/>
              </w:rPr>
            </w:pPr>
          </w:p>
        </w:tc>
      </w:tr>
      <w:tr w:rsidR="00290F5A">
        <w:trPr>
          <w:trHeight w:val="20"/>
        </w:trPr>
        <w:tc>
          <w:tcPr>
            <w:tcW w:w="3430" w:type="dxa"/>
            <w:shd w:val="clear" w:color="auto" w:fill="FFFFFF"/>
          </w:tcPr>
          <w:p w:rsidR="00290F5A" w:rsidRDefault="005E1A7B">
            <w:pPr>
              <w:widowControl w:val="0"/>
              <w:jc w:val="both"/>
              <w:rPr>
                <w:rFonts w:ascii="Gill Sans" w:eastAsia="Gill Sans" w:hAnsi="Gill Sans" w:cs="Gill Sans"/>
                <w:b/>
                <w:sz w:val="22"/>
                <w:szCs w:val="22"/>
              </w:rPr>
            </w:pPr>
            <w:r>
              <w:rPr>
                <w:rFonts w:ascii="Gill Sans" w:eastAsia="Gill Sans" w:hAnsi="Gill Sans" w:cs="Gill Sans"/>
                <w:sz w:val="22"/>
                <w:szCs w:val="22"/>
              </w:rPr>
              <w:t>Phase-3: Reporting</w:t>
            </w:r>
          </w:p>
        </w:tc>
        <w:tc>
          <w:tcPr>
            <w:tcW w:w="2049" w:type="dxa"/>
            <w:shd w:val="clear" w:color="auto" w:fill="FFFFFF"/>
            <w:vAlign w:val="center"/>
          </w:tcPr>
          <w:p w:rsidR="00290F5A" w:rsidRDefault="00290F5A">
            <w:pPr>
              <w:widowControl w:val="0"/>
              <w:jc w:val="both"/>
              <w:rPr>
                <w:rFonts w:ascii="Gill Sans" w:eastAsia="Gill Sans" w:hAnsi="Gill Sans" w:cs="Gill Sans"/>
                <w:sz w:val="22"/>
                <w:szCs w:val="22"/>
              </w:rPr>
            </w:pPr>
          </w:p>
        </w:tc>
        <w:tc>
          <w:tcPr>
            <w:tcW w:w="2050" w:type="dxa"/>
            <w:shd w:val="clear" w:color="auto" w:fill="auto"/>
            <w:vAlign w:val="center"/>
          </w:tcPr>
          <w:p w:rsidR="00290F5A" w:rsidRDefault="00290F5A">
            <w:pPr>
              <w:widowControl w:val="0"/>
              <w:jc w:val="both"/>
              <w:rPr>
                <w:rFonts w:ascii="Gill Sans" w:eastAsia="Gill Sans" w:hAnsi="Gill Sans" w:cs="Gill Sans"/>
                <w:sz w:val="22"/>
                <w:szCs w:val="22"/>
              </w:rPr>
            </w:pPr>
          </w:p>
        </w:tc>
        <w:tc>
          <w:tcPr>
            <w:tcW w:w="2050" w:type="dxa"/>
            <w:shd w:val="clear" w:color="auto" w:fill="00B050"/>
            <w:vAlign w:val="center"/>
          </w:tcPr>
          <w:p w:rsidR="00290F5A" w:rsidRDefault="00290F5A">
            <w:pPr>
              <w:widowControl w:val="0"/>
              <w:jc w:val="both"/>
              <w:rPr>
                <w:rFonts w:ascii="Gill Sans" w:eastAsia="Gill Sans" w:hAnsi="Gill Sans" w:cs="Gill Sans"/>
                <w:sz w:val="22"/>
                <w:szCs w:val="22"/>
              </w:rPr>
            </w:pPr>
          </w:p>
        </w:tc>
      </w:tr>
    </w:tbl>
    <w:p w:rsidR="00290F5A" w:rsidRDefault="00290F5A">
      <w:pPr>
        <w:widowControl w:val="0"/>
        <w:spacing w:line="240" w:lineRule="auto"/>
        <w:jc w:val="both"/>
        <w:rPr>
          <w:rFonts w:ascii="Gill Sans" w:eastAsia="Gill Sans" w:hAnsi="Gill Sans" w:cs="Gill Sans"/>
          <w:b/>
        </w:rPr>
      </w:pPr>
    </w:p>
    <w:p w:rsidR="00290F5A" w:rsidRDefault="00290F5A">
      <w:pPr>
        <w:widowControl w:val="0"/>
        <w:spacing w:line="240" w:lineRule="auto"/>
        <w:jc w:val="both"/>
        <w:rPr>
          <w:rFonts w:ascii="Gill Sans" w:eastAsia="Gill Sans" w:hAnsi="Gill Sans" w:cs="Gill Sans"/>
          <w:b/>
        </w:rPr>
      </w:pPr>
      <w:bookmarkStart w:id="13" w:name="_lnxbz9" w:colFirst="0" w:colLast="0"/>
      <w:bookmarkEnd w:id="13"/>
    </w:p>
    <w:p w:rsidR="00290F5A" w:rsidRDefault="005E1A7B">
      <w:pPr>
        <w:pStyle w:val="Heading2"/>
        <w:widowControl w:val="0"/>
        <w:numPr>
          <w:ilvl w:val="0"/>
          <w:numId w:val="2"/>
        </w:numPr>
        <w:spacing w:line="240" w:lineRule="auto"/>
        <w:jc w:val="both"/>
      </w:pPr>
      <w:bookmarkStart w:id="14" w:name="_35nkun2" w:colFirst="0" w:colLast="0"/>
      <w:bookmarkEnd w:id="14"/>
      <w:r>
        <w:rPr>
          <w:rFonts w:ascii="Gill Sans" w:eastAsia="Gill Sans" w:hAnsi="Gill Sans" w:cs="Gill Sans"/>
          <w:color w:val="000000"/>
          <w:sz w:val="22"/>
          <w:szCs w:val="22"/>
        </w:rPr>
        <w:t>Bid Submission</w:t>
      </w:r>
    </w:p>
    <w:p w:rsidR="00290F5A" w:rsidRDefault="00290F5A">
      <w:pPr>
        <w:widowControl w:val="0"/>
        <w:spacing w:line="240" w:lineRule="auto"/>
        <w:jc w:val="both"/>
        <w:rPr>
          <w:rFonts w:ascii="Gill Sans" w:eastAsia="Gill Sans" w:hAnsi="Gill Sans" w:cs="Gill Sans"/>
        </w:rPr>
      </w:pPr>
    </w:p>
    <w:p w:rsidR="00290F5A" w:rsidRDefault="005E1A7B">
      <w:pPr>
        <w:widowControl w:val="0"/>
        <w:spacing w:line="240" w:lineRule="auto"/>
        <w:jc w:val="both"/>
        <w:rPr>
          <w:rFonts w:ascii="Gill Sans" w:eastAsia="Gill Sans" w:hAnsi="Gill Sans" w:cs="Gill Sans"/>
        </w:rPr>
      </w:pPr>
      <w:r>
        <w:rPr>
          <w:rFonts w:ascii="Gill Sans" w:eastAsia="Gill Sans" w:hAnsi="Gill Sans" w:cs="Gill Sans"/>
        </w:rPr>
        <w:t>All expressions of interest should include:</w:t>
      </w:r>
    </w:p>
    <w:p w:rsidR="00290F5A" w:rsidRDefault="005E1A7B">
      <w:pPr>
        <w:numPr>
          <w:ilvl w:val="0"/>
          <w:numId w:val="14"/>
        </w:numPr>
        <w:spacing w:line="240" w:lineRule="auto"/>
        <w:jc w:val="both"/>
      </w:pPr>
      <w:r>
        <w:rPr>
          <w:rFonts w:ascii="Gill Sans" w:eastAsia="Gill Sans" w:hAnsi="Gill Sans" w:cs="Gill Sans"/>
        </w:rPr>
        <w:t>Cover letter (maximum one page);</w:t>
      </w:r>
    </w:p>
    <w:p w:rsidR="00290F5A" w:rsidRDefault="005E1A7B">
      <w:pPr>
        <w:numPr>
          <w:ilvl w:val="0"/>
          <w:numId w:val="14"/>
        </w:numPr>
        <w:spacing w:line="240" w:lineRule="auto"/>
        <w:jc w:val="both"/>
      </w:pPr>
      <w:r>
        <w:rPr>
          <w:rFonts w:ascii="Gill Sans" w:eastAsia="Gill Sans" w:hAnsi="Gill Sans" w:cs="Gill Sans"/>
        </w:rPr>
        <w:t>Technical Proposal (maximum 3-4 pages) which should include:</w:t>
      </w:r>
    </w:p>
    <w:p w:rsidR="00290F5A" w:rsidRDefault="005E1A7B">
      <w:pPr>
        <w:numPr>
          <w:ilvl w:val="0"/>
          <w:numId w:val="12"/>
        </w:numPr>
        <w:pBdr>
          <w:top w:val="nil"/>
          <w:left w:val="nil"/>
          <w:bottom w:val="nil"/>
          <w:right w:val="nil"/>
          <w:between w:val="nil"/>
        </w:pBdr>
        <w:spacing w:line="240" w:lineRule="auto"/>
        <w:jc w:val="both"/>
      </w:pPr>
      <w:r>
        <w:rPr>
          <w:rFonts w:ascii="Gill Sans" w:eastAsia="Gill Sans" w:hAnsi="Gill Sans" w:cs="Gill Sans"/>
        </w:rPr>
        <w:t>Understanding of the assignment</w:t>
      </w:r>
    </w:p>
    <w:p w:rsidR="00290F5A" w:rsidRDefault="005E1A7B">
      <w:pPr>
        <w:numPr>
          <w:ilvl w:val="0"/>
          <w:numId w:val="12"/>
        </w:numPr>
        <w:pBdr>
          <w:top w:val="nil"/>
          <w:left w:val="nil"/>
          <w:bottom w:val="nil"/>
          <w:right w:val="nil"/>
          <w:between w:val="nil"/>
        </w:pBdr>
        <w:spacing w:line="240" w:lineRule="auto"/>
        <w:jc w:val="both"/>
      </w:pPr>
      <w:r>
        <w:rPr>
          <w:rFonts w:ascii="Gill Sans" w:eastAsia="Gill Sans" w:hAnsi="Gill Sans" w:cs="Gill Sans"/>
        </w:rPr>
        <w:t>Relevant experience of the consultant/ firm</w:t>
      </w:r>
    </w:p>
    <w:p w:rsidR="00290F5A" w:rsidRDefault="005E1A7B">
      <w:pPr>
        <w:numPr>
          <w:ilvl w:val="0"/>
          <w:numId w:val="12"/>
        </w:numPr>
        <w:pBdr>
          <w:top w:val="nil"/>
          <w:left w:val="nil"/>
          <w:bottom w:val="nil"/>
          <w:right w:val="nil"/>
          <w:between w:val="nil"/>
        </w:pBdr>
        <w:spacing w:line="240" w:lineRule="auto"/>
        <w:jc w:val="both"/>
      </w:pPr>
      <w:r>
        <w:rPr>
          <w:rFonts w:ascii="Gill Sans" w:eastAsia="Gill Sans" w:hAnsi="Gill Sans" w:cs="Gill Sans"/>
        </w:rPr>
        <w:t>Profiles/resumes of the personnel to be involved in the assignment must be included in the annex</w:t>
      </w:r>
    </w:p>
    <w:p w:rsidR="00290F5A" w:rsidRDefault="005E1A7B">
      <w:pPr>
        <w:numPr>
          <w:ilvl w:val="0"/>
          <w:numId w:val="11"/>
        </w:numPr>
        <w:pBdr>
          <w:top w:val="nil"/>
          <w:left w:val="nil"/>
          <w:bottom w:val="nil"/>
          <w:right w:val="nil"/>
          <w:between w:val="nil"/>
        </w:pBdr>
        <w:spacing w:line="240" w:lineRule="auto"/>
        <w:ind w:left="720"/>
        <w:jc w:val="both"/>
      </w:pPr>
      <w:r>
        <w:rPr>
          <w:rFonts w:ascii="Gill Sans" w:eastAsia="Gill Sans" w:hAnsi="Gill Sans" w:cs="Gill Sans"/>
        </w:rPr>
        <w:t>Financial Proposal (maximum one-page): breakdown of cost estimates (which must be within the stipulated budget mentioned in the ToR) for services rendered. This should include, but not be limited to: daily consultancy fees, enumerator fees, accommodation and living costs; transport cost, stationeries, and supplies needed for the consultancy.</w:t>
      </w:r>
    </w:p>
    <w:p w:rsidR="00290F5A" w:rsidRDefault="005E1A7B">
      <w:pPr>
        <w:numPr>
          <w:ilvl w:val="0"/>
          <w:numId w:val="14"/>
        </w:numPr>
        <w:spacing w:line="240" w:lineRule="auto"/>
        <w:jc w:val="both"/>
      </w:pPr>
      <w:r>
        <w:rPr>
          <w:rFonts w:ascii="Gill Sans" w:eastAsia="Gill Sans" w:hAnsi="Gill Sans" w:cs="Gill Sans"/>
        </w:rPr>
        <w:t>If applicable, please also include:</w:t>
      </w:r>
    </w:p>
    <w:p w:rsidR="00290F5A" w:rsidRDefault="005E1A7B">
      <w:pPr>
        <w:numPr>
          <w:ilvl w:val="1"/>
          <w:numId w:val="14"/>
        </w:numPr>
        <w:spacing w:line="240" w:lineRule="auto"/>
        <w:jc w:val="both"/>
      </w:pPr>
      <w:r>
        <w:rPr>
          <w:rFonts w:ascii="Gill Sans" w:eastAsia="Gill Sans" w:hAnsi="Gill Sans" w:cs="Gill Sans"/>
        </w:rPr>
        <w:t>Company profile</w:t>
      </w:r>
    </w:p>
    <w:p w:rsidR="00290F5A" w:rsidRDefault="005E1A7B">
      <w:pPr>
        <w:numPr>
          <w:ilvl w:val="1"/>
          <w:numId w:val="14"/>
        </w:numPr>
        <w:spacing w:line="240" w:lineRule="auto"/>
        <w:jc w:val="both"/>
      </w:pPr>
      <w:r>
        <w:rPr>
          <w:rFonts w:ascii="Gill Sans" w:eastAsia="Gill Sans" w:hAnsi="Gill Sans" w:cs="Gill Sans"/>
        </w:rPr>
        <w:t>VAT Registration Certificate</w:t>
      </w:r>
    </w:p>
    <w:p w:rsidR="00290F5A" w:rsidRDefault="005E1A7B">
      <w:pPr>
        <w:numPr>
          <w:ilvl w:val="1"/>
          <w:numId w:val="14"/>
        </w:numPr>
        <w:spacing w:line="240" w:lineRule="auto"/>
        <w:jc w:val="both"/>
      </w:pPr>
      <w:r>
        <w:rPr>
          <w:rFonts w:ascii="Gill Sans" w:eastAsia="Gill Sans" w:hAnsi="Gill Sans" w:cs="Gill Sans"/>
        </w:rPr>
        <w:t>TIN Certificate</w:t>
      </w:r>
    </w:p>
    <w:p w:rsidR="00290F5A" w:rsidRDefault="005E1A7B">
      <w:pPr>
        <w:numPr>
          <w:ilvl w:val="1"/>
          <w:numId w:val="14"/>
        </w:numPr>
        <w:spacing w:line="240" w:lineRule="auto"/>
        <w:jc w:val="both"/>
      </w:pPr>
      <w:r>
        <w:rPr>
          <w:rFonts w:ascii="Gill Sans" w:eastAsia="Gill Sans" w:hAnsi="Gill Sans" w:cs="Gill Sans"/>
        </w:rPr>
        <w:t>Joint Stock Company Registration Certificate</w:t>
      </w:r>
    </w:p>
    <w:p w:rsidR="00290F5A" w:rsidRDefault="005E1A7B">
      <w:pPr>
        <w:numPr>
          <w:ilvl w:val="1"/>
          <w:numId w:val="14"/>
        </w:numPr>
        <w:spacing w:line="240" w:lineRule="auto"/>
        <w:jc w:val="both"/>
      </w:pPr>
      <w:r>
        <w:rPr>
          <w:rFonts w:ascii="Gill Sans" w:eastAsia="Gill Sans" w:hAnsi="Gill Sans" w:cs="Gill Sans"/>
        </w:rPr>
        <w:t>Trade License Certificate</w:t>
      </w:r>
    </w:p>
    <w:p w:rsidR="00290F5A" w:rsidRDefault="00290F5A">
      <w:pPr>
        <w:widowControl w:val="0"/>
        <w:spacing w:line="240" w:lineRule="auto"/>
        <w:jc w:val="both"/>
        <w:rPr>
          <w:rFonts w:ascii="Gill Sans" w:eastAsia="Gill Sans" w:hAnsi="Gill Sans" w:cs="Gill Sans"/>
        </w:rPr>
      </w:pPr>
    </w:p>
    <w:p w:rsidR="00290F5A" w:rsidRDefault="005E1A7B">
      <w:pPr>
        <w:widowControl w:val="0"/>
        <w:spacing w:line="240" w:lineRule="auto"/>
        <w:jc w:val="both"/>
        <w:rPr>
          <w:rFonts w:ascii="Gill Sans" w:eastAsia="Gill Sans" w:hAnsi="Gill Sans" w:cs="Gill Sans"/>
        </w:rPr>
      </w:pPr>
      <w:r w:rsidRPr="00175744">
        <w:rPr>
          <w:rFonts w:ascii="Gill Sans" w:eastAsia="Gill Sans" w:hAnsi="Gill Sans" w:cs="Gill Sans"/>
        </w:rPr>
        <w:t xml:space="preserve">Interested and qualified consultants/ consultancy firms should submit their proposals to </w:t>
      </w:r>
      <w:r w:rsidRPr="00553FFA">
        <w:rPr>
          <w:rFonts w:ascii="Gill Sans" w:eastAsia="Gill Sans" w:hAnsi="Gill Sans" w:cs="Gill Sans"/>
          <w:b/>
        </w:rPr>
        <w:t>bangladesh-jobs@ideglobal.org</w:t>
      </w:r>
      <w:r w:rsidRPr="00175744">
        <w:rPr>
          <w:rFonts w:ascii="Gill Sans" w:eastAsia="Gill Sans" w:hAnsi="Gill Sans" w:cs="Gill Sans"/>
        </w:rPr>
        <w:t xml:space="preserve"> by </w:t>
      </w:r>
      <w:r w:rsidR="00553FFA" w:rsidRPr="0080705E">
        <w:rPr>
          <w:rFonts w:ascii="Roboto" w:eastAsia="Libre Baskerville" w:hAnsi="Roboto" w:cs="Libre Baskerville"/>
          <w:b/>
          <w:color w:val="434343"/>
        </w:rPr>
        <w:t xml:space="preserve">4:30PM,  </w:t>
      </w:r>
      <w:r w:rsidR="00A91A72">
        <w:rPr>
          <w:rFonts w:ascii="Roboto" w:eastAsia="Libre Baskerville" w:hAnsi="Roboto" w:cs="Libre Baskerville"/>
          <w:b/>
          <w:color w:val="434343"/>
        </w:rPr>
        <w:t>30</w:t>
      </w:r>
      <w:bookmarkStart w:id="15" w:name="_GoBack"/>
      <w:bookmarkEnd w:id="15"/>
      <w:r w:rsidR="00553FFA" w:rsidRPr="0080705E">
        <w:rPr>
          <w:rFonts w:ascii="Roboto" w:eastAsia="Libre Baskerville" w:hAnsi="Roboto" w:cs="Libre Baskerville"/>
          <w:b/>
          <w:color w:val="434343"/>
        </w:rPr>
        <w:t xml:space="preserve"> April 2019</w:t>
      </w:r>
      <w:r w:rsidRPr="00175744">
        <w:rPr>
          <w:rFonts w:ascii="Gill Sans" w:eastAsia="Gill Sans" w:hAnsi="Gill Sans" w:cs="Gill Sans"/>
        </w:rPr>
        <w:t>Dhaka time. Please write “Suchana RMA on TVET Consultant” in the subject line.</w:t>
      </w:r>
      <w:r>
        <w:rPr>
          <w:rFonts w:ascii="Gill Sans" w:eastAsia="Gill Sans" w:hAnsi="Gill Sans" w:cs="Gill Sans"/>
        </w:rPr>
        <w:t xml:space="preserve"> Only shortlisted firms will be contacted and invited by an interview either in-person or via video-conference. </w:t>
      </w:r>
    </w:p>
    <w:p w:rsidR="00290F5A" w:rsidRDefault="00290F5A">
      <w:pPr>
        <w:widowControl w:val="0"/>
        <w:spacing w:line="240" w:lineRule="auto"/>
        <w:jc w:val="both"/>
        <w:rPr>
          <w:rFonts w:ascii="Gill Sans" w:eastAsia="Gill Sans" w:hAnsi="Gill Sans" w:cs="Gill Sans"/>
        </w:rPr>
      </w:pPr>
    </w:p>
    <w:p w:rsidR="00290F5A" w:rsidRDefault="005E1A7B">
      <w:pPr>
        <w:widowControl w:val="0"/>
        <w:spacing w:line="240" w:lineRule="auto"/>
        <w:jc w:val="both"/>
        <w:rPr>
          <w:rFonts w:ascii="Gill Sans" w:eastAsia="Gill Sans" w:hAnsi="Gill Sans" w:cs="Gill Sans"/>
        </w:rPr>
      </w:pPr>
      <w:r>
        <w:rPr>
          <w:rFonts w:ascii="Gill Sans" w:eastAsia="Gill Sans" w:hAnsi="Gill Sans" w:cs="Gill Sans"/>
        </w:rPr>
        <w:t>iDE is an equal opportunity employer and does not discriminate on grounds of race, gender, religion, or sexual orientation.</w:t>
      </w:r>
    </w:p>
    <w:p w:rsidR="00290F5A" w:rsidRDefault="00290F5A">
      <w:pPr>
        <w:widowControl w:val="0"/>
        <w:spacing w:line="240" w:lineRule="auto"/>
        <w:jc w:val="both"/>
        <w:rPr>
          <w:rFonts w:ascii="Gill Sans" w:eastAsia="Gill Sans" w:hAnsi="Gill Sans" w:cs="Gill Sans"/>
        </w:rPr>
      </w:pPr>
    </w:p>
    <w:p w:rsidR="00290F5A" w:rsidRDefault="005E1A7B">
      <w:pPr>
        <w:widowControl w:val="0"/>
        <w:spacing w:line="240" w:lineRule="auto"/>
        <w:jc w:val="both"/>
        <w:rPr>
          <w:rFonts w:ascii="Gill Sans" w:eastAsia="Gill Sans" w:hAnsi="Gill Sans" w:cs="Gill Sans"/>
        </w:rPr>
      </w:pPr>
      <w:r>
        <w:rPr>
          <w:rFonts w:ascii="Gill Sans" w:eastAsia="Gill Sans" w:hAnsi="Gill Sans" w:cs="Gill Sans"/>
        </w:rPr>
        <w:t xml:space="preserve"> </w:t>
      </w:r>
    </w:p>
    <w:p w:rsidR="00290F5A" w:rsidRDefault="00290F5A">
      <w:pPr>
        <w:pBdr>
          <w:top w:val="nil"/>
          <w:left w:val="nil"/>
          <w:bottom w:val="nil"/>
          <w:right w:val="nil"/>
          <w:between w:val="nil"/>
        </w:pBdr>
        <w:spacing w:line="240" w:lineRule="auto"/>
        <w:jc w:val="both"/>
        <w:rPr>
          <w:rFonts w:ascii="Gill Sans" w:eastAsia="Gill Sans" w:hAnsi="Gill Sans" w:cs="Gill Sans"/>
          <w:b/>
        </w:rPr>
      </w:pPr>
    </w:p>
    <w:p w:rsidR="00290F5A" w:rsidRDefault="00290F5A">
      <w:pPr>
        <w:pBdr>
          <w:top w:val="nil"/>
          <w:left w:val="nil"/>
          <w:bottom w:val="nil"/>
          <w:right w:val="nil"/>
          <w:between w:val="nil"/>
        </w:pBdr>
        <w:spacing w:line="240" w:lineRule="auto"/>
        <w:jc w:val="both"/>
        <w:rPr>
          <w:rFonts w:ascii="Gill Sans" w:eastAsia="Gill Sans" w:hAnsi="Gill Sans" w:cs="Gill Sans"/>
          <w:b/>
        </w:rPr>
      </w:pPr>
    </w:p>
    <w:sectPr w:rsidR="00290F5A">
      <w:headerReference w:type="default" r:id="rId7"/>
      <w:footerReference w:type="default" r:id="rId8"/>
      <w:headerReference w:type="first" r:id="rId9"/>
      <w:pgSz w:w="11906" w:h="16838"/>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89B" w:rsidRDefault="00D3089B">
      <w:pPr>
        <w:spacing w:line="240" w:lineRule="auto"/>
      </w:pPr>
      <w:r>
        <w:separator/>
      </w:r>
    </w:p>
  </w:endnote>
  <w:endnote w:type="continuationSeparator" w:id="0">
    <w:p w:rsidR="00D3089B" w:rsidRDefault="00D308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variable"/>
    <w:sig w:usb0="E00002FF" w:usb1="5000205B" w:usb2="00000020" w:usb3="00000000" w:csb0="0000019F" w:csb1="00000000"/>
  </w:font>
  <w:font w:name="Libre Baskerville">
    <w:altName w:val="Calibri"/>
    <w:panose1 w:val="00000000000000000000"/>
    <w:charset w:val="00"/>
    <w:family w:val="modern"/>
    <w:notTrueType/>
    <w:pitch w:val="variable"/>
    <w:sig w:usb0="A00000BF" w:usb1="5000005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Roboto Slab">
    <w:altName w:val="Arial"/>
    <w:charset w:val="00"/>
    <w:family w:val="auto"/>
    <w:pitch w:val="default"/>
  </w:font>
  <w:font w:name="Segoe UI">
    <w:panose1 w:val="020B0502040204020203"/>
    <w:charset w:val="00"/>
    <w:family w:val="swiss"/>
    <w:pitch w:val="variable"/>
    <w:sig w:usb0="E10022FF" w:usb1="C000E47F" w:usb2="00000029" w:usb3="00000000" w:csb0="000001DF" w:csb1="00000000"/>
  </w:font>
  <w:font w:name="Gill Sans">
    <w:altName w:val="Calibri"/>
    <w:charset w:val="00"/>
    <w:family w:val="auto"/>
    <w:pitch w:val="default"/>
  </w:font>
  <w:font w:name="Cabin">
    <w:altName w:val="Calibri"/>
    <w:charset w:val="00"/>
    <w:family w:val="auto"/>
    <w:pitch w:val="default"/>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auto"/>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F5A" w:rsidRDefault="00290F5A">
    <w:pPr>
      <w:pBdr>
        <w:top w:val="nil"/>
        <w:left w:val="nil"/>
        <w:bottom w:val="nil"/>
        <w:right w:val="nil"/>
        <w:between w:val="nil"/>
      </w:pBdr>
      <w:jc w:val="center"/>
      <w:rPr>
        <w:rFonts w:ascii="Roboto" w:eastAsia="Roboto" w:hAnsi="Roboto" w:cs="Roboto"/>
        <w:color w:val="434343"/>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89B" w:rsidRDefault="00D3089B">
      <w:pPr>
        <w:spacing w:line="240" w:lineRule="auto"/>
      </w:pPr>
      <w:r>
        <w:separator/>
      </w:r>
    </w:p>
  </w:footnote>
  <w:footnote w:type="continuationSeparator" w:id="0">
    <w:p w:rsidR="00D3089B" w:rsidRDefault="00D308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F5A" w:rsidRDefault="00290F5A">
    <w:pPr>
      <w:pBdr>
        <w:top w:val="nil"/>
        <w:left w:val="nil"/>
        <w:bottom w:val="nil"/>
        <w:right w:val="nil"/>
        <w:between w:val="nil"/>
      </w:pBdr>
    </w:pPr>
  </w:p>
  <w:p w:rsidR="00290F5A" w:rsidRDefault="005E1A7B">
    <w:pPr>
      <w:tabs>
        <w:tab w:val="right" w:pos="9000"/>
      </w:tabs>
      <w:rPr>
        <w:rFonts w:ascii="Roboto" w:eastAsia="Roboto" w:hAnsi="Roboto" w:cs="Roboto"/>
        <w:color w:val="434343"/>
        <w:sz w:val="16"/>
        <w:szCs w:val="16"/>
      </w:rPr>
    </w:pPr>
    <w:r>
      <w:rPr>
        <w:noProof/>
        <w:lang w:val="en-US" w:bidi="bn-IN"/>
      </w:rPr>
      <w:drawing>
        <wp:inline distT="114300" distB="114300" distL="114300" distR="114300">
          <wp:extent cx="404813" cy="320477"/>
          <wp:effectExtent l="0" t="0" r="0" b="0"/>
          <wp:docPr id="1" name="image1.jpg" descr="ide_logo_web.jpg"/>
          <wp:cNvGraphicFramePr/>
          <a:graphic xmlns:a="http://schemas.openxmlformats.org/drawingml/2006/main">
            <a:graphicData uri="http://schemas.openxmlformats.org/drawingml/2006/picture">
              <pic:pic xmlns:pic="http://schemas.openxmlformats.org/drawingml/2006/picture">
                <pic:nvPicPr>
                  <pic:cNvPr id="0" name="image1.jpg" descr="ide_logo_web.jpg"/>
                  <pic:cNvPicPr preferRelativeResize="0"/>
                </pic:nvPicPr>
                <pic:blipFill>
                  <a:blip r:embed="rId1"/>
                  <a:srcRect l="16506" r="16346" b="23006"/>
                  <a:stretch>
                    <a:fillRect/>
                  </a:stretch>
                </pic:blipFill>
                <pic:spPr>
                  <a:xfrm>
                    <a:off x="0" y="0"/>
                    <a:ext cx="404813" cy="320477"/>
                  </a:xfrm>
                  <a:prstGeom prst="rect">
                    <a:avLst/>
                  </a:prstGeom>
                  <a:ln/>
                </pic:spPr>
              </pic:pic>
            </a:graphicData>
          </a:graphic>
        </wp:inline>
      </w:drawing>
    </w:r>
    <w:r>
      <w:tab/>
    </w:r>
    <w:r>
      <w:rPr>
        <w:rFonts w:ascii="Cabin" w:eastAsia="Cabin" w:hAnsi="Cabin" w:cs="Cabin"/>
        <w:color w:val="434343"/>
        <w:sz w:val="16"/>
        <w:szCs w:val="16"/>
      </w:rPr>
      <w:t xml:space="preserve">TOR – Suchana RMA on TVET | Page </w:t>
    </w:r>
    <w:r>
      <w:rPr>
        <w:rFonts w:ascii="Cabin" w:eastAsia="Cabin" w:hAnsi="Cabin" w:cs="Cabin"/>
        <w:sz w:val="16"/>
        <w:szCs w:val="16"/>
      </w:rPr>
      <w:fldChar w:fldCharType="begin"/>
    </w:r>
    <w:r>
      <w:rPr>
        <w:rFonts w:ascii="Cabin" w:eastAsia="Cabin" w:hAnsi="Cabin" w:cs="Cabin"/>
        <w:sz w:val="16"/>
        <w:szCs w:val="16"/>
      </w:rPr>
      <w:instrText>PAGE</w:instrText>
    </w:r>
    <w:r>
      <w:rPr>
        <w:rFonts w:ascii="Cabin" w:eastAsia="Cabin" w:hAnsi="Cabin" w:cs="Cabin"/>
        <w:sz w:val="16"/>
        <w:szCs w:val="16"/>
      </w:rPr>
      <w:fldChar w:fldCharType="separate"/>
    </w:r>
    <w:r w:rsidR="00A91A72">
      <w:rPr>
        <w:rFonts w:ascii="Cabin" w:eastAsia="Cabin" w:hAnsi="Cabin" w:cs="Cabin"/>
        <w:noProof/>
        <w:sz w:val="16"/>
        <w:szCs w:val="16"/>
      </w:rPr>
      <w:t>4</w:t>
    </w:r>
    <w:r>
      <w:rPr>
        <w:rFonts w:ascii="Cabin" w:eastAsia="Cabin" w:hAnsi="Cabin" w:cs="Cabin"/>
        <w:sz w:val="16"/>
        <w:szCs w:val="16"/>
      </w:rPr>
      <w:fldChar w:fldCharType="end"/>
    </w:r>
  </w:p>
  <w:p w:rsidR="00290F5A" w:rsidRDefault="00D3089B">
    <w:r>
      <w:pict>
        <v:rect id="_x0000_i1026"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F5A" w:rsidRDefault="00290F5A">
    <w:pPr>
      <w:widowControl w:val="0"/>
      <w:spacing w:line="240" w:lineRule="auto"/>
      <w:rPr>
        <w:rFonts w:ascii="Libre Baskerville" w:eastAsia="Libre Baskerville" w:hAnsi="Libre Baskerville" w:cs="Libre Baskerville"/>
        <w:color w:val="434343"/>
        <w:sz w:val="18"/>
        <w:szCs w:val="18"/>
      </w:rPr>
    </w:pPr>
  </w:p>
  <w:p w:rsidR="00290F5A" w:rsidRDefault="00290F5A">
    <w:pPr>
      <w:widowControl w:val="0"/>
      <w:spacing w:line="240" w:lineRule="auto"/>
      <w:rPr>
        <w:rFonts w:ascii="Libre Baskerville" w:eastAsia="Libre Baskerville" w:hAnsi="Libre Baskerville" w:cs="Libre Baskerville"/>
        <w:color w:val="434343"/>
        <w:sz w:val="18"/>
        <w:szCs w:val="18"/>
      </w:rPr>
    </w:pPr>
  </w:p>
  <w:p w:rsidR="00290F5A" w:rsidRDefault="00290F5A">
    <w:pPr>
      <w:widowControl w:val="0"/>
      <w:spacing w:line="240" w:lineRule="auto"/>
      <w:rPr>
        <w:rFonts w:ascii="Libre Baskerville" w:eastAsia="Libre Baskerville" w:hAnsi="Libre Baskerville" w:cs="Libre Baskerville"/>
        <w:color w:val="434343"/>
        <w:sz w:val="18"/>
        <w:szCs w:val="18"/>
      </w:rPr>
    </w:pPr>
  </w:p>
  <w:p w:rsidR="00290F5A" w:rsidRDefault="00290F5A">
    <w:pPr>
      <w:widowControl w:val="0"/>
      <w:spacing w:line="240" w:lineRule="auto"/>
      <w:rPr>
        <w:rFonts w:ascii="Libre Baskerville" w:eastAsia="Libre Baskerville" w:hAnsi="Libre Baskerville" w:cs="Libre Baskerville"/>
        <w:color w:val="434343"/>
        <w:sz w:val="18"/>
        <w:szCs w:val="18"/>
      </w:rPr>
    </w:pPr>
  </w:p>
  <w:p w:rsidR="00290F5A" w:rsidRDefault="00290F5A">
    <w:pPr>
      <w:widowControl w:val="0"/>
      <w:spacing w:line="240" w:lineRule="auto"/>
      <w:rPr>
        <w:rFonts w:ascii="Libre Baskerville" w:eastAsia="Libre Baskerville" w:hAnsi="Libre Baskerville" w:cs="Libre Baskerville"/>
        <w:color w:val="434343"/>
        <w:sz w:val="18"/>
        <w:szCs w:val="18"/>
      </w:rPr>
    </w:pPr>
  </w:p>
  <w:p w:rsidR="00290F5A" w:rsidRDefault="005E1A7B">
    <w:pPr>
      <w:widowControl w:val="0"/>
      <w:spacing w:line="240" w:lineRule="auto"/>
      <w:rPr>
        <w:rFonts w:ascii="Libre Baskerville" w:eastAsia="Libre Baskerville" w:hAnsi="Libre Baskerville" w:cs="Libre Baskerville"/>
        <w:color w:val="434343"/>
        <w:sz w:val="18"/>
        <w:szCs w:val="18"/>
      </w:rPr>
    </w:pPr>
    <w:r>
      <w:rPr>
        <w:rFonts w:ascii="Libre Baskerville" w:eastAsia="Libre Baskerville" w:hAnsi="Libre Baskerville" w:cs="Libre Baskerville"/>
        <w:noProof/>
        <w:color w:val="434343"/>
        <w:sz w:val="18"/>
        <w:szCs w:val="18"/>
        <w:lang w:val="en-US" w:bidi="bn-IN"/>
      </w:rPr>
      <w:drawing>
        <wp:inline distT="114300" distB="114300" distL="114300" distR="114300">
          <wp:extent cx="614363" cy="349517"/>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14363" cy="349517"/>
                  </a:xfrm>
                  <a:prstGeom prst="rect">
                    <a:avLst/>
                  </a:prstGeom>
                  <a:ln/>
                </pic:spPr>
              </pic:pic>
            </a:graphicData>
          </a:graphic>
        </wp:inline>
      </w:drawing>
    </w:r>
  </w:p>
  <w:p w:rsidR="00290F5A" w:rsidRDefault="00290F5A">
    <w:pPr>
      <w:widowControl w:val="0"/>
      <w:spacing w:line="240" w:lineRule="auto"/>
      <w:rPr>
        <w:rFonts w:ascii="Libre Baskerville" w:eastAsia="Libre Baskerville" w:hAnsi="Libre Baskerville" w:cs="Libre Baskerville"/>
        <w:color w:val="434343"/>
        <w:sz w:val="18"/>
        <w:szCs w:val="18"/>
      </w:rPr>
    </w:pPr>
  </w:p>
  <w:p w:rsidR="00290F5A" w:rsidRDefault="00290F5A">
    <w:pPr>
      <w:widowControl w:val="0"/>
      <w:spacing w:line="240" w:lineRule="auto"/>
      <w:rPr>
        <w:rFonts w:ascii="Libre Baskerville" w:eastAsia="Libre Baskerville" w:hAnsi="Libre Baskerville" w:cs="Libre Baskerville"/>
        <w:color w:val="434343"/>
        <w:sz w:val="18"/>
        <w:szCs w:val="18"/>
      </w:rPr>
    </w:pPr>
  </w:p>
  <w:p w:rsidR="00290F5A" w:rsidRDefault="00290F5A">
    <w:pPr>
      <w:widowControl w:val="0"/>
      <w:spacing w:line="240" w:lineRule="auto"/>
      <w:rPr>
        <w:rFonts w:ascii="Libre Baskerville" w:eastAsia="Libre Baskerville" w:hAnsi="Libre Baskerville" w:cs="Libre Baskerville"/>
        <w:color w:val="434343"/>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773D6"/>
    <w:multiLevelType w:val="multilevel"/>
    <w:tmpl w:val="624EBC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A5C215E"/>
    <w:multiLevelType w:val="multilevel"/>
    <w:tmpl w:val="707E35D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0B0D3635"/>
    <w:multiLevelType w:val="multilevel"/>
    <w:tmpl w:val="AD1450C0"/>
    <w:lvl w:ilvl="0">
      <w:start w:val="1"/>
      <w:numFmt w:val="bullet"/>
      <w:lvlText w:val="✔"/>
      <w:lvlJc w:val="left"/>
      <w:pPr>
        <w:ind w:left="946" w:hanging="360"/>
      </w:pPr>
      <w:rPr>
        <w:rFonts w:ascii="Noto Sans Symbols" w:eastAsia="Noto Sans Symbols" w:hAnsi="Noto Sans Symbols" w:cs="Noto Sans Symbols"/>
      </w:rPr>
    </w:lvl>
    <w:lvl w:ilvl="1">
      <w:start w:val="1"/>
      <w:numFmt w:val="bullet"/>
      <w:lvlText w:val="o"/>
      <w:lvlJc w:val="left"/>
      <w:pPr>
        <w:ind w:left="1666" w:hanging="360"/>
      </w:pPr>
      <w:rPr>
        <w:rFonts w:ascii="Courier New" w:eastAsia="Courier New" w:hAnsi="Courier New" w:cs="Courier New"/>
      </w:rPr>
    </w:lvl>
    <w:lvl w:ilvl="2">
      <w:start w:val="1"/>
      <w:numFmt w:val="bullet"/>
      <w:lvlText w:val="▪"/>
      <w:lvlJc w:val="left"/>
      <w:pPr>
        <w:ind w:left="2386" w:hanging="360"/>
      </w:pPr>
      <w:rPr>
        <w:rFonts w:ascii="Noto Sans Symbols" w:eastAsia="Noto Sans Symbols" w:hAnsi="Noto Sans Symbols" w:cs="Noto Sans Symbols"/>
      </w:rPr>
    </w:lvl>
    <w:lvl w:ilvl="3">
      <w:start w:val="1"/>
      <w:numFmt w:val="bullet"/>
      <w:lvlText w:val="●"/>
      <w:lvlJc w:val="left"/>
      <w:pPr>
        <w:ind w:left="3106" w:hanging="360"/>
      </w:pPr>
      <w:rPr>
        <w:rFonts w:ascii="Noto Sans Symbols" w:eastAsia="Noto Sans Symbols" w:hAnsi="Noto Sans Symbols" w:cs="Noto Sans Symbols"/>
      </w:rPr>
    </w:lvl>
    <w:lvl w:ilvl="4">
      <w:start w:val="1"/>
      <w:numFmt w:val="bullet"/>
      <w:lvlText w:val="o"/>
      <w:lvlJc w:val="left"/>
      <w:pPr>
        <w:ind w:left="3826" w:hanging="360"/>
      </w:pPr>
      <w:rPr>
        <w:rFonts w:ascii="Courier New" w:eastAsia="Courier New" w:hAnsi="Courier New" w:cs="Courier New"/>
      </w:rPr>
    </w:lvl>
    <w:lvl w:ilvl="5">
      <w:start w:val="1"/>
      <w:numFmt w:val="bullet"/>
      <w:lvlText w:val="▪"/>
      <w:lvlJc w:val="left"/>
      <w:pPr>
        <w:ind w:left="4546" w:hanging="360"/>
      </w:pPr>
      <w:rPr>
        <w:rFonts w:ascii="Noto Sans Symbols" w:eastAsia="Noto Sans Symbols" w:hAnsi="Noto Sans Symbols" w:cs="Noto Sans Symbols"/>
      </w:rPr>
    </w:lvl>
    <w:lvl w:ilvl="6">
      <w:start w:val="1"/>
      <w:numFmt w:val="bullet"/>
      <w:lvlText w:val="●"/>
      <w:lvlJc w:val="left"/>
      <w:pPr>
        <w:ind w:left="5266" w:hanging="360"/>
      </w:pPr>
      <w:rPr>
        <w:rFonts w:ascii="Noto Sans Symbols" w:eastAsia="Noto Sans Symbols" w:hAnsi="Noto Sans Symbols" w:cs="Noto Sans Symbols"/>
      </w:rPr>
    </w:lvl>
    <w:lvl w:ilvl="7">
      <w:start w:val="1"/>
      <w:numFmt w:val="bullet"/>
      <w:lvlText w:val="o"/>
      <w:lvlJc w:val="left"/>
      <w:pPr>
        <w:ind w:left="5986" w:hanging="360"/>
      </w:pPr>
      <w:rPr>
        <w:rFonts w:ascii="Courier New" w:eastAsia="Courier New" w:hAnsi="Courier New" w:cs="Courier New"/>
      </w:rPr>
    </w:lvl>
    <w:lvl w:ilvl="8">
      <w:start w:val="1"/>
      <w:numFmt w:val="bullet"/>
      <w:lvlText w:val="▪"/>
      <w:lvlJc w:val="left"/>
      <w:pPr>
        <w:ind w:left="6706" w:hanging="360"/>
      </w:pPr>
      <w:rPr>
        <w:rFonts w:ascii="Noto Sans Symbols" w:eastAsia="Noto Sans Symbols" w:hAnsi="Noto Sans Symbols" w:cs="Noto Sans Symbols"/>
      </w:rPr>
    </w:lvl>
  </w:abstractNum>
  <w:abstractNum w:abstractNumId="3">
    <w:nsid w:val="0CF12A11"/>
    <w:multiLevelType w:val="multilevel"/>
    <w:tmpl w:val="F1B2E7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A4F5327"/>
    <w:multiLevelType w:val="multilevel"/>
    <w:tmpl w:val="836C44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2E081C2C"/>
    <w:multiLevelType w:val="multilevel"/>
    <w:tmpl w:val="EBF01CF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nsid w:val="30E030F3"/>
    <w:multiLevelType w:val="multilevel"/>
    <w:tmpl w:val="374848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41952C9"/>
    <w:multiLevelType w:val="multilevel"/>
    <w:tmpl w:val="658C1F48"/>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8">
    <w:nsid w:val="3E0C10CC"/>
    <w:multiLevelType w:val="multilevel"/>
    <w:tmpl w:val="3A3A5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75960F5"/>
    <w:multiLevelType w:val="multilevel"/>
    <w:tmpl w:val="C480EB16"/>
    <w:lvl w:ilvl="0">
      <w:start w:val="1"/>
      <w:numFmt w:val="decimal"/>
      <w:lvlText w:val="%1"/>
      <w:lvlJc w:val="left"/>
      <w:pPr>
        <w:ind w:left="360" w:hanging="360"/>
      </w:pPr>
      <w:rPr>
        <w:rFonts w:ascii="Roboto" w:eastAsia="Roboto" w:hAnsi="Roboto" w:cs="Roboto"/>
        <w:b/>
        <w:color w:val="434343"/>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F390D32"/>
    <w:multiLevelType w:val="multilevel"/>
    <w:tmpl w:val="B4C8FA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FB0533F"/>
    <w:multiLevelType w:val="multilevel"/>
    <w:tmpl w:val="D80034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5B1A47C5"/>
    <w:multiLevelType w:val="multilevel"/>
    <w:tmpl w:val="49ACAF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4893683"/>
    <w:multiLevelType w:val="multilevel"/>
    <w:tmpl w:val="126E5BCE"/>
    <w:lvl w:ilvl="0">
      <w:start w:val="1"/>
      <w:numFmt w:val="bullet"/>
      <w:lvlText w:val="●"/>
      <w:lvlJc w:val="left"/>
      <w:pPr>
        <w:ind w:left="720" w:hanging="360"/>
      </w:pPr>
      <w:rPr>
        <w:rFonts w:ascii="Arial" w:eastAsia="Arial" w:hAnsi="Arial" w:cs="Arial"/>
        <w:sz w:val="18"/>
        <w:szCs w:val="18"/>
      </w:rPr>
    </w:lvl>
    <w:lvl w:ilvl="1">
      <w:start w:val="1"/>
      <w:numFmt w:val="bullet"/>
      <w:lvlText w:val="○"/>
      <w:lvlJc w:val="left"/>
      <w:pPr>
        <w:ind w:left="1350" w:hanging="360"/>
      </w:pPr>
      <w:rPr>
        <w:rFonts w:ascii="Arial" w:eastAsia="Arial" w:hAnsi="Arial" w:cs="Arial"/>
      </w:rPr>
    </w:lvl>
    <w:lvl w:ilvl="2">
      <w:start w:val="1"/>
      <w:numFmt w:val="bullet"/>
      <w:lvlText w:val="■"/>
      <w:lvlJc w:val="left"/>
      <w:pPr>
        <w:ind w:left="2070" w:hanging="360"/>
      </w:pPr>
      <w:rPr>
        <w:rFonts w:ascii="Arial" w:eastAsia="Arial" w:hAnsi="Arial" w:cs="Arial"/>
      </w:rPr>
    </w:lvl>
    <w:lvl w:ilvl="3">
      <w:start w:val="1"/>
      <w:numFmt w:val="bullet"/>
      <w:lvlText w:val="●"/>
      <w:lvlJc w:val="left"/>
      <w:pPr>
        <w:ind w:left="2790" w:hanging="360"/>
      </w:pPr>
      <w:rPr>
        <w:rFonts w:ascii="Arial" w:eastAsia="Arial" w:hAnsi="Arial" w:cs="Arial"/>
      </w:rPr>
    </w:lvl>
    <w:lvl w:ilvl="4">
      <w:start w:val="1"/>
      <w:numFmt w:val="bullet"/>
      <w:lvlText w:val="○"/>
      <w:lvlJc w:val="left"/>
      <w:pPr>
        <w:ind w:left="3510" w:hanging="360"/>
      </w:pPr>
      <w:rPr>
        <w:rFonts w:ascii="Arial" w:eastAsia="Arial" w:hAnsi="Arial" w:cs="Arial"/>
      </w:rPr>
    </w:lvl>
    <w:lvl w:ilvl="5">
      <w:start w:val="1"/>
      <w:numFmt w:val="bullet"/>
      <w:lvlText w:val="■"/>
      <w:lvlJc w:val="left"/>
      <w:pPr>
        <w:ind w:left="4230" w:hanging="360"/>
      </w:pPr>
      <w:rPr>
        <w:rFonts w:ascii="Arial" w:eastAsia="Arial" w:hAnsi="Arial" w:cs="Arial"/>
      </w:rPr>
    </w:lvl>
    <w:lvl w:ilvl="6">
      <w:start w:val="1"/>
      <w:numFmt w:val="bullet"/>
      <w:lvlText w:val="●"/>
      <w:lvlJc w:val="left"/>
      <w:pPr>
        <w:ind w:left="4950" w:hanging="360"/>
      </w:pPr>
      <w:rPr>
        <w:rFonts w:ascii="Arial" w:eastAsia="Arial" w:hAnsi="Arial" w:cs="Arial"/>
      </w:rPr>
    </w:lvl>
    <w:lvl w:ilvl="7">
      <w:start w:val="1"/>
      <w:numFmt w:val="bullet"/>
      <w:lvlText w:val="○"/>
      <w:lvlJc w:val="left"/>
      <w:pPr>
        <w:ind w:left="5670" w:hanging="360"/>
      </w:pPr>
      <w:rPr>
        <w:rFonts w:ascii="Arial" w:eastAsia="Arial" w:hAnsi="Arial" w:cs="Arial"/>
      </w:rPr>
    </w:lvl>
    <w:lvl w:ilvl="8">
      <w:start w:val="1"/>
      <w:numFmt w:val="bullet"/>
      <w:lvlText w:val="■"/>
      <w:lvlJc w:val="left"/>
      <w:pPr>
        <w:ind w:left="6390" w:hanging="360"/>
      </w:pPr>
      <w:rPr>
        <w:rFonts w:ascii="Arial" w:eastAsia="Arial" w:hAnsi="Arial" w:cs="Arial"/>
      </w:rPr>
    </w:lvl>
  </w:abstractNum>
  <w:abstractNum w:abstractNumId="14">
    <w:nsid w:val="6F7B1971"/>
    <w:multiLevelType w:val="multilevel"/>
    <w:tmpl w:val="54A0E7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7C5B1578"/>
    <w:multiLevelType w:val="multilevel"/>
    <w:tmpl w:val="C74E998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7"/>
  </w:num>
  <w:num w:numId="2">
    <w:abstractNumId w:val="9"/>
  </w:num>
  <w:num w:numId="3">
    <w:abstractNumId w:val="6"/>
  </w:num>
  <w:num w:numId="4">
    <w:abstractNumId w:val="0"/>
  </w:num>
  <w:num w:numId="5">
    <w:abstractNumId w:val="14"/>
  </w:num>
  <w:num w:numId="6">
    <w:abstractNumId w:val="3"/>
  </w:num>
  <w:num w:numId="7">
    <w:abstractNumId w:val="1"/>
  </w:num>
  <w:num w:numId="8">
    <w:abstractNumId w:val="12"/>
  </w:num>
  <w:num w:numId="9">
    <w:abstractNumId w:val="8"/>
  </w:num>
  <w:num w:numId="10">
    <w:abstractNumId w:val="13"/>
  </w:num>
  <w:num w:numId="11">
    <w:abstractNumId w:val="5"/>
  </w:num>
  <w:num w:numId="12">
    <w:abstractNumId w:val="15"/>
  </w:num>
  <w:num w:numId="13">
    <w:abstractNumId w:val="2"/>
  </w:num>
  <w:num w:numId="14">
    <w:abstractNumId w:val="4"/>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F5A"/>
    <w:rsid w:val="00175744"/>
    <w:rsid w:val="00290F5A"/>
    <w:rsid w:val="00553FFA"/>
    <w:rsid w:val="005E1A7B"/>
    <w:rsid w:val="009E71A5"/>
    <w:rsid w:val="00A91A72"/>
    <w:rsid w:val="00AB7978"/>
    <w:rsid w:val="00D3089B"/>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5D2D5E-B644-4F9C-A3C6-27A70DAB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line="360" w:lineRule="auto"/>
      <w:outlineLvl w:val="0"/>
    </w:pPr>
    <w:rPr>
      <w:rFonts w:ascii="Libre Baskerville" w:eastAsia="Libre Baskerville" w:hAnsi="Libre Baskerville" w:cs="Libre Baskerville"/>
      <w:color w:val="434343"/>
      <w:sz w:val="18"/>
      <w:szCs w:val="18"/>
    </w:rPr>
  </w:style>
  <w:style w:type="paragraph" w:styleId="Heading2">
    <w:name w:val="heading 2"/>
    <w:basedOn w:val="Normal"/>
    <w:next w:val="Normal"/>
    <w:uiPriority w:val="9"/>
    <w:unhideWhenUsed/>
    <w:qFormat/>
    <w:pPr>
      <w:keepNext/>
      <w:keepLines/>
      <w:spacing w:line="480" w:lineRule="auto"/>
      <w:outlineLvl w:val="1"/>
    </w:pPr>
    <w:rPr>
      <w:rFonts w:ascii="Roboto" w:eastAsia="Roboto" w:hAnsi="Roboto" w:cs="Roboto"/>
      <w:b/>
      <w:color w:val="434343"/>
      <w:sz w:val="28"/>
      <w:szCs w:val="28"/>
    </w:rPr>
  </w:style>
  <w:style w:type="paragraph" w:styleId="Heading3">
    <w:name w:val="heading 3"/>
    <w:basedOn w:val="Normal"/>
    <w:next w:val="Normal"/>
    <w:uiPriority w:val="9"/>
    <w:semiHidden/>
    <w:unhideWhenUsed/>
    <w:qFormat/>
    <w:pPr>
      <w:keepNext/>
      <w:keepLines/>
      <w:spacing w:line="360" w:lineRule="auto"/>
      <w:ind w:left="810"/>
      <w:outlineLvl w:val="2"/>
    </w:pPr>
    <w:rPr>
      <w:rFonts w:ascii="Libre Baskerville" w:eastAsia="Libre Baskerville" w:hAnsi="Libre Baskerville" w:cs="Libre Baskerville"/>
      <w:i/>
      <w:color w:val="434343"/>
      <w:sz w:val="18"/>
      <w:szCs w:val="1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Roboto Slab" w:eastAsia="Roboto Slab" w:hAnsi="Roboto Slab" w:cs="Roboto Slab"/>
      <w:b/>
      <w:color w:val="434343"/>
      <w:sz w:val="60"/>
      <w:szCs w:val="60"/>
    </w:rPr>
  </w:style>
  <w:style w:type="paragraph" w:styleId="Subtitle">
    <w:name w:val="Subtitle"/>
    <w:basedOn w:val="Normal"/>
    <w:next w:val="Normal"/>
    <w:uiPriority w:val="11"/>
    <w:qFormat/>
    <w:pPr>
      <w:keepNext/>
      <w:keepLines/>
    </w:pPr>
    <w:rPr>
      <w:rFonts w:ascii="Roboto Slab" w:eastAsia="Roboto Slab" w:hAnsi="Roboto Slab" w:cs="Roboto Slab"/>
      <w:b/>
      <w:color w:val="434343"/>
      <w:sz w:val="24"/>
      <w:szCs w:val="24"/>
    </w:rPr>
  </w:style>
  <w:style w:type="table" w:customStyle="1" w:styleId="a">
    <w:basedOn w:val="TableNormal"/>
    <w:pPr>
      <w:spacing w:line="240" w:lineRule="auto"/>
    </w:pPr>
    <w:rPr>
      <w:sz w:val="24"/>
      <w:szCs w:val="24"/>
    </w:rPr>
    <w:tblPr>
      <w:tblStyleRowBandSize w:val="1"/>
      <w:tblStyleColBandSize w:val="1"/>
      <w:tblInd w:w="0" w:type="dxa"/>
      <w:tblCellMar>
        <w:top w:w="100" w:type="dxa"/>
        <w:left w:w="100" w:type="dxa"/>
        <w:bottom w:w="100" w:type="dxa"/>
        <w:right w:w="100" w:type="dxa"/>
      </w:tblCellMar>
    </w:tblPr>
  </w:style>
  <w:style w:type="table" w:customStyle="1" w:styleId="a0">
    <w:basedOn w:val="TableNormal"/>
    <w:pPr>
      <w:spacing w:line="240" w:lineRule="auto"/>
    </w:pPr>
    <w:rPr>
      <w:sz w:val="24"/>
      <w:szCs w:val="24"/>
    </w:rPr>
    <w:tblPr>
      <w:tblStyleRowBandSize w:val="1"/>
      <w:tblStyleColBandSize w:val="1"/>
      <w:tblInd w:w="0" w:type="dxa"/>
      <w:tblCellMar>
        <w:top w:w="100" w:type="dxa"/>
        <w:left w:w="100" w:type="dxa"/>
        <w:bottom w:w="100" w:type="dxa"/>
        <w:right w:w="100" w:type="dxa"/>
      </w:tblCellMar>
    </w:tblPr>
  </w:style>
  <w:style w:type="table" w:customStyle="1" w:styleId="a1">
    <w:basedOn w:val="TableNormal"/>
    <w:pPr>
      <w:spacing w:line="240" w:lineRule="auto"/>
    </w:pPr>
    <w:rPr>
      <w:sz w:val="24"/>
      <w:szCs w:val="24"/>
    </w:rPr>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B79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9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1859</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CSISAMI3-1</dc:creator>
  <cp:lastModifiedBy>Robin</cp:lastModifiedBy>
  <cp:revision>5</cp:revision>
  <dcterms:created xsi:type="dcterms:W3CDTF">2019-04-16T08:15:00Z</dcterms:created>
  <dcterms:modified xsi:type="dcterms:W3CDTF">2019-04-23T06:01:00Z</dcterms:modified>
</cp:coreProperties>
</file>