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9E04" w14:textId="24F9F0E1" w:rsidR="00871B18" w:rsidRPr="00403988" w:rsidRDefault="00826335">
      <w:pPr>
        <w:jc w:val="center"/>
        <w:rPr>
          <w:b/>
          <w:sz w:val="24"/>
          <w:szCs w:val="24"/>
        </w:rPr>
      </w:pPr>
      <w:r w:rsidRPr="00403988">
        <w:rPr>
          <w:b/>
          <w:sz w:val="24"/>
          <w:szCs w:val="24"/>
        </w:rPr>
        <w:t>[</w:t>
      </w:r>
      <w:r w:rsidR="00DC69E3">
        <w:rPr>
          <w:b/>
          <w:sz w:val="24"/>
          <w:szCs w:val="24"/>
        </w:rPr>
        <w:t>Draft</w:t>
      </w:r>
      <w:r w:rsidR="00AF0642" w:rsidRPr="00403988">
        <w:rPr>
          <w:b/>
          <w:sz w:val="24"/>
          <w:szCs w:val="24"/>
        </w:rPr>
        <w:t xml:space="preserve"> Version</w:t>
      </w:r>
      <w:r w:rsidRPr="00403988">
        <w:rPr>
          <w:b/>
          <w:sz w:val="24"/>
          <w:szCs w:val="24"/>
        </w:rPr>
        <w:t>]</w:t>
      </w:r>
    </w:p>
    <w:p w14:paraId="57AD9E05" w14:textId="77777777" w:rsidR="00871B18" w:rsidRPr="00403988" w:rsidRDefault="00871B18">
      <w:pPr>
        <w:jc w:val="both"/>
      </w:pPr>
    </w:p>
    <w:p w14:paraId="57AD9E06" w14:textId="77777777" w:rsidR="00871B18" w:rsidRPr="00403988" w:rsidRDefault="00826335">
      <w:pPr>
        <w:jc w:val="both"/>
        <w:rPr>
          <w:b/>
        </w:rPr>
      </w:pPr>
      <w:r w:rsidRPr="00403988">
        <w:rPr>
          <w:b/>
        </w:rPr>
        <w:t xml:space="preserve">Background: </w:t>
      </w:r>
    </w:p>
    <w:p w14:paraId="57AD9E07" w14:textId="77777777" w:rsidR="00871B18" w:rsidRPr="00403988" w:rsidRDefault="00826335">
      <w:pPr>
        <w:jc w:val="both"/>
      </w:pPr>
      <w:r w:rsidRPr="00403988">
        <w:t>The USAID Feed the Future (</w:t>
      </w:r>
      <w:proofErr w:type="spellStart"/>
      <w:r w:rsidRPr="00403988">
        <w:t>FtF</w:t>
      </w:r>
      <w:proofErr w:type="spellEnd"/>
      <w:r w:rsidRPr="00403988">
        <w:t xml:space="preserve">) Bangladesh Cereal Systems Initiatives for South Asia Mechanization Extension Activity (CSISA-MEA) began in October 2019 and is implemented by CIMMYT in partnership with iDE and the Georgia Institute of Technology. The activity works in the </w:t>
      </w:r>
      <w:proofErr w:type="spellStart"/>
      <w:r w:rsidRPr="00403988">
        <w:t>FtF</w:t>
      </w:r>
      <w:proofErr w:type="spellEnd"/>
      <w:r w:rsidRPr="00403988">
        <w:t xml:space="preserve"> zone of influence in southern Bangladesh and in the Rohingya crisis-impacted zones of the Cox’s Bazar district. CSISA-MEA is a five-year development project which aims to support the mechanization of agriculture in Bangladesh by developing the capacity of the private sector to develop, manufacture, and market innovative new technology which will enable the country’s farmers to mechanize their agricultural production.</w:t>
      </w:r>
    </w:p>
    <w:p w14:paraId="57AD9E08" w14:textId="77777777" w:rsidR="00871B18" w:rsidRPr="00403988" w:rsidRDefault="00826335">
      <w:pPr>
        <w:jc w:val="both"/>
        <w:rPr>
          <w:b/>
        </w:rPr>
      </w:pPr>
      <w:r w:rsidRPr="00403988">
        <w:rPr>
          <w:b/>
        </w:rPr>
        <w:t xml:space="preserve">Objective of seeking this service:     </w:t>
      </w:r>
    </w:p>
    <w:p w14:paraId="57AD9E09" w14:textId="5B991462" w:rsidR="00871B18" w:rsidRPr="00403988" w:rsidRDefault="00826335">
      <w:pPr>
        <w:jc w:val="both"/>
      </w:pPr>
      <w:r w:rsidRPr="00403988">
        <w:t xml:space="preserve">To perform a feasibility assessment of potential workshops to develop </w:t>
      </w:r>
      <w:r w:rsidR="00DC69E3">
        <w:t xml:space="preserve">sustainable </w:t>
      </w:r>
      <w:r w:rsidRPr="00403988">
        <w:t>workshop</w:t>
      </w:r>
      <w:r w:rsidR="00DC69E3">
        <w:t>s</w:t>
      </w:r>
      <w:r w:rsidRPr="00403988">
        <w:t xml:space="preserve"> in the project area. The </w:t>
      </w:r>
      <w:r w:rsidR="00DC69E3">
        <w:t>selected wo</w:t>
      </w:r>
      <w:r w:rsidRPr="00403988">
        <w:t>rkshop will be developed</w:t>
      </w:r>
      <w:r w:rsidR="00C67874">
        <w:t xml:space="preserve"> as new or to renovate /upgrade the existing workshop </w:t>
      </w:r>
      <w:r w:rsidRPr="00403988">
        <w:t>by using sustainable materials to ensure it is environmentally appropriate, energy efficient, comfortable working environment, gender sensitive, and socially inclusive.</w:t>
      </w:r>
    </w:p>
    <w:p w14:paraId="57AD9E0A" w14:textId="77777777" w:rsidR="00871B18" w:rsidRPr="00403988" w:rsidRDefault="00826335">
      <w:pPr>
        <w:jc w:val="both"/>
        <w:rPr>
          <w:b/>
        </w:rPr>
      </w:pPr>
      <w:r w:rsidRPr="00403988">
        <w:rPr>
          <w:b/>
        </w:rPr>
        <w:t>Duration of this contract:</w:t>
      </w:r>
    </w:p>
    <w:p w14:paraId="57AD9E0B" w14:textId="3DEEEAAA" w:rsidR="00871B18" w:rsidRPr="00403988" w:rsidRDefault="00826335">
      <w:pPr>
        <w:jc w:val="both"/>
      </w:pPr>
      <w:r w:rsidRPr="00403988">
        <w:t xml:space="preserve">This service contract will be valid for </w:t>
      </w:r>
      <w:r w:rsidRPr="00403988">
        <w:rPr>
          <w:b/>
        </w:rPr>
        <w:t xml:space="preserve">a total of </w:t>
      </w:r>
      <w:r w:rsidR="00C67874">
        <w:rPr>
          <w:b/>
        </w:rPr>
        <w:t>two</w:t>
      </w:r>
      <w:r w:rsidRPr="00403988">
        <w:rPr>
          <w:b/>
        </w:rPr>
        <w:t xml:space="preserve"> months</w:t>
      </w:r>
      <w:r w:rsidRPr="00403988">
        <w:t xml:space="preserve"> from the date of signing with not less than </w:t>
      </w:r>
      <w:r w:rsidR="00C67874">
        <w:t>60</w:t>
      </w:r>
      <w:r w:rsidRPr="00403988">
        <w:t xml:space="preserve"> full days of work as mentioned below:</w:t>
      </w:r>
    </w:p>
    <w:p w14:paraId="57AD9E0C" w14:textId="2A3B5A7A" w:rsidR="00871B18" w:rsidRPr="00403988" w:rsidRDefault="00DC69E3">
      <w:pPr>
        <w:numPr>
          <w:ilvl w:val="0"/>
          <w:numId w:val="1"/>
        </w:numPr>
        <w:spacing w:after="0"/>
        <w:jc w:val="both"/>
      </w:pPr>
      <w:r w:rsidRPr="00DC69E3">
        <w:rPr>
          <w:bCs/>
        </w:rPr>
        <w:t>C</w:t>
      </w:r>
      <w:r w:rsidR="002A12BD" w:rsidRPr="00403988">
        <w:rPr>
          <w:bCs/>
        </w:rPr>
        <w:t xml:space="preserve">onduct </w:t>
      </w:r>
      <w:r w:rsidR="00826335" w:rsidRPr="00403988">
        <w:t xml:space="preserve">feasibility assessment (two months) of potential </w:t>
      </w:r>
      <w:r w:rsidR="002A12BD" w:rsidRPr="00403988">
        <w:t xml:space="preserve">location specific </w:t>
      </w:r>
      <w:r w:rsidR="00C67874" w:rsidRPr="00C67874">
        <w:rPr>
          <w:b/>
          <w:bCs/>
        </w:rPr>
        <w:t xml:space="preserve">total </w:t>
      </w:r>
      <w:r w:rsidRPr="00C67874">
        <w:rPr>
          <w:b/>
          <w:bCs/>
        </w:rPr>
        <w:t>07</w:t>
      </w:r>
      <w:r w:rsidR="002A12BD" w:rsidRPr="00C67874">
        <w:rPr>
          <w:b/>
          <w:bCs/>
        </w:rPr>
        <w:t xml:space="preserve"> (</w:t>
      </w:r>
      <w:r w:rsidRPr="00C67874">
        <w:rPr>
          <w:b/>
          <w:bCs/>
        </w:rPr>
        <w:t>seven</w:t>
      </w:r>
      <w:r w:rsidR="002A12BD" w:rsidRPr="00C67874">
        <w:rPr>
          <w:b/>
          <w:bCs/>
        </w:rPr>
        <w:t xml:space="preserve">) </w:t>
      </w:r>
      <w:r w:rsidR="00826335" w:rsidRPr="00C67874">
        <w:rPr>
          <w:b/>
          <w:bCs/>
        </w:rPr>
        <w:t>workshops</w:t>
      </w:r>
      <w:r w:rsidR="00826335" w:rsidRPr="00403988">
        <w:t xml:space="preserve"> </w:t>
      </w:r>
      <w:r w:rsidR="002A12BD" w:rsidRPr="00403988">
        <w:t>in project a</w:t>
      </w:r>
      <w:r w:rsidR="00EA6094" w:rsidRPr="00403988">
        <w:t>rea (Bogura</w:t>
      </w:r>
      <w:r w:rsidR="00F37AC3" w:rsidRPr="00403988">
        <w:t>-</w:t>
      </w:r>
      <w:r w:rsidR="00C67874">
        <w:t>2</w:t>
      </w:r>
      <w:r w:rsidR="00EA6094" w:rsidRPr="00403988">
        <w:t>, Jessor</w:t>
      </w:r>
      <w:r w:rsidR="00F37AC3" w:rsidRPr="00403988">
        <w:t>e-</w:t>
      </w:r>
      <w:r>
        <w:t>2</w:t>
      </w:r>
      <w:r w:rsidR="00EA6094" w:rsidRPr="00403988">
        <w:t>, Faridpur</w:t>
      </w:r>
      <w:r w:rsidR="00F37AC3" w:rsidRPr="00403988">
        <w:t>-</w:t>
      </w:r>
      <w:proofErr w:type="gramStart"/>
      <w:r w:rsidR="00C67874">
        <w:t>2</w:t>
      </w:r>
      <w:proofErr w:type="gramEnd"/>
      <w:r w:rsidR="00EA6094" w:rsidRPr="00403988">
        <w:t xml:space="preserve"> </w:t>
      </w:r>
      <w:r w:rsidR="00F37AC3" w:rsidRPr="00403988">
        <w:t xml:space="preserve">and Cox’s </w:t>
      </w:r>
      <w:r w:rsidR="006D6C42" w:rsidRPr="00403988">
        <w:t xml:space="preserve">bazar- </w:t>
      </w:r>
      <w:r w:rsidR="00C67874">
        <w:t>2</w:t>
      </w:r>
      <w:r w:rsidR="006D6C42" w:rsidRPr="00403988">
        <w:t>)</w:t>
      </w:r>
    </w:p>
    <w:p w14:paraId="4A0046AC" w14:textId="77777777" w:rsidR="00DC69E3" w:rsidRDefault="00DC69E3">
      <w:pPr>
        <w:jc w:val="both"/>
        <w:rPr>
          <w:b/>
        </w:rPr>
      </w:pPr>
    </w:p>
    <w:p w14:paraId="57AD9E0E" w14:textId="6751D90A" w:rsidR="00871B18" w:rsidRPr="00403988" w:rsidRDefault="00826335">
      <w:pPr>
        <w:jc w:val="both"/>
        <w:rPr>
          <w:b/>
        </w:rPr>
      </w:pPr>
      <w:r w:rsidRPr="00403988">
        <w:rPr>
          <w:b/>
        </w:rPr>
        <w:t>Scope of work:</w:t>
      </w:r>
    </w:p>
    <w:p w14:paraId="57AD9E0F" w14:textId="77777777" w:rsidR="00871B18" w:rsidRPr="00403988" w:rsidRDefault="00826335">
      <w:pPr>
        <w:jc w:val="both"/>
      </w:pPr>
      <w:r w:rsidRPr="00403988">
        <w:t xml:space="preserve">Within the scope of this contract, the service provider will: </w:t>
      </w:r>
    </w:p>
    <w:p w14:paraId="57AD9E11" w14:textId="7ADDC6A4" w:rsidR="00871B18" w:rsidRPr="00403988" w:rsidRDefault="00826335">
      <w:pPr>
        <w:numPr>
          <w:ilvl w:val="0"/>
          <w:numId w:val="2"/>
        </w:numPr>
        <w:pBdr>
          <w:top w:val="nil"/>
          <w:left w:val="nil"/>
          <w:bottom w:val="nil"/>
          <w:right w:val="nil"/>
          <w:between w:val="nil"/>
        </w:pBdr>
        <w:spacing w:after="0"/>
        <w:jc w:val="both"/>
      </w:pPr>
      <w:r w:rsidRPr="00403988">
        <w:t xml:space="preserve">Conduct a rapid feasibility assessment of potential workshops </w:t>
      </w:r>
      <w:r w:rsidR="00AA6FF3" w:rsidRPr="00403988">
        <w:t>(</w:t>
      </w:r>
      <w:r w:rsidR="00DC69E3">
        <w:t>7</w:t>
      </w:r>
      <w:r w:rsidRPr="00403988">
        <w:t xml:space="preserve"> nos) to become </w:t>
      </w:r>
      <w:r w:rsidR="00DC69E3">
        <w:t>sustainable</w:t>
      </w:r>
      <w:r w:rsidRPr="00403988">
        <w:t xml:space="preserve"> workshops with details in project area.</w:t>
      </w:r>
    </w:p>
    <w:p w14:paraId="57AD9E12" w14:textId="72BC4528" w:rsidR="00871B18" w:rsidRDefault="00826335">
      <w:pPr>
        <w:numPr>
          <w:ilvl w:val="0"/>
          <w:numId w:val="2"/>
        </w:numPr>
        <w:pBdr>
          <w:top w:val="nil"/>
          <w:left w:val="nil"/>
          <w:bottom w:val="nil"/>
          <w:right w:val="nil"/>
          <w:between w:val="nil"/>
        </w:pBdr>
        <w:spacing w:after="0"/>
        <w:jc w:val="both"/>
      </w:pPr>
      <w:r w:rsidRPr="00403988">
        <w:t xml:space="preserve">Field visit </w:t>
      </w:r>
      <w:r w:rsidR="00C67874">
        <w:t xml:space="preserve">to the selected </w:t>
      </w:r>
      <w:r w:rsidRPr="00403988">
        <w:t xml:space="preserve">workshops to assess their suitability to be selected as </w:t>
      </w:r>
      <w:r w:rsidR="00DC69E3">
        <w:t xml:space="preserve">sustainable </w:t>
      </w:r>
      <w:r w:rsidRPr="00403988">
        <w:t>workshops based upon the feasibility of providing technical assistance</w:t>
      </w:r>
      <w:r w:rsidR="004469D0" w:rsidRPr="00403988">
        <w:t xml:space="preserve"> specific</w:t>
      </w:r>
      <w:r w:rsidR="00AE54FF" w:rsidRPr="00403988">
        <w:t xml:space="preserve"> each workshop wise </w:t>
      </w:r>
      <w:r w:rsidRPr="00403988">
        <w:t xml:space="preserve">(not limited to design, drawings, materials estimation, costing, </w:t>
      </w:r>
      <w:r w:rsidR="004469D0" w:rsidRPr="00403988">
        <w:t>material source information</w:t>
      </w:r>
      <w:r w:rsidR="00DC69E3">
        <w:t>, OHS</w:t>
      </w:r>
      <w:r w:rsidRPr="00403988">
        <w:t xml:space="preserve"> etc.) to the workshops to either establish a new model workshop or to renovate</w:t>
      </w:r>
      <w:r w:rsidR="004469D0" w:rsidRPr="00403988">
        <w:t xml:space="preserve"> / upgrade</w:t>
      </w:r>
      <w:r w:rsidRPr="00403988">
        <w:t xml:space="preserve"> an existing workshop into a model workshop.</w:t>
      </w:r>
    </w:p>
    <w:p w14:paraId="642C9DA4" w14:textId="332EFEE0" w:rsidR="00C67874" w:rsidRDefault="00C67874">
      <w:pPr>
        <w:numPr>
          <w:ilvl w:val="0"/>
          <w:numId w:val="2"/>
        </w:numPr>
        <w:pBdr>
          <w:top w:val="nil"/>
          <w:left w:val="nil"/>
          <w:bottom w:val="nil"/>
          <w:right w:val="nil"/>
          <w:between w:val="nil"/>
        </w:pBdr>
        <w:spacing w:after="0"/>
        <w:jc w:val="both"/>
      </w:pPr>
      <w:r>
        <w:t>The visit team (2-3 persons) should consist of architect, civil and structural engineers.</w:t>
      </w:r>
    </w:p>
    <w:p w14:paraId="519D9B98" w14:textId="532D010D" w:rsidR="00C67874" w:rsidRPr="00403988" w:rsidRDefault="00C67874">
      <w:pPr>
        <w:numPr>
          <w:ilvl w:val="0"/>
          <w:numId w:val="2"/>
        </w:numPr>
        <w:pBdr>
          <w:top w:val="nil"/>
          <w:left w:val="nil"/>
          <w:bottom w:val="nil"/>
          <w:right w:val="nil"/>
          <w:between w:val="nil"/>
        </w:pBdr>
        <w:spacing w:after="0"/>
        <w:jc w:val="both"/>
      </w:pPr>
      <w:r>
        <w:t xml:space="preserve">In person discussions with selected workshops’ officials </w:t>
      </w:r>
      <w:r w:rsidR="00142B7F">
        <w:t xml:space="preserve">at field </w:t>
      </w:r>
      <w:r>
        <w:t>on different stages (02 times) of this study, like; during the assessment, during the draft designing completion to make the final design incorporating suggestions (each workshop wise).</w:t>
      </w:r>
    </w:p>
    <w:p w14:paraId="57AD9E13" w14:textId="66D7EC21" w:rsidR="00871B18" w:rsidRDefault="00826335">
      <w:pPr>
        <w:numPr>
          <w:ilvl w:val="0"/>
          <w:numId w:val="2"/>
        </w:numPr>
        <w:spacing w:after="0"/>
        <w:jc w:val="both"/>
      </w:pPr>
      <w:r w:rsidRPr="00403988">
        <w:lastRenderedPageBreak/>
        <w:t xml:space="preserve">Present findings and recommendations </w:t>
      </w:r>
      <w:r w:rsidR="00AE54FF" w:rsidRPr="00403988">
        <w:t xml:space="preserve">(as mentioned above </w:t>
      </w:r>
      <w:r w:rsidR="00652AA8" w:rsidRPr="00403988">
        <w:t xml:space="preserve">specific workshop wise) </w:t>
      </w:r>
      <w:r w:rsidRPr="00403988">
        <w:t>based on the selected workshops</w:t>
      </w:r>
      <w:r w:rsidR="00C67874">
        <w:t xml:space="preserve"> timely basis as per after 1</w:t>
      </w:r>
      <w:r w:rsidR="00C67874" w:rsidRPr="00C67874">
        <w:rPr>
          <w:vertAlign w:val="superscript"/>
        </w:rPr>
        <w:t>st</w:t>
      </w:r>
      <w:r w:rsidR="00C67874">
        <w:t xml:space="preserve"> field visit, after draft design and final design </w:t>
      </w:r>
      <w:r w:rsidRPr="00403988">
        <w:t>and plan for next stages related consultancy report to be submitted to CIMMYT.</w:t>
      </w:r>
    </w:p>
    <w:p w14:paraId="60C90691" w14:textId="77777777" w:rsidR="00C67874" w:rsidRPr="00403988" w:rsidRDefault="00C67874" w:rsidP="00C67874">
      <w:pPr>
        <w:numPr>
          <w:ilvl w:val="0"/>
          <w:numId w:val="2"/>
        </w:numPr>
        <w:pBdr>
          <w:top w:val="nil"/>
          <w:left w:val="nil"/>
          <w:bottom w:val="nil"/>
          <w:right w:val="nil"/>
          <w:between w:val="nil"/>
        </w:pBdr>
        <w:spacing w:after="0"/>
        <w:jc w:val="both"/>
      </w:pPr>
      <w:r w:rsidRPr="00403988">
        <w:t>Work closely with the Private Sector Engagement Unit and Field teams of CIMMYT/CSISA-MEA.</w:t>
      </w:r>
    </w:p>
    <w:p w14:paraId="57AD9E16" w14:textId="77777777" w:rsidR="00871B18" w:rsidRPr="00403988" w:rsidRDefault="00826335">
      <w:pPr>
        <w:numPr>
          <w:ilvl w:val="0"/>
          <w:numId w:val="2"/>
        </w:numPr>
        <w:pBdr>
          <w:top w:val="nil"/>
          <w:left w:val="nil"/>
          <w:bottom w:val="nil"/>
          <w:right w:val="nil"/>
          <w:between w:val="nil"/>
        </w:pBdr>
        <w:spacing w:after="0"/>
        <w:jc w:val="both"/>
      </w:pPr>
      <w:r w:rsidRPr="00403988">
        <w:t>Provide the field visit plan to CSISA-MEA field team through Private Sector Engagement (PSE) unit well in advance.</w:t>
      </w:r>
    </w:p>
    <w:p w14:paraId="57AD9E17" w14:textId="77777777" w:rsidR="00871B18" w:rsidRPr="00403988" w:rsidRDefault="00826335">
      <w:pPr>
        <w:numPr>
          <w:ilvl w:val="0"/>
          <w:numId w:val="2"/>
        </w:numPr>
        <w:pBdr>
          <w:top w:val="nil"/>
          <w:left w:val="nil"/>
          <w:bottom w:val="nil"/>
          <w:right w:val="nil"/>
          <w:between w:val="nil"/>
        </w:pBdr>
        <w:jc w:val="both"/>
      </w:pPr>
      <w:r w:rsidRPr="00403988">
        <w:t>Complete the consultancy as per stipulated time schedules and seek no extension.</w:t>
      </w:r>
    </w:p>
    <w:p w14:paraId="57AD9E19" w14:textId="77777777" w:rsidR="00871B18" w:rsidRPr="00403988" w:rsidRDefault="00826335">
      <w:pPr>
        <w:jc w:val="both"/>
        <w:rPr>
          <w:b/>
        </w:rPr>
      </w:pPr>
      <w:r w:rsidRPr="00403988">
        <w:rPr>
          <w:b/>
        </w:rPr>
        <w:t xml:space="preserve">Technical requirements: </w:t>
      </w:r>
    </w:p>
    <w:p w14:paraId="57AD9E1A" w14:textId="77777777" w:rsidR="00871B18" w:rsidRPr="00403988" w:rsidRDefault="00826335">
      <w:pPr>
        <w:jc w:val="both"/>
      </w:pPr>
      <w:r w:rsidRPr="00403988">
        <w:t>The reports may be used for CIMMYT partners’ and donor’s (USAID) website. The report should be written in good quality English maintaining an international standard and inserting high quality photographs of field work.</w:t>
      </w:r>
    </w:p>
    <w:p w14:paraId="57AD9E1B" w14:textId="77777777" w:rsidR="00871B18" w:rsidRPr="00403988" w:rsidRDefault="00826335">
      <w:pPr>
        <w:jc w:val="both"/>
        <w:rPr>
          <w:b/>
        </w:rPr>
      </w:pPr>
      <w:r w:rsidRPr="00403988">
        <w:rPr>
          <w:b/>
        </w:rPr>
        <w:t>Qualifications, Competencies and Experience:</w:t>
      </w:r>
    </w:p>
    <w:p w14:paraId="57AD9E1D" w14:textId="5A6EFAC8" w:rsidR="00871B18" w:rsidRPr="00403988" w:rsidRDefault="00826335">
      <w:pPr>
        <w:numPr>
          <w:ilvl w:val="0"/>
          <w:numId w:val="3"/>
        </w:numPr>
        <w:pBdr>
          <w:top w:val="nil"/>
          <w:left w:val="nil"/>
          <w:bottom w:val="nil"/>
          <w:right w:val="nil"/>
          <w:between w:val="nil"/>
        </w:pBdr>
        <w:spacing w:after="0"/>
        <w:jc w:val="both"/>
      </w:pPr>
      <w:r w:rsidRPr="00403988">
        <w:t>Expertise on architecture</w:t>
      </w:r>
      <w:r w:rsidR="00C67874">
        <w:t xml:space="preserve"> (including structural and civil)</w:t>
      </w:r>
      <w:r w:rsidRPr="00403988">
        <w:t xml:space="preserve"> specially on eco-friendly concept by using sustainable </w:t>
      </w:r>
      <w:r w:rsidR="00D1512C" w:rsidRPr="00403988">
        <w:t>materials.</w:t>
      </w:r>
    </w:p>
    <w:p w14:paraId="57AD9E1E" w14:textId="77777777" w:rsidR="00871B18" w:rsidRPr="00403988" w:rsidRDefault="00826335">
      <w:pPr>
        <w:numPr>
          <w:ilvl w:val="0"/>
          <w:numId w:val="3"/>
        </w:numPr>
        <w:pBdr>
          <w:top w:val="nil"/>
          <w:left w:val="nil"/>
          <w:bottom w:val="nil"/>
          <w:right w:val="nil"/>
          <w:between w:val="nil"/>
        </w:pBdr>
        <w:spacing w:after="0"/>
        <w:jc w:val="both"/>
      </w:pPr>
      <w:r w:rsidRPr="00403988">
        <w:t>Affiliation with USAID’s development projects is preferable.</w:t>
      </w:r>
    </w:p>
    <w:p w14:paraId="57AD9E1F" w14:textId="77777777" w:rsidR="00871B18" w:rsidRPr="00403988" w:rsidRDefault="00826335">
      <w:pPr>
        <w:numPr>
          <w:ilvl w:val="0"/>
          <w:numId w:val="3"/>
        </w:numPr>
        <w:pBdr>
          <w:top w:val="nil"/>
          <w:left w:val="nil"/>
          <w:bottom w:val="nil"/>
          <w:right w:val="nil"/>
          <w:between w:val="nil"/>
        </w:pBdr>
        <w:spacing w:after="0"/>
        <w:jc w:val="both"/>
      </w:pPr>
      <w:r w:rsidRPr="00403988">
        <w:t>Excellent verbal and written skills both in Bangla and English.</w:t>
      </w:r>
    </w:p>
    <w:p w14:paraId="08AF6DDD" w14:textId="77777777" w:rsidR="00C67874" w:rsidRDefault="00826335" w:rsidP="00C67874">
      <w:pPr>
        <w:numPr>
          <w:ilvl w:val="0"/>
          <w:numId w:val="3"/>
        </w:numPr>
        <w:pBdr>
          <w:top w:val="nil"/>
          <w:left w:val="nil"/>
          <w:bottom w:val="nil"/>
          <w:right w:val="nil"/>
          <w:between w:val="nil"/>
        </w:pBdr>
        <w:spacing w:after="0"/>
        <w:jc w:val="both"/>
      </w:pPr>
      <w:r w:rsidRPr="00403988">
        <w:t>Ability and willingness to travel to the remote areas of CSISA-MEA project.</w:t>
      </w:r>
    </w:p>
    <w:p w14:paraId="26AF1960" w14:textId="3E7E271E" w:rsidR="00C67874" w:rsidRPr="00403988" w:rsidRDefault="00C67874" w:rsidP="00C67874">
      <w:pPr>
        <w:numPr>
          <w:ilvl w:val="0"/>
          <w:numId w:val="3"/>
        </w:numPr>
        <w:pBdr>
          <w:top w:val="nil"/>
          <w:left w:val="nil"/>
          <w:bottom w:val="nil"/>
          <w:right w:val="nil"/>
          <w:between w:val="nil"/>
        </w:pBdr>
        <w:spacing w:after="0"/>
        <w:jc w:val="both"/>
      </w:pPr>
      <w:r w:rsidRPr="00403988">
        <w:t>Knowledge and understanding of the development sector.</w:t>
      </w:r>
    </w:p>
    <w:p w14:paraId="30A78BE8" w14:textId="77777777" w:rsidR="00C67874" w:rsidRPr="00403988" w:rsidRDefault="00C67874" w:rsidP="00C67874">
      <w:pPr>
        <w:pBdr>
          <w:top w:val="nil"/>
          <w:left w:val="nil"/>
          <w:bottom w:val="nil"/>
          <w:right w:val="nil"/>
          <w:between w:val="nil"/>
        </w:pBdr>
        <w:ind w:left="720"/>
        <w:jc w:val="both"/>
      </w:pPr>
    </w:p>
    <w:p w14:paraId="57AD9E21" w14:textId="77777777" w:rsidR="00871B18" w:rsidRPr="00403988" w:rsidRDefault="00826335">
      <w:pPr>
        <w:rPr>
          <w:b/>
        </w:rPr>
      </w:pPr>
      <w:r w:rsidRPr="00403988">
        <w:rPr>
          <w:b/>
        </w:rPr>
        <w:t>Milestones and deliverables: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140"/>
        <w:gridCol w:w="1255"/>
      </w:tblGrid>
      <w:tr w:rsidR="00403988" w:rsidRPr="00403988" w14:paraId="57AD9E25" w14:textId="77777777">
        <w:trPr>
          <w:tblHeader/>
        </w:trPr>
        <w:tc>
          <w:tcPr>
            <w:tcW w:w="3955" w:type="dxa"/>
          </w:tcPr>
          <w:p w14:paraId="57AD9E22" w14:textId="77777777" w:rsidR="00871B18" w:rsidRPr="00403988" w:rsidRDefault="00826335">
            <w:pPr>
              <w:jc w:val="both"/>
              <w:rPr>
                <w:b/>
              </w:rPr>
            </w:pPr>
            <w:r w:rsidRPr="00403988">
              <w:rPr>
                <w:b/>
              </w:rPr>
              <w:t>Milestone</w:t>
            </w:r>
          </w:p>
        </w:tc>
        <w:tc>
          <w:tcPr>
            <w:tcW w:w="4140" w:type="dxa"/>
          </w:tcPr>
          <w:p w14:paraId="57AD9E23" w14:textId="77777777" w:rsidR="00871B18" w:rsidRPr="00403988" w:rsidRDefault="00826335">
            <w:pPr>
              <w:jc w:val="both"/>
              <w:rPr>
                <w:b/>
              </w:rPr>
            </w:pPr>
            <w:r w:rsidRPr="00403988">
              <w:rPr>
                <w:b/>
              </w:rPr>
              <w:t>Deliverable</w:t>
            </w:r>
          </w:p>
        </w:tc>
        <w:tc>
          <w:tcPr>
            <w:tcW w:w="1255" w:type="dxa"/>
          </w:tcPr>
          <w:p w14:paraId="57AD9E24" w14:textId="77777777" w:rsidR="00871B18" w:rsidRPr="00403988" w:rsidRDefault="00826335">
            <w:pPr>
              <w:jc w:val="center"/>
              <w:rPr>
                <w:b/>
              </w:rPr>
            </w:pPr>
            <w:r w:rsidRPr="00403988">
              <w:rPr>
                <w:b/>
              </w:rPr>
              <w:t>% Payment</w:t>
            </w:r>
          </w:p>
        </w:tc>
      </w:tr>
      <w:tr w:rsidR="00403988" w:rsidRPr="00403988" w14:paraId="57AD9E2B" w14:textId="77777777">
        <w:tc>
          <w:tcPr>
            <w:tcW w:w="3955" w:type="dxa"/>
          </w:tcPr>
          <w:p w14:paraId="57AD9E26" w14:textId="77777777" w:rsidR="00871B18" w:rsidRPr="00403988" w:rsidRDefault="00826335">
            <w:pPr>
              <w:jc w:val="both"/>
              <w:rPr>
                <w:b/>
              </w:rPr>
            </w:pPr>
            <w:r w:rsidRPr="00403988">
              <w:rPr>
                <w:b/>
              </w:rPr>
              <w:t>Milestone 1</w:t>
            </w:r>
          </w:p>
          <w:p w14:paraId="57AD9E27" w14:textId="77777777" w:rsidR="00871B18" w:rsidRPr="00403988" w:rsidRDefault="00826335">
            <w:pPr>
              <w:jc w:val="both"/>
            </w:pPr>
            <w:r w:rsidRPr="00403988">
              <w:t>Signing of the contract and work plan</w:t>
            </w:r>
          </w:p>
          <w:p w14:paraId="57AD9E28" w14:textId="77777777" w:rsidR="00871B18" w:rsidRPr="00403988" w:rsidRDefault="00871B18">
            <w:pPr>
              <w:jc w:val="both"/>
            </w:pPr>
          </w:p>
        </w:tc>
        <w:tc>
          <w:tcPr>
            <w:tcW w:w="4140" w:type="dxa"/>
          </w:tcPr>
          <w:p w14:paraId="57AD9E29" w14:textId="77777777" w:rsidR="00871B18" w:rsidRPr="00403988" w:rsidRDefault="00826335">
            <w:pPr>
              <w:jc w:val="both"/>
            </w:pPr>
            <w:r w:rsidRPr="00403988">
              <w:t>Soft copy of the work plan</w:t>
            </w:r>
          </w:p>
        </w:tc>
        <w:tc>
          <w:tcPr>
            <w:tcW w:w="1255" w:type="dxa"/>
          </w:tcPr>
          <w:p w14:paraId="57AD9E2A" w14:textId="7E88A343" w:rsidR="00871B18" w:rsidRPr="00403988" w:rsidRDefault="00FF2DE8">
            <w:pPr>
              <w:jc w:val="center"/>
            </w:pPr>
            <w:r w:rsidRPr="00403988">
              <w:t>2</w:t>
            </w:r>
            <w:r w:rsidR="00826335" w:rsidRPr="00403988">
              <w:t>0%</w:t>
            </w:r>
          </w:p>
        </w:tc>
      </w:tr>
      <w:tr w:rsidR="00403988" w:rsidRPr="00403988" w14:paraId="57AD9E30" w14:textId="77777777">
        <w:tc>
          <w:tcPr>
            <w:tcW w:w="3955" w:type="dxa"/>
          </w:tcPr>
          <w:p w14:paraId="57AD9E2C" w14:textId="77777777" w:rsidR="00871B18" w:rsidRPr="00403988" w:rsidRDefault="00826335">
            <w:pPr>
              <w:jc w:val="both"/>
              <w:rPr>
                <w:b/>
              </w:rPr>
            </w:pPr>
            <w:r w:rsidRPr="00403988">
              <w:rPr>
                <w:b/>
              </w:rPr>
              <w:t>Milestone 2</w:t>
            </w:r>
          </w:p>
          <w:p w14:paraId="57AD9E2D" w14:textId="3364D136" w:rsidR="00871B18" w:rsidRPr="00403988" w:rsidRDefault="00826335">
            <w:pPr>
              <w:spacing w:after="160" w:line="259" w:lineRule="auto"/>
              <w:jc w:val="both"/>
            </w:pPr>
            <w:r w:rsidRPr="00403988">
              <w:t xml:space="preserve">Feasibility Study: Field visits and workshop wise report </w:t>
            </w:r>
            <w:r w:rsidR="00F8123A" w:rsidRPr="00403988">
              <w:t xml:space="preserve">draft report </w:t>
            </w:r>
            <w:r w:rsidRPr="00403988">
              <w:t xml:space="preserve">submission </w:t>
            </w:r>
            <w:r w:rsidR="00F8123A" w:rsidRPr="00403988">
              <w:t>and presentation on draft report</w:t>
            </w:r>
            <w:r w:rsidRPr="00403988">
              <w:tab/>
            </w:r>
          </w:p>
        </w:tc>
        <w:tc>
          <w:tcPr>
            <w:tcW w:w="4140" w:type="dxa"/>
          </w:tcPr>
          <w:p w14:paraId="57AD9E2E" w14:textId="34C4E8B1" w:rsidR="00871B18" w:rsidRPr="00403988" w:rsidRDefault="00826335">
            <w:pPr>
              <w:jc w:val="both"/>
            </w:pPr>
            <w:r w:rsidRPr="00403988">
              <w:t xml:space="preserve">Presentation and </w:t>
            </w:r>
            <w:r w:rsidR="00F8123A" w:rsidRPr="00403988">
              <w:t xml:space="preserve">draft </w:t>
            </w:r>
            <w:r w:rsidRPr="00403988">
              <w:t>report</w:t>
            </w:r>
            <w:r w:rsidR="00F8123A" w:rsidRPr="00403988">
              <w:t xml:space="preserve"> on specific workshops</w:t>
            </w:r>
          </w:p>
        </w:tc>
        <w:tc>
          <w:tcPr>
            <w:tcW w:w="1255" w:type="dxa"/>
          </w:tcPr>
          <w:p w14:paraId="57AD9E2F" w14:textId="1FE63288" w:rsidR="00871B18" w:rsidRPr="00403988" w:rsidRDefault="00FF2DE8">
            <w:pPr>
              <w:jc w:val="center"/>
            </w:pPr>
            <w:r w:rsidRPr="00403988">
              <w:t>4</w:t>
            </w:r>
            <w:r w:rsidR="00826335" w:rsidRPr="00403988">
              <w:t>0%</w:t>
            </w:r>
          </w:p>
        </w:tc>
      </w:tr>
      <w:tr w:rsidR="00871B18" w:rsidRPr="00403988" w14:paraId="57AD9E42" w14:textId="77777777">
        <w:tc>
          <w:tcPr>
            <w:tcW w:w="3955" w:type="dxa"/>
          </w:tcPr>
          <w:p w14:paraId="57AD9E3D" w14:textId="0199100C" w:rsidR="00871B18" w:rsidRPr="00403988" w:rsidRDefault="00826335">
            <w:pPr>
              <w:jc w:val="both"/>
              <w:rPr>
                <w:b/>
              </w:rPr>
            </w:pPr>
            <w:r w:rsidRPr="00403988">
              <w:rPr>
                <w:b/>
              </w:rPr>
              <w:t xml:space="preserve">Milestone </w:t>
            </w:r>
            <w:r w:rsidR="00F8123A" w:rsidRPr="00403988">
              <w:rPr>
                <w:b/>
              </w:rPr>
              <w:t>3</w:t>
            </w:r>
          </w:p>
          <w:p w14:paraId="57AD9E3E" w14:textId="5661F3F7" w:rsidR="00871B18" w:rsidRPr="00403988" w:rsidRDefault="00826335">
            <w:pPr>
              <w:jc w:val="both"/>
            </w:pPr>
            <w:r w:rsidRPr="00403988">
              <w:t>Submission of Consultancy report</w:t>
            </w:r>
            <w:r w:rsidR="00DC69E3">
              <w:t xml:space="preserve"> and each selected workshop wise PP deck</w:t>
            </w:r>
          </w:p>
          <w:p w14:paraId="57AD9E3F" w14:textId="77777777" w:rsidR="00871B18" w:rsidRPr="00403988" w:rsidRDefault="00871B18">
            <w:pPr>
              <w:jc w:val="both"/>
            </w:pPr>
          </w:p>
        </w:tc>
        <w:tc>
          <w:tcPr>
            <w:tcW w:w="4140" w:type="dxa"/>
          </w:tcPr>
          <w:p w14:paraId="57AD9E40" w14:textId="52C6A4A8" w:rsidR="00871B18" w:rsidRPr="00403988" w:rsidRDefault="00826335">
            <w:pPr>
              <w:jc w:val="both"/>
            </w:pPr>
            <w:r w:rsidRPr="00403988">
              <w:t xml:space="preserve">Final report on </w:t>
            </w:r>
            <w:r w:rsidR="00F8123A" w:rsidRPr="00403988">
              <w:t xml:space="preserve">the study </w:t>
            </w:r>
            <w:r w:rsidR="00DC69E3">
              <w:t>and PPT slide deck</w:t>
            </w:r>
          </w:p>
        </w:tc>
        <w:tc>
          <w:tcPr>
            <w:tcW w:w="1255" w:type="dxa"/>
          </w:tcPr>
          <w:p w14:paraId="57AD9E41" w14:textId="49B885DC" w:rsidR="00871B18" w:rsidRPr="00403988" w:rsidRDefault="00FF2DE8">
            <w:pPr>
              <w:jc w:val="center"/>
            </w:pPr>
            <w:r w:rsidRPr="00403988">
              <w:t>40</w:t>
            </w:r>
            <w:r w:rsidR="00826335" w:rsidRPr="00403988">
              <w:t>%</w:t>
            </w:r>
          </w:p>
        </w:tc>
      </w:tr>
    </w:tbl>
    <w:p w14:paraId="57AD9E43" w14:textId="77777777" w:rsidR="00871B18" w:rsidRPr="00403988" w:rsidRDefault="00871B18">
      <w:pPr>
        <w:jc w:val="both"/>
      </w:pPr>
    </w:p>
    <w:p w14:paraId="57AD9E45" w14:textId="77777777" w:rsidR="00871B18" w:rsidRPr="00403988" w:rsidRDefault="00826335">
      <w:pPr>
        <w:jc w:val="both"/>
        <w:rPr>
          <w:b/>
        </w:rPr>
      </w:pPr>
      <w:r w:rsidRPr="00403988">
        <w:rPr>
          <w:b/>
        </w:rPr>
        <w:t>Payment and Condition:</w:t>
      </w:r>
    </w:p>
    <w:p w14:paraId="57AD9E46" w14:textId="77777777" w:rsidR="00871B18" w:rsidRPr="00403988" w:rsidRDefault="00826335">
      <w:pPr>
        <w:jc w:val="both"/>
      </w:pPr>
      <w:r w:rsidRPr="00403988">
        <w:t xml:space="preserve">The payment will be </w:t>
      </w:r>
      <w:proofErr w:type="gramStart"/>
      <w:r w:rsidRPr="00403988">
        <w:t>done</w:t>
      </w:r>
      <w:proofErr w:type="gramEnd"/>
      <w:r w:rsidRPr="00403988">
        <w:t xml:space="preserve"> as per the milestones through online transfer to the account details provided by the service provider. Around 10% will be deducted as tax.</w:t>
      </w:r>
    </w:p>
    <w:p w14:paraId="57AD9E48" w14:textId="77777777" w:rsidR="00871B18" w:rsidRPr="00403988" w:rsidRDefault="00826335">
      <w:pPr>
        <w:jc w:val="both"/>
      </w:pPr>
      <w:r w:rsidRPr="00403988">
        <w:rPr>
          <w:b/>
        </w:rPr>
        <w:t>Obligation:</w:t>
      </w:r>
      <w:r w:rsidRPr="00403988">
        <w:t xml:space="preserve"> All the images, reports, documents, papers, or any other related materials produced under the agreement will be the property of CIMMYT and consequently confidential; and should be handed over to the organization. Therefore, the outputs/deliverables or any part of it will be strictly prohibited to share, sell, </w:t>
      </w:r>
      <w:proofErr w:type="gramStart"/>
      <w:r w:rsidRPr="00403988">
        <w:t>use</w:t>
      </w:r>
      <w:proofErr w:type="gramEnd"/>
      <w:r w:rsidRPr="00403988">
        <w:t xml:space="preserve"> or produce/reproduce by any means without the prior permission of CIMMYT. The organization's written consent will be required to utilize the findings or any other related matters for/by any other purposes or institutions.</w:t>
      </w:r>
    </w:p>
    <w:p w14:paraId="57AD9E4A" w14:textId="77777777" w:rsidR="00871B18" w:rsidRPr="00403988" w:rsidRDefault="00826335">
      <w:pPr>
        <w:jc w:val="both"/>
      </w:pPr>
      <w:r w:rsidRPr="00403988">
        <w:rPr>
          <w:b/>
        </w:rPr>
        <w:t>Reporting:</w:t>
      </w:r>
      <w:r w:rsidRPr="00403988">
        <w:t xml:space="preserve"> The service provider will report to the contact person mentioned in this TOR.</w:t>
      </w:r>
    </w:p>
    <w:p w14:paraId="57AD9E4B" w14:textId="77777777" w:rsidR="00871B18" w:rsidRPr="00403988" w:rsidRDefault="00871B18">
      <w:pPr>
        <w:jc w:val="both"/>
      </w:pPr>
    </w:p>
    <w:p w14:paraId="57AD9E4C" w14:textId="52574E46" w:rsidR="00871B18" w:rsidRPr="00403988" w:rsidRDefault="00826335">
      <w:pPr>
        <w:jc w:val="both"/>
        <w:rPr>
          <w:b/>
        </w:rPr>
      </w:pPr>
      <w:r w:rsidRPr="00403988">
        <w:rPr>
          <w:b/>
        </w:rPr>
        <w:t xml:space="preserve">Contact person for the </w:t>
      </w:r>
      <w:r w:rsidR="00A72A3D">
        <w:rPr>
          <w:b/>
        </w:rPr>
        <w:t xml:space="preserve">EOI </w:t>
      </w:r>
      <w:r w:rsidR="001C41C7">
        <w:rPr>
          <w:b/>
        </w:rPr>
        <w:t>Submission</w:t>
      </w:r>
      <w:r w:rsidRPr="00403988">
        <w:rPr>
          <w:b/>
        </w:rPr>
        <w:t>:</w:t>
      </w:r>
    </w:p>
    <w:p w14:paraId="57AD9E4D" w14:textId="47D51FC7" w:rsidR="00871B18" w:rsidRDefault="00826335" w:rsidP="00AE26BB">
      <w:pPr>
        <w:spacing w:after="0" w:line="240" w:lineRule="auto"/>
        <w:jc w:val="both"/>
        <w:rPr>
          <w:b/>
          <w:bCs/>
        </w:rPr>
      </w:pPr>
      <w:r w:rsidRPr="00403988">
        <w:rPr>
          <w:b/>
          <w:bCs/>
        </w:rPr>
        <w:t>Md. Kafil Uddin</w:t>
      </w:r>
    </w:p>
    <w:p w14:paraId="15924634" w14:textId="39D02D58" w:rsidR="00AA0C8A" w:rsidRDefault="00A72A3D" w:rsidP="00A72A3D">
      <w:pPr>
        <w:spacing w:after="0" w:line="240" w:lineRule="auto"/>
        <w:jc w:val="both"/>
        <w:rPr>
          <w:rStyle w:val="Hyperlink"/>
          <w:color w:val="auto"/>
          <w:u w:val="none"/>
        </w:rPr>
      </w:pPr>
      <w:r w:rsidRPr="00D60688">
        <w:t>Email:</w:t>
      </w:r>
      <w:r>
        <w:rPr>
          <w:b/>
          <w:bCs/>
        </w:rPr>
        <w:t xml:space="preserve"> </w:t>
      </w:r>
      <w:hyperlink r:id="rId9" w:history="1">
        <w:r w:rsidRPr="00D60688">
          <w:rPr>
            <w:rStyle w:val="Hyperlink"/>
          </w:rPr>
          <w:t>k.uddin@cgiar.org</w:t>
        </w:r>
      </w:hyperlink>
    </w:p>
    <w:p w14:paraId="026854A7" w14:textId="77842950" w:rsidR="00AA0C8A" w:rsidRDefault="00AA0C8A" w:rsidP="00A72A3D">
      <w:pPr>
        <w:spacing w:after="0" w:line="240" w:lineRule="auto"/>
        <w:jc w:val="both"/>
        <w:rPr>
          <w:rStyle w:val="Hyperlink"/>
          <w:color w:val="auto"/>
          <w:u w:val="none"/>
        </w:rPr>
      </w:pPr>
    </w:p>
    <w:p w14:paraId="1C4C1018" w14:textId="77777777" w:rsidR="00D60688" w:rsidRPr="00D60688" w:rsidRDefault="00D60688" w:rsidP="00A72A3D">
      <w:pPr>
        <w:spacing w:after="0" w:line="240" w:lineRule="auto"/>
        <w:jc w:val="both"/>
        <w:rPr>
          <w:rStyle w:val="Hyperlink"/>
          <w:b/>
          <w:bCs/>
          <w:color w:val="auto"/>
          <w:u w:val="none"/>
        </w:rPr>
      </w:pPr>
      <w:r w:rsidRPr="00D60688">
        <w:rPr>
          <w:rStyle w:val="Hyperlink"/>
          <w:b/>
          <w:bCs/>
          <w:color w:val="auto"/>
          <w:u w:val="none"/>
        </w:rPr>
        <w:t xml:space="preserve">Mr. </w:t>
      </w:r>
      <w:r w:rsidR="00AA0C8A" w:rsidRPr="00D60688">
        <w:rPr>
          <w:rStyle w:val="Hyperlink"/>
          <w:b/>
          <w:bCs/>
          <w:color w:val="auto"/>
          <w:u w:val="none"/>
        </w:rPr>
        <w:t>Dh</w:t>
      </w:r>
      <w:r w:rsidRPr="00D60688">
        <w:rPr>
          <w:rStyle w:val="Hyperlink"/>
          <w:b/>
          <w:bCs/>
          <w:color w:val="auto"/>
          <w:u w:val="none"/>
        </w:rPr>
        <w:t>on Raj Lama</w:t>
      </w:r>
    </w:p>
    <w:p w14:paraId="2431C712" w14:textId="2AC2CCA0" w:rsidR="00AA0C8A" w:rsidRDefault="00D60688" w:rsidP="00A72A3D">
      <w:pPr>
        <w:spacing w:after="0" w:line="240" w:lineRule="auto"/>
        <w:jc w:val="both"/>
        <w:rPr>
          <w:rStyle w:val="Hyperlink"/>
          <w:color w:val="auto"/>
          <w:u w:val="none"/>
        </w:rPr>
      </w:pPr>
      <w:r>
        <w:rPr>
          <w:rStyle w:val="Hyperlink"/>
          <w:color w:val="auto"/>
          <w:u w:val="none"/>
        </w:rPr>
        <w:t xml:space="preserve">Email: </w:t>
      </w:r>
      <w:hyperlink r:id="rId10" w:history="1">
        <w:r w:rsidRPr="003E1E0B">
          <w:rPr>
            <w:rStyle w:val="Hyperlink"/>
          </w:rPr>
          <w:t>d.lama@cgiar.org</w:t>
        </w:r>
      </w:hyperlink>
    </w:p>
    <w:p w14:paraId="7B5133DC" w14:textId="77777777" w:rsidR="00D60688" w:rsidRDefault="00D60688" w:rsidP="00A72A3D">
      <w:pPr>
        <w:spacing w:after="0" w:line="240" w:lineRule="auto"/>
        <w:jc w:val="both"/>
        <w:rPr>
          <w:rStyle w:val="Hyperlink"/>
          <w:color w:val="auto"/>
          <w:u w:val="none"/>
        </w:rPr>
      </w:pPr>
    </w:p>
    <w:p w14:paraId="1F6D3575" w14:textId="7F9BBC39" w:rsidR="00AA0C8A" w:rsidRPr="00EC4199" w:rsidRDefault="00EC4199" w:rsidP="00A72A3D">
      <w:pPr>
        <w:spacing w:after="0" w:line="240" w:lineRule="auto"/>
        <w:jc w:val="both"/>
        <w:rPr>
          <w:rStyle w:val="Hyperlink"/>
          <w:b/>
          <w:bCs/>
          <w:color w:val="auto"/>
          <w:u w:val="none"/>
        </w:rPr>
      </w:pPr>
      <w:r w:rsidRPr="00EC4199">
        <w:rPr>
          <w:rStyle w:val="Hyperlink"/>
          <w:b/>
          <w:bCs/>
          <w:color w:val="auto"/>
          <w:u w:val="none"/>
        </w:rPr>
        <w:t>Ms. Shaida Khatun</w:t>
      </w:r>
    </w:p>
    <w:p w14:paraId="1490C2FB" w14:textId="5BAF2FE2" w:rsidR="00EC4199" w:rsidRDefault="00EC4199" w:rsidP="00A72A3D">
      <w:pPr>
        <w:spacing w:after="0" w:line="240" w:lineRule="auto"/>
        <w:jc w:val="both"/>
        <w:rPr>
          <w:rStyle w:val="Hyperlink"/>
          <w:color w:val="auto"/>
        </w:rPr>
      </w:pPr>
      <w:r w:rsidRPr="00EC4199">
        <w:rPr>
          <w:rStyle w:val="Hyperlink"/>
          <w:color w:val="auto"/>
          <w:u w:val="none"/>
        </w:rPr>
        <w:t xml:space="preserve">Email: </w:t>
      </w:r>
      <w:r w:rsidRPr="00EC4199">
        <w:rPr>
          <w:rStyle w:val="Hyperlink"/>
        </w:rPr>
        <w:t>shahida@cgiar.org</w:t>
      </w:r>
    </w:p>
    <w:p w14:paraId="2116B343" w14:textId="77777777" w:rsidR="00AA0C8A" w:rsidRPr="00403988" w:rsidRDefault="00AA0C8A" w:rsidP="00A72A3D">
      <w:pPr>
        <w:spacing w:after="0" w:line="240" w:lineRule="auto"/>
        <w:jc w:val="both"/>
      </w:pPr>
    </w:p>
    <w:p w14:paraId="6C3DEB39" w14:textId="77777777" w:rsidR="00AE26BB" w:rsidRPr="00403988" w:rsidRDefault="00AE26BB">
      <w:pPr>
        <w:spacing w:line="240" w:lineRule="auto"/>
        <w:jc w:val="both"/>
      </w:pPr>
    </w:p>
    <w:p w14:paraId="57AD9E52" w14:textId="77777777" w:rsidR="00871B18" w:rsidRPr="00403988" w:rsidRDefault="00871B18">
      <w:pPr>
        <w:jc w:val="both"/>
      </w:pPr>
    </w:p>
    <w:p w14:paraId="57AD9E53" w14:textId="77777777" w:rsidR="00871B18" w:rsidRPr="00403988" w:rsidRDefault="00871B18">
      <w:pPr>
        <w:jc w:val="both"/>
      </w:pPr>
    </w:p>
    <w:p w14:paraId="57AD9E54" w14:textId="77777777" w:rsidR="00871B18" w:rsidRPr="00403988" w:rsidRDefault="00871B18">
      <w:pPr>
        <w:jc w:val="both"/>
      </w:pPr>
    </w:p>
    <w:p w14:paraId="57AD9E55" w14:textId="77777777" w:rsidR="00871B18" w:rsidRPr="00403988" w:rsidRDefault="00871B18">
      <w:pPr>
        <w:jc w:val="both"/>
      </w:pPr>
    </w:p>
    <w:p w14:paraId="57AD9E56" w14:textId="77777777" w:rsidR="00871B18" w:rsidRPr="00403988" w:rsidRDefault="00871B18">
      <w:pPr>
        <w:jc w:val="both"/>
      </w:pPr>
    </w:p>
    <w:p w14:paraId="57AD9E57" w14:textId="77777777" w:rsidR="00871B18" w:rsidRPr="00403988" w:rsidRDefault="00871B18">
      <w:pPr>
        <w:jc w:val="both"/>
      </w:pPr>
    </w:p>
    <w:sectPr w:rsidR="00871B18" w:rsidRPr="0040398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F1A" w14:textId="77777777" w:rsidR="00C25201" w:rsidRDefault="00C25201" w:rsidP="00357DBC">
      <w:pPr>
        <w:spacing w:after="0" w:line="240" w:lineRule="auto"/>
      </w:pPr>
      <w:r>
        <w:separator/>
      </w:r>
    </w:p>
  </w:endnote>
  <w:endnote w:type="continuationSeparator" w:id="0">
    <w:p w14:paraId="78EF2BE6" w14:textId="77777777" w:rsidR="00C25201" w:rsidRDefault="00C25201" w:rsidP="0035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5326"/>
      <w:docPartObj>
        <w:docPartGallery w:val="Page Numbers (Bottom of Page)"/>
        <w:docPartUnique/>
      </w:docPartObj>
    </w:sdtPr>
    <w:sdtEndPr/>
    <w:sdtContent>
      <w:sdt>
        <w:sdtPr>
          <w:id w:val="-1769616900"/>
          <w:docPartObj>
            <w:docPartGallery w:val="Page Numbers (Top of Page)"/>
            <w:docPartUnique/>
          </w:docPartObj>
        </w:sdtPr>
        <w:sdtEndPr/>
        <w:sdtContent>
          <w:p w14:paraId="75BE9ED0" w14:textId="78522D8E" w:rsidR="00403988" w:rsidRDefault="004039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2A7E53" w14:textId="77777777" w:rsidR="00403988" w:rsidRDefault="0040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F146" w14:textId="77777777" w:rsidR="00C25201" w:rsidRDefault="00C25201" w:rsidP="00357DBC">
      <w:pPr>
        <w:spacing w:after="0" w:line="240" w:lineRule="auto"/>
      </w:pPr>
      <w:r>
        <w:separator/>
      </w:r>
    </w:p>
  </w:footnote>
  <w:footnote w:type="continuationSeparator" w:id="0">
    <w:p w14:paraId="08D5A187" w14:textId="77777777" w:rsidR="00C25201" w:rsidRDefault="00C25201" w:rsidP="0035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7B46" w14:textId="4CB9FB60" w:rsidR="00403988" w:rsidRPr="00403988" w:rsidRDefault="00403988" w:rsidP="00403988">
    <w:pPr>
      <w:jc w:val="center"/>
      <w:rPr>
        <w:b/>
        <w:color w:val="002060"/>
        <w:sz w:val="24"/>
        <w:szCs w:val="24"/>
      </w:rPr>
    </w:pPr>
    <w:r w:rsidRPr="00403988">
      <w:rPr>
        <w:b/>
        <w:color w:val="002060"/>
        <w:sz w:val="24"/>
        <w:szCs w:val="24"/>
      </w:rPr>
      <w:t>Terms of Reference for an Architecture</w:t>
    </w:r>
    <w:r w:rsidR="002954E3">
      <w:rPr>
        <w:b/>
        <w:color w:val="002060"/>
        <w:sz w:val="24"/>
        <w:szCs w:val="24"/>
      </w:rPr>
      <w:t xml:space="preserve"> / Consultancy</w:t>
    </w:r>
    <w:r w:rsidRPr="00403988">
      <w:rPr>
        <w:b/>
        <w:color w:val="002060"/>
        <w:sz w:val="24"/>
        <w:szCs w:val="24"/>
      </w:rPr>
      <w:t xml:space="preserve"> Firm to provide technical expertise service as consultant to</w:t>
    </w:r>
    <w:r w:rsidR="00C67874">
      <w:rPr>
        <w:b/>
        <w:color w:val="002060"/>
        <w:sz w:val="24"/>
        <w:szCs w:val="24"/>
      </w:rPr>
      <w:t xml:space="preserve"> assess and provide sustainable workshop solution to the selective Agricultural Based Light Engineering Enterprise (ABLE) workshops i</w:t>
    </w:r>
    <w:r w:rsidRPr="00403988">
      <w:rPr>
        <w:b/>
        <w:color w:val="002060"/>
        <w:sz w:val="24"/>
        <w:szCs w:val="24"/>
      </w:rPr>
      <w:t xml:space="preserve">n project area. </w:t>
    </w:r>
  </w:p>
  <w:p w14:paraId="7E346B58" w14:textId="77777777" w:rsidR="00403988" w:rsidRDefault="00403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51FB"/>
    <w:multiLevelType w:val="multilevel"/>
    <w:tmpl w:val="860E3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E34616"/>
    <w:multiLevelType w:val="multilevel"/>
    <w:tmpl w:val="E4EA8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0D7B4C"/>
    <w:multiLevelType w:val="multilevel"/>
    <w:tmpl w:val="E1783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6672924">
    <w:abstractNumId w:val="0"/>
  </w:num>
  <w:num w:numId="2" w16cid:durableId="1732461763">
    <w:abstractNumId w:val="1"/>
  </w:num>
  <w:num w:numId="3" w16cid:durableId="51704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18"/>
    <w:rsid w:val="00000EF3"/>
    <w:rsid w:val="0006047E"/>
    <w:rsid w:val="00142B7F"/>
    <w:rsid w:val="00184BCF"/>
    <w:rsid w:val="001B628F"/>
    <w:rsid w:val="001C41C7"/>
    <w:rsid w:val="001E4199"/>
    <w:rsid w:val="00213316"/>
    <w:rsid w:val="0024131E"/>
    <w:rsid w:val="002477B4"/>
    <w:rsid w:val="002954E3"/>
    <w:rsid w:val="002A12BD"/>
    <w:rsid w:val="00335E37"/>
    <w:rsid w:val="00343BB0"/>
    <w:rsid w:val="00357DBC"/>
    <w:rsid w:val="00403988"/>
    <w:rsid w:val="004469D0"/>
    <w:rsid w:val="005034CD"/>
    <w:rsid w:val="00637D0A"/>
    <w:rsid w:val="00652AA8"/>
    <w:rsid w:val="006D6C42"/>
    <w:rsid w:val="007F7B01"/>
    <w:rsid w:val="00826335"/>
    <w:rsid w:val="00871B18"/>
    <w:rsid w:val="008F495C"/>
    <w:rsid w:val="00A72A3D"/>
    <w:rsid w:val="00AA0C8A"/>
    <w:rsid w:val="00AA6FF3"/>
    <w:rsid w:val="00AE26BB"/>
    <w:rsid w:val="00AE54FF"/>
    <w:rsid w:val="00AF0642"/>
    <w:rsid w:val="00B05C82"/>
    <w:rsid w:val="00C25201"/>
    <w:rsid w:val="00C67874"/>
    <w:rsid w:val="00C81EF6"/>
    <w:rsid w:val="00D1512C"/>
    <w:rsid w:val="00D60688"/>
    <w:rsid w:val="00DA5A70"/>
    <w:rsid w:val="00DC69E3"/>
    <w:rsid w:val="00E55231"/>
    <w:rsid w:val="00EA6094"/>
    <w:rsid w:val="00EC4199"/>
    <w:rsid w:val="00F37AC3"/>
    <w:rsid w:val="00F8123A"/>
    <w:rsid w:val="00FF2DE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9E03"/>
  <w15:docId w15:val="{2DA6113E-09AB-4638-B5E5-26FE0216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5841"/>
    <w:pPr>
      <w:ind w:left="720"/>
      <w:contextualSpacing/>
    </w:pPr>
  </w:style>
  <w:style w:type="table" w:styleId="TableGrid">
    <w:name w:val="Table Grid"/>
    <w:basedOn w:val="TableNormal"/>
    <w:uiPriority w:val="39"/>
    <w:rsid w:val="00BF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E26BB"/>
    <w:rPr>
      <w:color w:val="0563C1" w:themeColor="hyperlink"/>
      <w:u w:val="single"/>
    </w:rPr>
  </w:style>
  <w:style w:type="character" w:customStyle="1" w:styleId="UnresolvedMention1">
    <w:name w:val="Unresolved Mention1"/>
    <w:basedOn w:val="DefaultParagraphFont"/>
    <w:uiPriority w:val="99"/>
    <w:semiHidden/>
    <w:unhideWhenUsed/>
    <w:rsid w:val="00AE26BB"/>
    <w:rPr>
      <w:color w:val="605E5C"/>
      <w:shd w:val="clear" w:color="auto" w:fill="E1DFDD"/>
    </w:rPr>
  </w:style>
  <w:style w:type="paragraph" w:styleId="EndnoteText">
    <w:name w:val="endnote text"/>
    <w:basedOn w:val="Normal"/>
    <w:link w:val="EndnoteTextChar"/>
    <w:uiPriority w:val="99"/>
    <w:semiHidden/>
    <w:unhideWhenUsed/>
    <w:rsid w:val="00357D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DBC"/>
    <w:rPr>
      <w:sz w:val="20"/>
      <w:szCs w:val="20"/>
    </w:rPr>
  </w:style>
  <w:style w:type="character" w:styleId="EndnoteReference">
    <w:name w:val="endnote reference"/>
    <w:basedOn w:val="DefaultParagraphFont"/>
    <w:uiPriority w:val="99"/>
    <w:semiHidden/>
    <w:unhideWhenUsed/>
    <w:rsid w:val="00357DBC"/>
    <w:rPr>
      <w:vertAlign w:val="superscript"/>
    </w:rPr>
  </w:style>
  <w:style w:type="character" w:styleId="CommentReference">
    <w:name w:val="annotation reference"/>
    <w:basedOn w:val="DefaultParagraphFont"/>
    <w:uiPriority w:val="99"/>
    <w:semiHidden/>
    <w:unhideWhenUsed/>
    <w:rsid w:val="00357DBC"/>
    <w:rPr>
      <w:sz w:val="16"/>
      <w:szCs w:val="16"/>
    </w:rPr>
  </w:style>
  <w:style w:type="paragraph" w:styleId="CommentText">
    <w:name w:val="annotation text"/>
    <w:basedOn w:val="Normal"/>
    <w:link w:val="CommentTextChar"/>
    <w:uiPriority w:val="99"/>
    <w:unhideWhenUsed/>
    <w:rsid w:val="00357DBC"/>
    <w:pPr>
      <w:spacing w:line="240" w:lineRule="auto"/>
    </w:pPr>
    <w:rPr>
      <w:sz w:val="20"/>
      <w:szCs w:val="20"/>
    </w:rPr>
  </w:style>
  <w:style w:type="character" w:customStyle="1" w:styleId="CommentTextChar">
    <w:name w:val="Comment Text Char"/>
    <w:basedOn w:val="DefaultParagraphFont"/>
    <w:link w:val="CommentText"/>
    <w:uiPriority w:val="99"/>
    <w:rsid w:val="00357DBC"/>
    <w:rPr>
      <w:sz w:val="20"/>
      <w:szCs w:val="20"/>
    </w:rPr>
  </w:style>
  <w:style w:type="paragraph" w:styleId="CommentSubject">
    <w:name w:val="annotation subject"/>
    <w:basedOn w:val="CommentText"/>
    <w:next w:val="CommentText"/>
    <w:link w:val="CommentSubjectChar"/>
    <w:uiPriority w:val="99"/>
    <w:semiHidden/>
    <w:unhideWhenUsed/>
    <w:rsid w:val="00357DBC"/>
    <w:rPr>
      <w:b/>
      <w:bCs/>
    </w:rPr>
  </w:style>
  <w:style w:type="character" w:customStyle="1" w:styleId="CommentSubjectChar">
    <w:name w:val="Comment Subject Char"/>
    <w:basedOn w:val="CommentTextChar"/>
    <w:link w:val="CommentSubject"/>
    <w:uiPriority w:val="99"/>
    <w:semiHidden/>
    <w:rsid w:val="00357DBC"/>
    <w:rPr>
      <w:b/>
      <w:bCs/>
      <w:sz w:val="20"/>
      <w:szCs w:val="20"/>
    </w:rPr>
  </w:style>
  <w:style w:type="paragraph" w:styleId="BalloonText">
    <w:name w:val="Balloon Text"/>
    <w:basedOn w:val="Normal"/>
    <w:link w:val="BalloonTextChar"/>
    <w:uiPriority w:val="99"/>
    <w:semiHidden/>
    <w:unhideWhenUsed/>
    <w:rsid w:val="00357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BC"/>
    <w:rPr>
      <w:rFonts w:ascii="Segoe UI" w:hAnsi="Segoe UI" w:cs="Segoe UI"/>
      <w:sz w:val="18"/>
      <w:szCs w:val="18"/>
    </w:rPr>
  </w:style>
  <w:style w:type="paragraph" w:styleId="Revision">
    <w:name w:val="Revision"/>
    <w:hidden/>
    <w:uiPriority w:val="99"/>
    <w:semiHidden/>
    <w:rsid w:val="00652AA8"/>
    <w:pPr>
      <w:spacing w:after="0" w:line="240" w:lineRule="auto"/>
    </w:pPr>
  </w:style>
  <w:style w:type="paragraph" w:styleId="Header">
    <w:name w:val="header"/>
    <w:basedOn w:val="Normal"/>
    <w:link w:val="HeaderChar"/>
    <w:uiPriority w:val="99"/>
    <w:unhideWhenUsed/>
    <w:rsid w:val="00403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8"/>
  </w:style>
  <w:style w:type="paragraph" w:styleId="Footer">
    <w:name w:val="footer"/>
    <w:basedOn w:val="Normal"/>
    <w:link w:val="FooterChar"/>
    <w:uiPriority w:val="99"/>
    <w:unhideWhenUsed/>
    <w:rsid w:val="00403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88"/>
  </w:style>
  <w:style w:type="character" w:styleId="UnresolvedMention">
    <w:name w:val="Unresolved Mention"/>
    <w:basedOn w:val="DefaultParagraphFont"/>
    <w:uiPriority w:val="99"/>
    <w:semiHidden/>
    <w:unhideWhenUsed/>
    <w:rsid w:val="00D6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lama@cgiar.org" TargetMode="External"/><Relationship Id="rId4" Type="http://schemas.openxmlformats.org/officeDocument/2006/relationships/styles" Target="styles.xml"/><Relationship Id="rId9" Type="http://schemas.openxmlformats.org/officeDocument/2006/relationships/hyperlink" Target="mailto:k.uddin@cgi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23Uz64sjPwf1Du69jNc2UDMGuw==">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</go:docsCustomData>
</go:gDocsCustomXmlDataStorage>
</file>

<file path=customXml/itemProps1.xml><?xml version="1.0" encoding="utf-8"?>
<ds:datastoreItem xmlns:ds="http://schemas.openxmlformats.org/officeDocument/2006/customXml" ds:itemID="{7EC7D179-89CB-4805-B4CA-52F153B1FD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UDDIN, Md. Kafil (CIMMYT-Bangladesh)</dc:creator>
  <cp:lastModifiedBy>UDDIN, Md. Kafil (CIMMYT-Bangladesh)</cp:lastModifiedBy>
  <cp:revision>5</cp:revision>
  <cp:lastPrinted>2023-03-13T06:56:00Z</cp:lastPrinted>
  <dcterms:created xsi:type="dcterms:W3CDTF">2023-10-25T12:14:00Z</dcterms:created>
  <dcterms:modified xsi:type="dcterms:W3CDTF">2024-04-04T08:49:00Z</dcterms:modified>
</cp:coreProperties>
</file>